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652A4" w:rsidR="00E652A4" w:rsidP="00E652A4" w:rsidRDefault="00E652A4" w14:paraId="222A6B52" w14:textId="77777777"/>
    <w:p w:rsidRPr="00E652A4" w:rsidR="00E652A4" w:rsidP="00E652A4" w:rsidRDefault="00E652A4" w14:paraId="5063E45B" w14:textId="08DFB9CF">
      <w:r w:rsidRPr="00E652A4">
        <w:t xml:space="preserve">Geachte </w:t>
      </w:r>
      <w:r w:rsidR="00DC60B1">
        <w:t>V</w:t>
      </w:r>
      <w:r w:rsidRPr="00E652A4">
        <w:t>oorzitter,</w:t>
      </w:r>
    </w:p>
    <w:p w:rsidRPr="00E652A4" w:rsidR="00E652A4" w:rsidP="00E652A4" w:rsidRDefault="00E652A4" w14:paraId="233C6069" w14:textId="77777777"/>
    <w:p w:rsidRPr="00E652A4" w:rsidR="00E652A4" w:rsidP="00E652A4" w:rsidRDefault="00E652A4" w14:paraId="5E4B5E74" w14:textId="77777777">
      <w:r w:rsidRPr="00E652A4">
        <w:t>Op 28 maart vindt de formele Raad Algemene Zaken – Cohesie (RAZ-Cohesie) plaats in Brussel. Tijdens deze Raad zal worden gesproken over hoe het cohesiebeleid meer dynamisch en strategisch kan worden gemaakt en worden naar verwachting Raadsconclusies aangenomen over het toekomstig cohesiebeleid na 2027.</w:t>
      </w:r>
    </w:p>
    <w:p w:rsidRPr="00E652A4" w:rsidR="00E652A4" w:rsidP="00E652A4" w:rsidRDefault="00E652A4" w14:paraId="0C737ED5" w14:textId="77777777"/>
    <w:p w:rsidR="00E652A4" w:rsidP="00E652A4" w:rsidRDefault="00E652A4" w14:paraId="45D55A11" w14:textId="77777777"/>
    <w:p w:rsidRPr="00E652A4" w:rsidR="00DC60B1" w:rsidP="00E652A4" w:rsidRDefault="00DC60B1" w14:paraId="105F1B13" w14:textId="77777777"/>
    <w:p w:rsidRPr="00E652A4" w:rsidR="00E652A4" w:rsidP="00E652A4" w:rsidRDefault="00E652A4" w14:paraId="24ED09DB" w14:textId="77777777">
      <w:r w:rsidRPr="00E652A4">
        <w:t>Dirk Beljaarts</w:t>
      </w:r>
    </w:p>
    <w:p w:rsidRPr="00E652A4" w:rsidR="00E652A4" w:rsidP="00E652A4" w:rsidRDefault="00E652A4" w14:paraId="349FDB92" w14:textId="77777777">
      <w:r w:rsidRPr="00E652A4">
        <w:t>Minister van Economische Zaken</w:t>
      </w:r>
    </w:p>
    <w:p w:rsidRPr="00E652A4" w:rsidR="00E652A4" w:rsidP="00E652A4" w:rsidRDefault="00E652A4" w14:paraId="73B72EAD" w14:textId="77777777"/>
    <w:p w:rsidRPr="00E652A4" w:rsidR="00E652A4" w:rsidP="00E652A4" w:rsidRDefault="00E652A4" w14:paraId="55869D5B" w14:textId="77777777">
      <w:r w:rsidRPr="00E652A4">
        <w:br w:type="page"/>
      </w:r>
      <w:r w:rsidRPr="00E652A4">
        <w:rPr>
          <w:b/>
          <w:bCs/>
        </w:rPr>
        <w:lastRenderedPageBreak/>
        <w:t>Een meer dynamisch en strategisch cohesiebeleid</w:t>
      </w:r>
    </w:p>
    <w:p w:rsidRPr="00E652A4" w:rsidR="00E652A4" w:rsidP="00E652A4" w:rsidRDefault="00E652A4" w14:paraId="284F854D" w14:textId="77777777">
      <w:pPr>
        <w:rPr>
          <w:i/>
          <w:iCs/>
        </w:rPr>
      </w:pPr>
      <w:r w:rsidRPr="00E652A4">
        <w:rPr>
          <w:i/>
          <w:iCs/>
        </w:rPr>
        <w:t>Gedachtewisseling</w:t>
      </w:r>
    </w:p>
    <w:p w:rsidRPr="00E652A4" w:rsidR="00E652A4" w:rsidP="00E652A4" w:rsidRDefault="00E652A4" w14:paraId="0DB99B44" w14:textId="77777777"/>
    <w:p w:rsidRPr="00E652A4" w:rsidR="00E652A4" w:rsidP="00E652A4" w:rsidRDefault="00E652A4" w14:paraId="24862D56" w14:textId="77777777">
      <w:r w:rsidRPr="00E652A4">
        <w:t xml:space="preserve">Op het moment van schrijven zijn nog er nog geen stukken voor dit agendapunt verspreid. De kabinetsvisie op het (toekomstig) cohesiebeleid wordt uiteengezet in de tekst onder 'toekomstig cohesiebeleid na 2027'. </w:t>
      </w:r>
    </w:p>
    <w:p w:rsidRPr="00E652A4" w:rsidR="00E652A4" w:rsidP="00E652A4" w:rsidRDefault="00E652A4" w14:paraId="4A860778" w14:textId="77777777"/>
    <w:p w:rsidRPr="00E652A4" w:rsidR="00E652A4" w:rsidP="00E652A4" w:rsidRDefault="00E652A4" w14:paraId="12D96E86" w14:textId="77777777">
      <w:r w:rsidRPr="00E652A4">
        <w:t xml:space="preserve">Het kabinet vindt het daarnaast van belang dat in de toekomst, en waar mogelijk nu al, de kaders van het cohesiebeleid lidstaten meer ruimte bieden om in te spelen op nieuwe uitdagingen op bijvoorbeeld het gebied van het EU-concurrentievermogen en de defensie-industrie. De hoofdlijneninzet van het kabinet ten aanzien van de onderhandelingen over het Meerjarig Financieel Kader (MFK) van de EU voor de periode vanaf 2028 zal nader worden toegelicht in een brief van de Ministers van Buitenlandse Zaken en Financiën waarbij het streven is die eind maart naar uw Kamer te verzenden. </w:t>
      </w:r>
    </w:p>
    <w:p w:rsidRPr="00E652A4" w:rsidR="00E652A4" w:rsidP="00E652A4" w:rsidRDefault="00E652A4" w14:paraId="3A71BBAF" w14:textId="77777777"/>
    <w:p w:rsidRPr="00E652A4" w:rsidR="00E652A4" w:rsidP="00E652A4" w:rsidRDefault="00E652A4" w14:paraId="3839FA79" w14:textId="77777777">
      <w:r w:rsidRPr="00E652A4">
        <w:rPr>
          <w:b/>
          <w:bCs/>
        </w:rPr>
        <w:t>Toekomstig cohesiebeleid na 2027</w:t>
      </w:r>
    </w:p>
    <w:p w:rsidRPr="00E652A4" w:rsidR="00E652A4" w:rsidP="00E652A4" w:rsidRDefault="00E652A4" w14:paraId="234ABBE4" w14:textId="77777777">
      <w:r w:rsidRPr="00E652A4">
        <w:rPr>
          <w:i/>
          <w:iCs/>
        </w:rPr>
        <w:t>Aanname Raadsconclusies</w:t>
      </w:r>
      <w:r w:rsidRPr="00E652A4">
        <w:t> </w:t>
      </w:r>
    </w:p>
    <w:p w:rsidRPr="00E652A4" w:rsidR="00E652A4" w:rsidP="00E652A4" w:rsidRDefault="00E652A4" w14:paraId="0516DBB2" w14:textId="77777777"/>
    <w:p w:rsidRPr="00E652A4" w:rsidR="00E652A4" w:rsidP="00E652A4" w:rsidRDefault="00E652A4" w14:paraId="58F6E22D" w14:textId="77777777">
      <w:r w:rsidRPr="00E652A4">
        <w:t>Naar verwachting zullen tijdens de RAZ-Cohesie Raadsconclusies worden aangenomen over de toekomst van het cohesiebeleid na 2027. Het kabinet heeft samen met provincies en gemeenten in het paper Cohesiebeleid na 2027</w:t>
      </w:r>
      <w:r w:rsidRPr="00E652A4">
        <w:rPr>
          <w:vertAlign w:val="superscript"/>
        </w:rPr>
        <w:footnoteReference w:id="1"/>
      </w:r>
      <w:r w:rsidRPr="00E652A4">
        <w:t xml:space="preserve"> de Nederlandse visie hierop uiteengezet. In lijn met het visiepaper heeft Nederland erop aangedrongen dat deze conclusies niet vooruit mogen lopen op de onderhandelingen over het volgende MFK.</w:t>
      </w:r>
    </w:p>
    <w:p w:rsidRPr="00E652A4" w:rsidR="00E652A4" w:rsidP="00E652A4" w:rsidRDefault="00E652A4" w14:paraId="124FC020" w14:textId="77777777"/>
    <w:p w:rsidRPr="00E652A4" w:rsidR="00E652A4" w:rsidP="00E652A4" w:rsidRDefault="00E652A4" w14:paraId="188A550F" w14:textId="77777777">
      <w:r w:rsidRPr="00E652A4">
        <w:t xml:space="preserve">Nederland heeft bij het opstellen van deze conclusies de belangrijkste elementen uit het visiepaper naar voren gebracht. Voor Nederland is het van belang dat het cohesiebeleid toekomstbestendig wordt, waarbij het de meeste toegevoegde waarde voor de betrokken lidstaten en regio's oplevert en zo maximaal bijdraagt aan de beleidsdoelstellingen van de Unie. Het kabinet vindt dat het cohesiebeleid zich zo veel mogelijk op de regio’s die op sociaaleconomisch gebied achterblijven dient te blijven richten, maar het cohesiebeleid zou in principe beschikbaar moeten kunnen blijven voor alle regio’s in de Unie. Daarnaast zou het cohesiebeleid zich volgens Nederland moeten richten op het verbeteren van de Europese concurrentiekracht, door innovatieve ecosystemen, duurzaamheid en een geschoolde beroepsbevolking. </w:t>
      </w:r>
    </w:p>
    <w:p w:rsidRPr="00E652A4" w:rsidR="00E652A4" w:rsidP="00E652A4" w:rsidRDefault="00E652A4" w14:paraId="0DEDD43A" w14:textId="77777777"/>
    <w:p w:rsidRPr="00E652A4" w:rsidR="00E652A4" w:rsidP="00E652A4" w:rsidRDefault="00E652A4" w14:paraId="77F37C40" w14:textId="77777777">
      <w:r w:rsidRPr="00E652A4">
        <w:t>Inhoudelijk betekent dit een inzet op de drie transities: digitaal, sociaal (arbeidsmarkt) en groen, met onderzoek en innovatie (en de uitrol daarvan) als dwarsdoorsnijder. Door een plaatsgebonden aanpak kan cohesiebeleid investeren in de mogelijkheden en sterktes in de regio. Dit kan bijvoorbeeld op basis van de regionale innovatiestrategieën. Daarbij acht het kabinet het van belang om op basis van deze strategieën ook samenwerking tussen Europese regio’s te blijven stimuleren vanuit het cohesiebeleid.</w:t>
      </w:r>
    </w:p>
    <w:p w:rsidRPr="00E652A4" w:rsidR="00E652A4" w:rsidP="00E652A4" w:rsidRDefault="00E652A4" w14:paraId="52F29285" w14:textId="77777777"/>
    <w:p w:rsidRPr="00E652A4" w:rsidR="00E652A4" w:rsidP="00E652A4" w:rsidRDefault="00E652A4" w14:paraId="3EEBC81E" w14:textId="77777777">
      <w:r w:rsidRPr="00E652A4">
        <w:lastRenderedPageBreak/>
        <w:t xml:space="preserve">Een toekomstbestendig cohesiebeleid betekent voor Nederland ook dat er wordt gekeken naar de mogelijkheid en wenselijkheid om meer te declareren op basis van uitkomsten en resultaten (gebaseerd op mijlpalen en doelen) en koppeling met het Europees Semester. Daarbij is het voor de fondsen onder het cohesiebeleid belangrijk dat deze met voldoende betrokkenheid van alle lagen van de overheid tot stand komen en er een mogelijkheid blijft voor regionale uitvoering. Nederland heeft tijdens het schrijven van deze conclusies benadrukt dat het van belang blijft dat het toekomstig cohesiebeleid wordt uitgevoerd onder gedegen financieel beheer en met voldoende waarborgen voor het tegengaan van fraude. </w:t>
      </w:r>
    </w:p>
    <w:p w:rsidRPr="00E652A4" w:rsidR="00E652A4" w:rsidP="00E652A4" w:rsidRDefault="00E652A4" w14:paraId="7668EB88" w14:textId="77777777"/>
    <w:p w:rsidRPr="00E652A4" w:rsidR="00E652A4" w:rsidP="00E652A4" w:rsidRDefault="00E652A4" w14:paraId="3220A8EF" w14:textId="77777777">
      <w:r w:rsidRPr="00E652A4">
        <w:t>Tot slot heeft Nederland zich ervoor ingezet om in deze conclusies op te nemen dat ook in de toekomst het respecteren van de rechtsstaat en fundamentele waarden een voorwaarde moet zijn voor lidstaten om steun te ontvangen uit de cohesieprogramma’s.</w:t>
      </w:r>
    </w:p>
    <w:p w:rsidRPr="00E652A4" w:rsidR="00E652A4" w:rsidP="00E652A4" w:rsidRDefault="00E652A4" w14:paraId="29FD9B4A" w14:textId="77777777"/>
    <w:p w:rsidRPr="00E652A4" w:rsidR="00E652A4" w:rsidP="00E652A4" w:rsidRDefault="00E652A4" w14:paraId="013B1DC9" w14:textId="77777777">
      <w:r w:rsidRPr="00E652A4">
        <w:t>In de Raadsconclusies is bovenstaande goed opgenomen. Nederland kan daarom instemmen met deze Raadsconclusies.</w:t>
      </w:r>
    </w:p>
    <w:p w:rsidRPr="00E652A4" w:rsidR="00E652A4" w:rsidP="00E652A4" w:rsidRDefault="00E652A4" w14:paraId="53F24876" w14:textId="77777777"/>
    <w:sectPr w:rsidRPr="00E652A4" w:rsidR="00E652A4" w:rsidSect="00D604B3">
      <w:headerReference w:type="default" r:id="rId7"/>
      <w:footerReference w:type="default" r:id="rId8"/>
      <w:headerReference w:type="first" r:id="rId9"/>
      <w:footerReference w:type="first" r:id="rId10"/>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177F18" w14:textId="77777777" w:rsidR="00F22C9A" w:rsidRDefault="00F22C9A">
      <w:r>
        <w:separator/>
      </w:r>
    </w:p>
    <w:p w14:paraId="1A739E67" w14:textId="77777777" w:rsidR="00F22C9A" w:rsidRDefault="00F22C9A"/>
  </w:endnote>
  <w:endnote w:type="continuationSeparator" w:id="0">
    <w:p w14:paraId="25255C40" w14:textId="77777777" w:rsidR="00F22C9A" w:rsidRDefault="00F22C9A">
      <w:r>
        <w:continuationSeparator/>
      </w:r>
    </w:p>
    <w:p w14:paraId="2550D752" w14:textId="77777777" w:rsidR="00F22C9A" w:rsidRDefault="00F22C9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5447F"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921607" w14:paraId="05F5FAEF" w14:textId="77777777" w:rsidTr="00CA6A25">
      <w:trPr>
        <w:trHeight w:hRule="exact" w:val="240"/>
      </w:trPr>
      <w:tc>
        <w:tcPr>
          <w:tcW w:w="7601" w:type="dxa"/>
          <w:shd w:val="clear" w:color="auto" w:fill="auto"/>
        </w:tcPr>
        <w:p w14:paraId="4B119573" w14:textId="77777777" w:rsidR="00527BD4" w:rsidRDefault="00527BD4" w:rsidP="003F1F6B">
          <w:pPr>
            <w:pStyle w:val="Huisstijl-Rubricering"/>
          </w:pPr>
        </w:p>
      </w:tc>
      <w:tc>
        <w:tcPr>
          <w:tcW w:w="2156" w:type="dxa"/>
        </w:tcPr>
        <w:p w14:paraId="7C9F4A65" w14:textId="214E43FE" w:rsidR="00527BD4" w:rsidRPr="00645414" w:rsidRDefault="00115292"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0F3CAA">
            <w:t>2</w:t>
          </w:r>
          <w:r w:rsidRPr="00645414">
            <w:fldChar w:fldCharType="end"/>
          </w:r>
          <w:r w:rsidRPr="00645414">
            <w:t xml:space="preserve"> </w:t>
          </w:r>
          <w:r>
            <w:t>van</w:t>
          </w:r>
          <w:r w:rsidRPr="00645414">
            <w:t xml:space="preserve"> </w:t>
          </w:r>
          <w:fldSimple w:instr=" SECTIONPAGES   \* MERGEFORMAT ">
            <w:r w:rsidR="0080120C">
              <w:t>3</w:t>
            </w:r>
          </w:fldSimple>
        </w:p>
      </w:tc>
    </w:tr>
  </w:tbl>
  <w:p w14:paraId="48A84837"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921607" w14:paraId="78F5CCB5" w14:textId="77777777" w:rsidTr="00CA6A25">
      <w:trPr>
        <w:trHeight w:hRule="exact" w:val="240"/>
      </w:trPr>
      <w:tc>
        <w:tcPr>
          <w:tcW w:w="7601" w:type="dxa"/>
          <w:shd w:val="clear" w:color="auto" w:fill="auto"/>
        </w:tcPr>
        <w:p w14:paraId="30DA3C81" w14:textId="77777777" w:rsidR="00527BD4" w:rsidRDefault="00527BD4" w:rsidP="008C356D">
          <w:pPr>
            <w:pStyle w:val="Huisstijl-Rubricering"/>
          </w:pPr>
        </w:p>
      </w:tc>
      <w:tc>
        <w:tcPr>
          <w:tcW w:w="2170" w:type="dxa"/>
        </w:tcPr>
        <w:p w14:paraId="3F4FF1A3" w14:textId="17FBB228" w:rsidR="00527BD4" w:rsidRPr="00ED539E" w:rsidRDefault="00115292"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831EE4">
            <w:t>1</w:t>
          </w:r>
          <w:r w:rsidRPr="00645414">
            <w:fldChar w:fldCharType="end"/>
          </w:r>
          <w:r w:rsidRPr="00ED539E">
            <w:rPr>
              <w:rStyle w:val="Huisstijl-GegevenCharChar"/>
            </w:rPr>
            <w:t xml:space="preserve"> </w:t>
          </w:r>
          <w:r>
            <w:t>van</w:t>
          </w:r>
          <w:r w:rsidRPr="00ED539E">
            <w:t xml:space="preserve"> </w:t>
          </w:r>
          <w:fldSimple w:instr=" SECTIONPAGES   \* MERGEFORMAT ">
            <w:r w:rsidR="0080120C">
              <w:t>3</w:t>
            </w:r>
          </w:fldSimple>
        </w:p>
      </w:tc>
    </w:tr>
  </w:tbl>
  <w:p w14:paraId="08BB3B6F" w14:textId="77777777" w:rsidR="00527BD4" w:rsidRPr="00BC3B53" w:rsidRDefault="00527BD4" w:rsidP="008C356D">
    <w:pPr>
      <w:pStyle w:val="Voettekst"/>
      <w:spacing w:line="240" w:lineRule="auto"/>
      <w:rPr>
        <w:sz w:val="2"/>
        <w:szCs w:val="2"/>
      </w:rPr>
    </w:pPr>
  </w:p>
  <w:p w14:paraId="11E3D896"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AF4F2C" w14:textId="77777777" w:rsidR="00F22C9A" w:rsidRDefault="00F22C9A">
      <w:r>
        <w:separator/>
      </w:r>
    </w:p>
    <w:p w14:paraId="127D40DA" w14:textId="77777777" w:rsidR="00F22C9A" w:rsidRDefault="00F22C9A"/>
  </w:footnote>
  <w:footnote w:type="continuationSeparator" w:id="0">
    <w:p w14:paraId="7191F0A6" w14:textId="77777777" w:rsidR="00F22C9A" w:rsidRDefault="00F22C9A">
      <w:r>
        <w:continuationSeparator/>
      </w:r>
    </w:p>
    <w:p w14:paraId="06C9F78F" w14:textId="77777777" w:rsidR="00F22C9A" w:rsidRDefault="00F22C9A"/>
  </w:footnote>
  <w:footnote w:id="1">
    <w:p w14:paraId="2B8870FF" w14:textId="11CD16EA" w:rsidR="00E652A4" w:rsidRPr="00DC60B1" w:rsidRDefault="00E652A4" w:rsidP="00E652A4">
      <w:pPr>
        <w:pStyle w:val="Voetnoottekst"/>
        <w:rPr>
          <w:szCs w:val="13"/>
        </w:rPr>
      </w:pPr>
      <w:r w:rsidRPr="00DC60B1">
        <w:rPr>
          <w:rStyle w:val="Voetnootmarkering"/>
          <w:szCs w:val="13"/>
        </w:rPr>
        <w:footnoteRef/>
      </w:r>
      <w:r w:rsidRPr="00DC60B1">
        <w:rPr>
          <w:szCs w:val="13"/>
        </w:rPr>
        <w:t xml:space="preserve"> Zie ook het Visiepaper Cohesiebeleid post 2027, Kamerstukken II 2024/2025, 21501 no. 08 963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921607" w14:paraId="0BDE94C7" w14:textId="77777777" w:rsidTr="00A50CF6">
      <w:tc>
        <w:tcPr>
          <w:tcW w:w="2156" w:type="dxa"/>
          <w:shd w:val="clear" w:color="auto" w:fill="auto"/>
        </w:tcPr>
        <w:p w14:paraId="161DAF66" w14:textId="77777777" w:rsidR="00527BD4" w:rsidRPr="005819CE" w:rsidRDefault="00115292" w:rsidP="00A50CF6">
          <w:pPr>
            <w:pStyle w:val="Huisstijl-Adres"/>
            <w:rPr>
              <w:b/>
            </w:rPr>
          </w:pPr>
          <w:r>
            <w:rPr>
              <w:b/>
            </w:rPr>
            <w:t>Directie Europese en Internationale Zaken</w:t>
          </w:r>
          <w:r w:rsidRPr="005819CE">
            <w:rPr>
              <w:b/>
            </w:rPr>
            <w:br/>
          </w:r>
        </w:p>
      </w:tc>
    </w:tr>
    <w:tr w:rsidR="00921607" w14:paraId="5D439B00" w14:textId="77777777" w:rsidTr="00A50CF6">
      <w:trPr>
        <w:trHeight w:hRule="exact" w:val="200"/>
      </w:trPr>
      <w:tc>
        <w:tcPr>
          <w:tcW w:w="2156" w:type="dxa"/>
          <w:shd w:val="clear" w:color="auto" w:fill="auto"/>
        </w:tcPr>
        <w:p w14:paraId="74FE5D06" w14:textId="77777777" w:rsidR="00527BD4" w:rsidRPr="005819CE" w:rsidRDefault="00527BD4" w:rsidP="00A50CF6"/>
      </w:tc>
    </w:tr>
    <w:tr w:rsidR="00921607" w14:paraId="1C7B6B41" w14:textId="77777777" w:rsidTr="00502512">
      <w:trPr>
        <w:trHeight w:hRule="exact" w:val="774"/>
      </w:trPr>
      <w:tc>
        <w:tcPr>
          <w:tcW w:w="2156" w:type="dxa"/>
          <w:shd w:val="clear" w:color="auto" w:fill="auto"/>
        </w:tcPr>
        <w:p w14:paraId="059E3787" w14:textId="77777777" w:rsidR="00527BD4" w:rsidRDefault="00115292" w:rsidP="003A5290">
          <w:pPr>
            <w:pStyle w:val="Huisstijl-Kopje"/>
          </w:pPr>
          <w:r>
            <w:t>Ons kenmerk</w:t>
          </w:r>
        </w:p>
        <w:p w14:paraId="21C4F86E" w14:textId="77777777" w:rsidR="00527BD4" w:rsidRPr="005819CE" w:rsidRDefault="00115292" w:rsidP="004425CC">
          <w:pPr>
            <w:pStyle w:val="Huisstijl-Kopje"/>
          </w:pPr>
          <w:r>
            <w:rPr>
              <w:b w:val="0"/>
            </w:rPr>
            <w:t>DEIZ</w:t>
          </w:r>
          <w:r w:rsidRPr="00502512">
            <w:rPr>
              <w:b w:val="0"/>
            </w:rPr>
            <w:t xml:space="preserve"> / </w:t>
          </w:r>
          <w:r>
            <w:rPr>
              <w:b w:val="0"/>
            </w:rPr>
            <w:t>97614491</w:t>
          </w:r>
        </w:p>
      </w:tc>
    </w:tr>
  </w:tbl>
  <w:p w14:paraId="45CE678B" w14:textId="77777777" w:rsidR="00527BD4" w:rsidRDefault="00527BD4" w:rsidP="008C356D">
    <w:pPr>
      <w:pStyle w:val="Koptekst"/>
      <w:rPr>
        <w:rFonts w:cs="Verdana-Bold"/>
        <w:b/>
        <w:bCs/>
        <w:smallCaps/>
        <w:szCs w:val="18"/>
      </w:rPr>
    </w:pPr>
  </w:p>
  <w:p w14:paraId="1A670B8D" w14:textId="77777777" w:rsidR="00527BD4" w:rsidRDefault="00527BD4" w:rsidP="008C356D"/>
  <w:p w14:paraId="7E32E1B5" w14:textId="77777777" w:rsidR="00527BD4" w:rsidRPr="00740712" w:rsidRDefault="00527BD4" w:rsidP="008C356D"/>
  <w:p w14:paraId="0109D385" w14:textId="77777777" w:rsidR="00527BD4" w:rsidRPr="00217880" w:rsidRDefault="00527BD4" w:rsidP="008C356D">
    <w:pPr>
      <w:spacing w:line="0" w:lineRule="atLeast"/>
      <w:rPr>
        <w:sz w:val="2"/>
        <w:szCs w:val="2"/>
      </w:rPr>
    </w:pPr>
  </w:p>
  <w:p w14:paraId="7104450B" w14:textId="77777777" w:rsidR="00527BD4" w:rsidRDefault="00527BD4" w:rsidP="004F44C2">
    <w:pPr>
      <w:pStyle w:val="Koptekst"/>
      <w:rPr>
        <w:rFonts w:cs="Verdana-Bold"/>
        <w:b/>
        <w:bCs/>
        <w:smallCaps/>
        <w:szCs w:val="18"/>
      </w:rPr>
    </w:pPr>
  </w:p>
  <w:p w14:paraId="4BD9ABE3" w14:textId="77777777" w:rsidR="00527BD4" w:rsidRDefault="00527BD4" w:rsidP="004F44C2"/>
  <w:p w14:paraId="78A3F043" w14:textId="77777777" w:rsidR="00527BD4" w:rsidRPr="00740712" w:rsidRDefault="00527BD4" w:rsidP="004F44C2"/>
  <w:p w14:paraId="44454183"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921607" w14:paraId="3917ADC5" w14:textId="77777777" w:rsidTr="00751A6A">
      <w:trPr>
        <w:trHeight w:val="2636"/>
      </w:trPr>
      <w:tc>
        <w:tcPr>
          <w:tcW w:w="737" w:type="dxa"/>
          <w:shd w:val="clear" w:color="auto" w:fill="auto"/>
        </w:tcPr>
        <w:p w14:paraId="127464E4" w14:textId="77777777" w:rsidR="00527BD4" w:rsidRDefault="00527BD4" w:rsidP="00D0609E">
          <w:pPr>
            <w:framePr w:w="6340" w:h="2750" w:hRule="exact" w:hSpace="180" w:wrap="around" w:vAnchor="page" w:hAnchor="text" w:x="3873" w:y="-140"/>
            <w:spacing w:line="240" w:lineRule="auto"/>
          </w:pPr>
        </w:p>
      </w:tc>
      <w:tc>
        <w:tcPr>
          <w:tcW w:w="5156" w:type="dxa"/>
          <w:shd w:val="clear" w:color="auto" w:fill="auto"/>
        </w:tcPr>
        <w:p w14:paraId="164F2D10" w14:textId="77777777" w:rsidR="00527BD4" w:rsidRDefault="00115292" w:rsidP="00651CEE">
          <w:pPr>
            <w:framePr w:w="6340" w:h="2750" w:hRule="exact" w:hSpace="180" w:wrap="around" w:vAnchor="page" w:hAnchor="text" w:x="3873" w:y="-140"/>
            <w:spacing w:line="240" w:lineRule="auto"/>
          </w:pPr>
          <w:r>
            <w:t xml:space="preserve">   </w:t>
          </w:r>
          <w:r w:rsidRPr="00922290">
            <w:rPr>
              <w:sz w:val="2"/>
              <w:szCs w:val="2"/>
            </w:rPr>
            <w:t xml:space="preserve"> </w:t>
          </w:r>
          <w:r>
            <w:rPr>
              <w:noProof/>
            </w:rPr>
            <w:drawing>
              <wp:inline distT="0" distB="0" distL="0" distR="0" wp14:anchorId="5909F135" wp14:editId="6D776E58">
                <wp:extent cx="2340000" cy="1584000"/>
                <wp:effectExtent l="0" t="0" r="3175" b="0"/>
                <wp:docPr id="1" name="Afbeelding 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0000" cy="1584000"/>
                        </a:xfrm>
                        <a:prstGeom prst="rect">
                          <a:avLst/>
                        </a:prstGeom>
                        <a:noFill/>
                        <a:ln>
                          <a:noFill/>
                        </a:ln>
                      </pic:spPr>
                    </pic:pic>
                  </a:graphicData>
                </a:graphic>
              </wp:inline>
            </w:drawing>
          </w:r>
        </w:p>
        <w:p w14:paraId="7680750F" w14:textId="77777777" w:rsidR="007269E3" w:rsidRDefault="007269E3" w:rsidP="00651CEE">
          <w:pPr>
            <w:framePr w:w="6340" w:h="2750" w:hRule="exact" w:hSpace="180" w:wrap="around" w:vAnchor="page" w:hAnchor="text" w:x="3873" w:y="-140"/>
            <w:spacing w:line="240" w:lineRule="auto"/>
          </w:pPr>
        </w:p>
      </w:tc>
    </w:tr>
  </w:tbl>
  <w:p w14:paraId="5C723901" w14:textId="77777777" w:rsidR="00527BD4" w:rsidRDefault="00527BD4" w:rsidP="00D0609E">
    <w:pPr>
      <w:framePr w:w="6340" w:h="2750" w:hRule="exact" w:hSpace="180" w:wrap="around" w:vAnchor="page" w:hAnchor="text" w:x="3873" w:y="-140"/>
    </w:pPr>
  </w:p>
  <w:p w14:paraId="2501BE6C"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921607" w14:paraId="24B80343" w14:textId="77777777" w:rsidTr="00A50CF6">
      <w:tc>
        <w:tcPr>
          <w:tcW w:w="2160" w:type="dxa"/>
          <w:shd w:val="clear" w:color="auto" w:fill="auto"/>
        </w:tcPr>
        <w:p w14:paraId="4EF2EDA8" w14:textId="77777777" w:rsidR="00527BD4" w:rsidRPr="005819CE" w:rsidRDefault="00115292" w:rsidP="00A50CF6">
          <w:pPr>
            <w:pStyle w:val="Huisstijl-Adres"/>
            <w:rPr>
              <w:b/>
            </w:rPr>
          </w:pPr>
          <w:r>
            <w:rPr>
              <w:b/>
            </w:rPr>
            <w:t>Directie Europese en Internationale Zaken</w:t>
          </w:r>
          <w:r w:rsidRPr="005819CE">
            <w:rPr>
              <w:b/>
            </w:rPr>
            <w:br/>
          </w:r>
        </w:p>
        <w:p w14:paraId="58941741" w14:textId="77777777" w:rsidR="00527BD4" w:rsidRPr="00BE5ED9" w:rsidRDefault="00115292" w:rsidP="00A50CF6">
          <w:pPr>
            <w:pStyle w:val="Huisstijl-Adres"/>
          </w:pPr>
          <w:r>
            <w:rPr>
              <w:b/>
            </w:rPr>
            <w:t>Bezoekadres</w:t>
          </w:r>
          <w:r>
            <w:rPr>
              <w:b/>
            </w:rPr>
            <w:br/>
          </w:r>
          <w:r>
            <w:t>Bezuidenhoutseweg 73</w:t>
          </w:r>
          <w:r w:rsidRPr="005819CE">
            <w:br/>
          </w:r>
          <w:r>
            <w:t>2594 AC Den Haag</w:t>
          </w:r>
        </w:p>
        <w:p w14:paraId="444CEE8E" w14:textId="77777777" w:rsidR="00EF495B" w:rsidRDefault="00115292" w:rsidP="0098788A">
          <w:pPr>
            <w:pStyle w:val="Huisstijl-Adres"/>
          </w:pPr>
          <w:r>
            <w:rPr>
              <w:b/>
            </w:rPr>
            <w:t>Postadres</w:t>
          </w:r>
          <w:r>
            <w:rPr>
              <w:b/>
            </w:rPr>
            <w:br/>
          </w:r>
          <w:r>
            <w:t>Postbus 20401</w:t>
          </w:r>
          <w:r w:rsidRPr="005819CE">
            <w:br/>
            <w:t>2500 E</w:t>
          </w:r>
          <w:r>
            <w:t>K</w:t>
          </w:r>
          <w:r w:rsidRPr="005819CE">
            <w:t xml:space="preserve"> Den Haag</w:t>
          </w:r>
        </w:p>
        <w:p w14:paraId="5668A489" w14:textId="77777777" w:rsidR="00EF495B" w:rsidRPr="005B3814" w:rsidRDefault="00115292" w:rsidP="0098788A">
          <w:pPr>
            <w:pStyle w:val="Huisstijl-Adres"/>
          </w:pPr>
          <w:r>
            <w:rPr>
              <w:b/>
            </w:rPr>
            <w:t>Overheidsidentificatienr</w:t>
          </w:r>
          <w:r>
            <w:rPr>
              <w:b/>
            </w:rPr>
            <w:br/>
          </w:r>
          <w:r w:rsidRPr="005B3814">
            <w:t>00000001003214369000</w:t>
          </w:r>
        </w:p>
        <w:p w14:paraId="077D0BA4" w14:textId="77777777" w:rsidR="00EF495B" w:rsidRPr="0079551B" w:rsidRDefault="00115292" w:rsidP="0098788A">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t>www.rijksoverheid.nl/ez</w:t>
          </w:r>
        </w:p>
        <w:p w14:paraId="68872C36" w14:textId="6D698FE0" w:rsidR="00527BD4" w:rsidRPr="005819CE" w:rsidRDefault="00527BD4" w:rsidP="00A50CF6">
          <w:pPr>
            <w:pStyle w:val="Huisstijl-Adres"/>
          </w:pPr>
        </w:p>
      </w:tc>
    </w:tr>
    <w:tr w:rsidR="00921607" w14:paraId="41E2BCEC" w14:textId="77777777" w:rsidTr="00A50CF6">
      <w:trPr>
        <w:trHeight w:hRule="exact" w:val="200"/>
      </w:trPr>
      <w:tc>
        <w:tcPr>
          <w:tcW w:w="2160" w:type="dxa"/>
          <w:shd w:val="clear" w:color="auto" w:fill="auto"/>
        </w:tcPr>
        <w:p w14:paraId="4261ED8B" w14:textId="77777777" w:rsidR="00527BD4" w:rsidRPr="005819CE" w:rsidRDefault="00527BD4" w:rsidP="00A50CF6"/>
      </w:tc>
    </w:tr>
    <w:tr w:rsidR="00921607" w14:paraId="6C8B2D26" w14:textId="77777777" w:rsidTr="00A50CF6">
      <w:tc>
        <w:tcPr>
          <w:tcW w:w="2160" w:type="dxa"/>
          <w:shd w:val="clear" w:color="auto" w:fill="auto"/>
        </w:tcPr>
        <w:p w14:paraId="327671E4" w14:textId="77777777" w:rsidR="000C0163" w:rsidRPr="005819CE" w:rsidRDefault="00115292" w:rsidP="000C0163">
          <w:pPr>
            <w:pStyle w:val="Huisstijl-Kopje"/>
          </w:pPr>
          <w:r>
            <w:t>Ons kenmerk</w:t>
          </w:r>
          <w:r w:rsidRPr="005819CE">
            <w:t xml:space="preserve"> </w:t>
          </w:r>
        </w:p>
        <w:p w14:paraId="04FC0E99" w14:textId="77777777" w:rsidR="000C0163" w:rsidRPr="005819CE" w:rsidRDefault="00115292" w:rsidP="000C0163">
          <w:pPr>
            <w:pStyle w:val="Huisstijl-Gegeven"/>
          </w:pPr>
          <w:r>
            <w:t>DEIZ</w:t>
          </w:r>
          <w:r w:rsidR="00926AE2">
            <w:t xml:space="preserve"> / </w:t>
          </w:r>
          <w:r>
            <w:t>97614491</w:t>
          </w:r>
        </w:p>
        <w:p w14:paraId="20580A2D" w14:textId="77777777" w:rsidR="00527BD4" w:rsidRPr="005819CE" w:rsidRDefault="00527BD4" w:rsidP="00DC60B1">
          <w:pPr>
            <w:pStyle w:val="Huisstijl-Kopje"/>
          </w:pPr>
        </w:p>
      </w:tc>
    </w:tr>
  </w:tbl>
  <w:p w14:paraId="324FEB9D"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921607" w14:paraId="320C5B42" w14:textId="77777777" w:rsidTr="007610AA">
      <w:trPr>
        <w:trHeight w:val="400"/>
      </w:trPr>
      <w:tc>
        <w:tcPr>
          <w:tcW w:w="7520" w:type="dxa"/>
          <w:gridSpan w:val="2"/>
          <w:shd w:val="clear" w:color="auto" w:fill="auto"/>
        </w:tcPr>
        <w:p w14:paraId="3F0EB396" w14:textId="77777777" w:rsidR="00527BD4" w:rsidRPr="00BC3B53" w:rsidRDefault="00115292" w:rsidP="00A50CF6">
          <w:pPr>
            <w:pStyle w:val="Huisstijl-Retouradres"/>
          </w:pPr>
          <w:r>
            <w:t>&gt; Retouradres Postbus 20401 2500 EK Den Haag</w:t>
          </w:r>
        </w:p>
      </w:tc>
    </w:tr>
    <w:tr w:rsidR="00921607" w14:paraId="201A99B9" w14:textId="77777777" w:rsidTr="007610AA">
      <w:tc>
        <w:tcPr>
          <w:tcW w:w="7520" w:type="dxa"/>
          <w:gridSpan w:val="2"/>
          <w:shd w:val="clear" w:color="auto" w:fill="auto"/>
        </w:tcPr>
        <w:p w14:paraId="1F15BDAF" w14:textId="77777777" w:rsidR="00527BD4" w:rsidRPr="00983E8F" w:rsidRDefault="00527BD4" w:rsidP="00A50CF6">
          <w:pPr>
            <w:pStyle w:val="Huisstijl-Rubricering"/>
          </w:pPr>
        </w:p>
      </w:tc>
    </w:tr>
    <w:tr w:rsidR="00921607" w14:paraId="365670FA" w14:textId="77777777" w:rsidTr="007610AA">
      <w:trPr>
        <w:trHeight w:hRule="exact" w:val="2440"/>
      </w:trPr>
      <w:tc>
        <w:tcPr>
          <w:tcW w:w="7520" w:type="dxa"/>
          <w:gridSpan w:val="2"/>
          <w:shd w:val="clear" w:color="auto" w:fill="auto"/>
        </w:tcPr>
        <w:p w14:paraId="37881C0F" w14:textId="77777777" w:rsidR="00527BD4" w:rsidRDefault="00115292" w:rsidP="00A50CF6">
          <w:pPr>
            <w:pStyle w:val="Huisstijl-NAW"/>
          </w:pPr>
          <w:r>
            <w:t xml:space="preserve">De Voorzitter van de Tweede Kamer </w:t>
          </w:r>
        </w:p>
        <w:p w14:paraId="7BA93AB8" w14:textId="77777777" w:rsidR="00921607" w:rsidRDefault="00115292">
          <w:pPr>
            <w:pStyle w:val="Huisstijl-NAW"/>
          </w:pPr>
          <w:r>
            <w:t>der Staten-Generaal</w:t>
          </w:r>
        </w:p>
        <w:p w14:paraId="263EABCB" w14:textId="77777777" w:rsidR="00921607" w:rsidRDefault="00115292">
          <w:pPr>
            <w:pStyle w:val="Huisstijl-NAW"/>
          </w:pPr>
          <w:r>
            <w:t>Prinses Irenestraat 6</w:t>
          </w:r>
        </w:p>
        <w:p w14:paraId="4D514377" w14:textId="77777777" w:rsidR="00921607" w:rsidRDefault="00115292">
          <w:pPr>
            <w:pStyle w:val="Huisstijl-NAW"/>
          </w:pPr>
          <w:r>
            <w:t>2595 BD  DEN HAAG</w:t>
          </w:r>
        </w:p>
        <w:p w14:paraId="41961954" w14:textId="77777777" w:rsidR="00921607" w:rsidRDefault="00921607">
          <w:pPr>
            <w:pStyle w:val="Huisstijl-NAW"/>
          </w:pPr>
        </w:p>
      </w:tc>
    </w:tr>
    <w:tr w:rsidR="00921607" w14:paraId="7B4BEE0F" w14:textId="77777777" w:rsidTr="007610AA">
      <w:trPr>
        <w:trHeight w:hRule="exact" w:val="400"/>
      </w:trPr>
      <w:tc>
        <w:tcPr>
          <w:tcW w:w="7520" w:type="dxa"/>
          <w:gridSpan w:val="2"/>
          <w:shd w:val="clear" w:color="auto" w:fill="auto"/>
        </w:tcPr>
        <w:p w14:paraId="2D38E8E9"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921607" w14:paraId="079727B4" w14:textId="77777777" w:rsidTr="007610AA">
      <w:trPr>
        <w:trHeight w:val="240"/>
      </w:trPr>
      <w:tc>
        <w:tcPr>
          <w:tcW w:w="900" w:type="dxa"/>
          <w:shd w:val="clear" w:color="auto" w:fill="auto"/>
        </w:tcPr>
        <w:p w14:paraId="2AF8B73A" w14:textId="77777777" w:rsidR="00527BD4" w:rsidRPr="007709EF" w:rsidRDefault="00115292" w:rsidP="00A50CF6">
          <w:pPr>
            <w:rPr>
              <w:szCs w:val="18"/>
            </w:rPr>
          </w:pPr>
          <w:r>
            <w:rPr>
              <w:szCs w:val="18"/>
            </w:rPr>
            <w:t>Datum</w:t>
          </w:r>
        </w:p>
      </w:tc>
      <w:tc>
        <w:tcPr>
          <w:tcW w:w="6620" w:type="dxa"/>
          <w:shd w:val="clear" w:color="auto" w:fill="auto"/>
        </w:tcPr>
        <w:p w14:paraId="2299F6A0" w14:textId="7BB8C1A4" w:rsidR="00527BD4" w:rsidRPr="007709EF" w:rsidRDefault="0080120C" w:rsidP="00A50CF6">
          <w:r>
            <w:t>12 maart 2025</w:t>
          </w:r>
        </w:p>
      </w:tc>
    </w:tr>
    <w:tr w:rsidR="00921607" w14:paraId="19E841A6" w14:textId="77777777" w:rsidTr="007610AA">
      <w:trPr>
        <w:trHeight w:val="240"/>
      </w:trPr>
      <w:tc>
        <w:tcPr>
          <w:tcW w:w="900" w:type="dxa"/>
          <w:shd w:val="clear" w:color="auto" w:fill="auto"/>
        </w:tcPr>
        <w:p w14:paraId="4CDAD41F" w14:textId="77777777" w:rsidR="00527BD4" w:rsidRPr="007709EF" w:rsidRDefault="00115292" w:rsidP="00A50CF6">
          <w:pPr>
            <w:rPr>
              <w:szCs w:val="18"/>
            </w:rPr>
          </w:pPr>
          <w:r>
            <w:rPr>
              <w:szCs w:val="18"/>
            </w:rPr>
            <w:t>Betreft</w:t>
          </w:r>
        </w:p>
      </w:tc>
      <w:tc>
        <w:tcPr>
          <w:tcW w:w="6620" w:type="dxa"/>
          <w:shd w:val="clear" w:color="auto" w:fill="auto"/>
        </w:tcPr>
        <w:p w14:paraId="1645125D" w14:textId="77777777" w:rsidR="00DC60B1" w:rsidRDefault="00115292" w:rsidP="00A50CF6">
          <w:r>
            <w:t xml:space="preserve">Geannoteerde Agenda formele Raad Algemene Zaken - Cohesie </w:t>
          </w:r>
        </w:p>
        <w:p w14:paraId="020877CA" w14:textId="042DE170" w:rsidR="00527BD4" w:rsidRPr="007709EF" w:rsidRDefault="00115292" w:rsidP="00A50CF6">
          <w:r>
            <w:t>28 maart</w:t>
          </w:r>
        </w:p>
      </w:tc>
    </w:tr>
  </w:tbl>
  <w:p w14:paraId="7E2B38CC"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CC58F8BA">
      <w:start w:val="1"/>
      <w:numFmt w:val="bullet"/>
      <w:pStyle w:val="Lijstopsomteken"/>
      <w:lvlText w:val="•"/>
      <w:lvlJc w:val="left"/>
      <w:pPr>
        <w:tabs>
          <w:tab w:val="num" w:pos="227"/>
        </w:tabs>
        <w:ind w:left="227" w:hanging="227"/>
      </w:pPr>
      <w:rPr>
        <w:rFonts w:ascii="Verdana" w:hAnsi="Verdana" w:hint="default"/>
        <w:sz w:val="18"/>
        <w:szCs w:val="18"/>
      </w:rPr>
    </w:lvl>
    <w:lvl w:ilvl="1" w:tplc="97D4440A" w:tentative="1">
      <w:start w:val="1"/>
      <w:numFmt w:val="bullet"/>
      <w:lvlText w:val="o"/>
      <w:lvlJc w:val="left"/>
      <w:pPr>
        <w:tabs>
          <w:tab w:val="num" w:pos="1440"/>
        </w:tabs>
        <w:ind w:left="1440" w:hanging="360"/>
      </w:pPr>
      <w:rPr>
        <w:rFonts w:ascii="Courier New" w:hAnsi="Courier New" w:cs="Courier New" w:hint="default"/>
      </w:rPr>
    </w:lvl>
    <w:lvl w:ilvl="2" w:tplc="BB8201B2" w:tentative="1">
      <w:start w:val="1"/>
      <w:numFmt w:val="bullet"/>
      <w:lvlText w:val=""/>
      <w:lvlJc w:val="left"/>
      <w:pPr>
        <w:tabs>
          <w:tab w:val="num" w:pos="2160"/>
        </w:tabs>
        <w:ind w:left="2160" w:hanging="360"/>
      </w:pPr>
      <w:rPr>
        <w:rFonts w:ascii="Wingdings" w:hAnsi="Wingdings" w:hint="default"/>
      </w:rPr>
    </w:lvl>
    <w:lvl w:ilvl="3" w:tplc="5720EA06" w:tentative="1">
      <w:start w:val="1"/>
      <w:numFmt w:val="bullet"/>
      <w:lvlText w:val=""/>
      <w:lvlJc w:val="left"/>
      <w:pPr>
        <w:tabs>
          <w:tab w:val="num" w:pos="2880"/>
        </w:tabs>
        <w:ind w:left="2880" w:hanging="360"/>
      </w:pPr>
      <w:rPr>
        <w:rFonts w:ascii="Symbol" w:hAnsi="Symbol" w:hint="default"/>
      </w:rPr>
    </w:lvl>
    <w:lvl w:ilvl="4" w:tplc="A64A0298" w:tentative="1">
      <w:start w:val="1"/>
      <w:numFmt w:val="bullet"/>
      <w:lvlText w:val="o"/>
      <w:lvlJc w:val="left"/>
      <w:pPr>
        <w:tabs>
          <w:tab w:val="num" w:pos="3600"/>
        </w:tabs>
        <w:ind w:left="3600" w:hanging="360"/>
      </w:pPr>
      <w:rPr>
        <w:rFonts w:ascii="Courier New" w:hAnsi="Courier New" w:cs="Courier New" w:hint="default"/>
      </w:rPr>
    </w:lvl>
    <w:lvl w:ilvl="5" w:tplc="C05053E0" w:tentative="1">
      <w:start w:val="1"/>
      <w:numFmt w:val="bullet"/>
      <w:lvlText w:val=""/>
      <w:lvlJc w:val="left"/>
      <w:pPr>
        <w:tabs>
          <w:tab w:val="num" w:pos="4320"/>
        </w:tabs>
        <w:ind w:left="4320" w:hanging="360"/>
      </w:pPr>
      <w:rPr>
        <w:rFonts w:ascii="Wingdings" w:hAnsi="Wingdings" w:hint="default"/>
      </w:rPr>
    </w:lvl>
    <w:lvl w:ilvl="6" w:tplc="105CF9AA" w:tentative="1">
      <w:start w:val="1"/>
      <w:numFmt w:val="bullet"/>
      <w:lvlText w:val=""/>
      <w:lvlJc w:val="left"/>
      <w:pPr>
        <w:tabs>
          <w:tab w:val="num" w:pos="5040"/>
        </w:tabs>
        <w:ind w:left="5040" w:hanging="360"/>
      </w:pPr>
      <w:rPr>
        <w:rFonts w:ascii="Symbol" w:hAnsi="Symbol" w:hint="default"/>
      </w:rPr>
    </w:lvl>
    <w:lvl w:ilvl="7" w:tplc="86865A5E" w:tentative="1">
      <w:start w:val="1"/>
      <w:numFmt w:val="bullet"/>
      <w:lvlText w:val="o"/>
      <w:lvlJc w:val="left"/>
      <w:pPr>
        <w:tabs>
          <w:tab w:val="num" w:pos="5760"/>
        </w:tabs>
        <w:ind w:left="5760" w:hanging="360"/>
      </w:pPr>
      <w:rPr>
        <w:rFonts w:ascii="Courier New" w:hAnsi="Courier New" w:cs="Courier New" w:hint="default"/>
      </w:rPr>
    </w:lvl>
    <w:lvl w:ilvl="8" w:tplc="37D2C8DC"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760AF5F0">
      <w:start w:val="1"/>
      <w:numFmt w:val="bullet"/>
      <w:pStyle w:val="Lijstopsomteken2"/>
      <w:lvlText w:val="–"/>
      <w:lvlJc w:val="left"/>
      <w:pPr>
        <w:tabs>
          <w:tab w:val="num" w:pos="227"/>
        </w:tabs>
        <w:ind w:left="227" w:firstLine="0"/>
      </w:pPr>
      <w:rPr>
        <w:rFonts w:ascii="Verdana" w:hAnsi="Verdana" w:hint="default"/>
      </w:rPr>
    </w:lvl>
    <w:lvl w:ilvl="1" w:tplc="931E824C" w:tentative="1">
      <w:start w:val="1"/>
      <w:numFmt w:val="bullet"/>
      <w:lvlText w:val="o"/>
      <w:lvlJc w:val="left"/>
      <w:pPr>
        <w:tabs>
          <w:tab w:val="num" w:pos="1440"/>
        </w:tabs>
        <w:ind w:left="1440" w:hanging="360"/>
      </w:pPr>
      <w:rPr>
        <w:rFonts w:ascii="Courier New" w:hAnsi="Courier New" w:cs="Courier New" w:hint="default"/>
      </w:rPr>
    </w:lvl>
    <w:lvl w:ilvl="2" w:tplc="1FBE02FC" w:tentative="1">
      <w:start w:val="1"/>
      <w:numFmt w:val="bullet"/>
      <w:lvlText w:val=""/>
      <w:lvlJc w:val="left"/>
      <w:pPr>
        <w:tabs>
          <w:tab w:val="num" w:pos="2160"/>
        </w:tabs>
        <w:ind w:left="2160" w:hanging="360"/>
      </w:pPr>
      <w:rPr>
        <w:rFonts w:ascii="Wingdings" w:hAnsi="Wingdings" w:hint="default"/>
      </w:rPr>
    </w:lvl>
    <w:lvl w:ilvl="3" w:tplc="FE38528C" w:tentative="1">
      <w:start w:val="1"/>
      <w:numFmt w:val="bullet"/>
      <w:lvlText w:val=""/>
      <w:lvlJc w:val="left"/>
      <w:pPr>
        <w:tabs>
          <w:tab w:val="num" w:pos="2880"/>
        </w:tabs>
        <w:ind w:left="2880" w:hanging="360"/>
      </w:pPr>
      <w:rPr>
        <w:rFonts w:ascii="Symbol" w:hAnsi="Symbol" w:hint="default"/>
      </w:rPr>
    </w:lvl>
    <w:lvl w:ilvl="4" w:tplc="5E5C863A" w:tentative="1">
      <w:start w:val="1"/>
      <w:numFmt w:val="bullet"/>
      <w:lvlText w:val="o"/>
      <w:lvlJc w:val="left"/>
      <w:pPr>
        <w:tabs>
          <w:tab w:val="num" w:pos="3600"/>
        </w:tabs>
        <w:ind w:left="3600" w:hanging="360"/>
      </w:pPr>
      <w:rPr>
        <w:rFonts w:ascii="Courier New" w:hAnsi="Courier New" w:cs="Courier New" w:hint="default"/>
      </w:rPr>
    </w:lvl>
    <w:lvl w:ilvl="5" w:tplc="D64CD680" w:tentative="1">
      <w:start w:val="1"/>
      <w:numFmt w:val="bullet"/>
      <w:lvlText w:val=""/>
      <w:lvlJc w:val="left"/>
      <w:pPr>
        <w:tabs>
          <w:tab w:val="num" w:pos="4320"/>
        </w:tabs>
        <w:ind w:left="4320" w:hanging="360"/>
      </w:pPr>
      <w:rPr>
        <w:rFonts w:ascii="Wingdings" w:hAnsi="Wingdings" w:hint="default"/>
      </w:rPr>
    </w:lvl>
    <w:lvl w:ilvl="6" w:tplc="64DCADBE" w:tentative="1">
      <w:start w:val="1"/>
      <w:numFmt w:val="bullet"/>
      <w:lvlText w:val=""/>
      <w:lvlJc w:val="left"/>
      <w:pPr>
        <w:tabs>
          <w:tab w:val="num" w:pos="5040"/>
        </w:tabs>
        <w:ind w:left="5040" w:hanging="360"/>
      </w:pPr>
      <w:rPr>
        <w:rFonts w:ascii="Symbol" w:hAnsi="Symbol" w:hint="default"/>
      </w:rPr>
    </w:lvl>
    <w:lvl w:ilvl="7" w:tplc="D206C886" w:tentative="1">
      <w:start w:val="1"/>
      <w:numFmt w:val="bullet"/>
      <w:lvlText w:val="o"/>
      <w:lvlJc w:val="left"/>
      <w:pPr>
        <w:tabs>
          <w:tab w:val="num" w:pos="5760"/>
        </w:tabs>
        <w:ind w:left="5760" w:hanging="360"/>
      </w:pPr>
      <w:rPr>
        <w:rFonts w:ascii="Courier New" w:hAnsi="Courier New" w:cs="Courier New" w:hint="default"/>
      </w:rPr>
    </w:lvl>
    <w:lvl w:ilvl="8" w:tplc="3314E4AA"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34614280">
    <w:abstractNumId w:val="10"/>
  </w:num>
  <w:num w:numId="2" w16cid:durableId="1229150255">
    <w:abstractNumId w:val="7"/>
  </w:num>
  <w:num w:numId="3" w16cid:durableId="473451641">
    <w:abstractNumId w:val="6"/>
  </w:num>
  <w:num w:numId="4" w16cid:durableId="404689235">
    <w:abstractNumId w:val="5"/>
  </w:num>
  <w:num w:numId="5" w16cid:durableId="1886134202">
    <w:abstractNumId w:val="4"/>
  </w:num>
  <w:num w:numId="6" w16cid:durableId="1061444147">
    <w:abstractNumId w:val="8"/>
  </w:num>
  <w:num w:numId="7" w16cid:durableId="40594461">
    <w:abstractNumId w:val="3"/>
  </w:num>
  <w:num w:numId="8" w16cid:durableId="324482477">
    <w:abstractNumId w:val="2"/>
  </w:num>
  <w:num w:numId="9" w16cid:durableId="264700488">
    <w:abstractNumId w:val="1"/>
  </w:num>
  <w:num w:numId="10" w16cid:durableId="287904942">
    <w:abstractNumId w:val="0"/>
  </w:num>
  <w:num w:numId="11" w16cid:durableId="335572060">
    <w:abstractNumId w:val="9"/>
  </w:num>
  <w:num w:numId="12" w16cid:durableId="947348715">
    <w:abstractNumId w:val="11"/>
  </w:num>
  <w:num w:numId="13" w16cid:durableId="343289714">
    <w:abstractNumId w:val="13"/>
  </w:num>
  <w:num w:numId="14" w16cid:durableId="284386027">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49FB"/>
    <w:rsid w:val="00012B4F"/>
    <w:rsid w:val="00013862"/>
    <w:rsid w:val="00013F6D"/>
    <w:rsid w:val="00016012"/>
    <w:rsid w:val="00020189"/>
    <w:rsid w:val="00020EE4"/>
    <w:rsid w:val="00023E9A"/>
    <w:rsid w:val="00033CDD"/>
    <w:rsid w:val="00034A84"/>
    <w:rsid w:val="00035E67"/>
    <w:rsid w:val="000366F3"/>
    <w:rsid w:val="0006024D"/>
    <w:rsid w:val="00071F28"/>
    <w:rsid w:val="00074079"/>
    <w:rsid w:val="00092799"/>
    <w:rsid w:val="00092C5F"/>
    <w:rsid w:val="00096680"/>
    <w:rsid w:val="000A0F36"/>
    <w:rsid w:val="000A174A"/>
    <w:rsid w:val="000A3E0A"/>
    <w:rsid w:val="000A65AC"/>
    <w:rsid w:val="000A7159"/>
    <w:rsid w:val="000B7281"/>
    <w:rsid w:val="000B7FAB"/>
    <w:rsid w:val="000C0163"/>
    <w:rsid w:val="000C1BA1"/>
    <w:rsid w:val="000C3EA9"/>
    <w:rsid w:val="000D0225"/>
    <w:rsid w:val="000E7895"/>
    <w:rsid w:val="000F161D"/>
    <w:rsid w:val="000F3CAA"/>
    <w:rsid w:val="00102ABB"/>
    <w:rsid w:val="00115292"/>
    <w:rsid w:val="00121BF0"/>
    <w:rsid w:val="00123704"/>
    <w:rsid w:val="001270C7"/>
    <w:rsid w:val="00132540"/>
    <w:rsid w:val="00133F0F"/>
    <w:rsid w:val="0014786A"/>
    <w:rsid w:val="001516A4"/>
    <w:rsid w:val="00151E5F"/>
    <w:rsid w:val="00153E28"/>
    <w:rsid w:val="001569AB"/>
    <w:rsid w:val="00164D63"/>
    <w:rsid w:val="0016725C"/>
    <w:rsid w:val="001726F3"/>
    <w:rsid w:val="00173C51"/>
    <w:rsid w:val="00174CC2"/>
    <w:rsid w:val="00176CC6"/>
    <w:rsid w:val="00181BE4"/>
    <w:rsid w:val="00185576"/>
    <w:rsid w:val="00185951"/>
    <w:rsid w:val="00196B8B"/>
    <w:rsid w:val="001A2BEA"/>
    <w:rsid w:val="001A6D93"/>
    <w:rsid w:val="001C071E"/>
    <w:rsid w:val="001C32EC"/>
    <w:rsid w:val="001C38BD"/>
    <w:rsid w:val="001C4D5A"/>
    <w:rsid w:val="001E34C6"/>
    <w:rsid w:val="001E5581"/>
    <w:rsid w:val="001F3C70"/>
    <w:rsid w:val="00200D88"/>
    <w:rsid w:val="00201F68"/>
    <w:rsid w:val="00212F2A"/>
    <w:rsid w:val="00214F2B"/>
    <w:rsid w:val="00217880"/>
    <w:rsid w:val="00222D66"/>
    <w:rsid w:val="00224A8A"/>
    <w:rsid w:val="002309A8"/>
    <w:rsid w:val="002369BF"/>
    <w:rsid w:val="00236CFE"/>
    <w:rsid w:val="002428E3"/>
    <w:rsid w:val="00243031"/>
    <w:rsid w:val="00260BAF"/>
    <w:rsid w:val="002650F7"/>
    <w:rsid w:val="00273F3B"/>
    <w:rsid w:val="00274DB7"/>
    <w:rsid w:val="00275984"/>
    <w:rsid w:val="00280F74"/>
    <w:rsid w:val="002822CA"/>
    <w:rsid w:val="00286998"/>
    <w:rsid w:val="00291AB7"/>
    <w:rsid w:val="00292EB2"/>
    <w:rsid w:val="0029422B"/>
    <w:rsid w:val="002A0938"/>
    <w:rsid w:val="002B153C"/>
    <w:rsid w:val="002B52FC"/>
    <w:rsid w:val="002C2830"/>
    <w:rsid w:val="002D001A"/>
    <w:rsid w:val="002D28E2"/>
    <w:rsid w:val="002D317B"/>
    <w:rsid w:val="002D3587"/>
    <w:rsid w:val="002D502D"/>
    <w:rsid w:val="002E0F69"/>
    <w:rsid w:val="002F5147"/>
    <w:rsid w:val="002F7ABD"/>
    <w:rsid w:val="00312597"/>
    <w:rsid w:val="00327BA5"/>
    <w:rsid w:val="0033326F"/>
    <w:rsid w:val="00334154"/>
    <w:rsid w:val="003372C4"/>
    <w:rsid w:val="00340ECA"/>
    <w:rsid w:val="00341FA0"/>
    <w:rsid w:val="00344F3D"/>
    <w:rsid w:val="00345299"/>
    <w:rsid w:val="00351A8D"/>
    <w:rsid w:val="003526BB"/>
    <w:rsid w:val="00352BCF"/>
    <w:rsid w:val="00352DFB"/>
    <w:rsid w:val="00353932"/>
    <w:rsid w:val="0035464B"/>
    <w:rsid w:val="00361A56"/>
    <w:rsid w:val="0036252A"/>
    <w:rsid w:val="00364D9D"/>
    <w:rsid w:val="00371048"/>
    <w:rsid w:val="0037396C"/>
    <w:rsid w:val="0037421D"/>
    <w:rsid w:val="00376093"/>
    <w:rsid w:val="003779BE"/>
    <w:rsid w:val="00383DA1"/>
    <w:rsid w:val="00385F30"/>
    <w:rsid w:val="00393696"/>
    <w:rsid w:val="00393963"/>
    <w:rsid w:val="00395575"/>
    <w:rsid w:val="00395672"/>
    <w:rsid w:val="003A06C8"/>
    <w:rsid w:val="003A0D7C"/>
    <w:rsid w:val="003A5290"/>
    <w:rsid w:val="003B0155"/>
    <w:rsid w:val="003B7EE7"/>
    <w:rsid w:val="003C2CCB"/>
    <w:rsid w:val="003D39EC"/>
    <w:rsid w:val="003D5DED"/>
    <w:rsid w:val="003E3DD5"/>
    <w:rsid w:val="003F07C6"/>
    <w:rsid w:val="003F1F6B"/>
    <w:rsid w:val="003F3757"/>
    <w:rsid w:val="003F38BD"/>
    <w:rsid w:val="003F44B7"/>
    <w:rsid w:val="004008E9"/>
    <w:rsid w:val="00413D48"/>
    <w:rsid w:val="00441AC2"/>
    <w:rsid w:val="0044249B"/>
    <w:rsid w:val="004425CC"/>
    <w:rsid w:val="0045023C"/>
    <w:rsid w:val="00451A5B"/>
    <w:rsid w:val="00452BCD"/>
    <w:rsid w:val="00452CEA"/>
    <w:rsid w:val="00465B52"/>
    <w:rsid w:val="0046708E"/>
    <w:rsid w:val="00472A65"/>
    <w:rsid w:val="00474463"/>
    <w:rsid w:val="00474B75"/>
    <w:rsid w:val="00483F0B"/>
    <w:rsid w:val="00496319"/>
    <w:rsid w:val="00497279"/>
    <w:rsid w:val="004A163B"/>
    <w:rsid w:val="004A670A"/>
    <w:rsid w:val="004B5465"/>
    <w:rsid w:val="004B70F0"/>
    <w:rsid w:val="004C21A8"/>
    <w:rsid w:val="004D505E"/>
    <w:rsid w:val="004D72CA"/>
    <w:rsid w:val="004E2242"/>
    <w:rsid w:val="004E505E"/>
    <w:rsid w:val="004F42FF"/>
    <w:rsid w:val="004F44C2"/>
    <w:rsid w:val="00502512"/>
    <w:rsid w:val="00503FD2"/>
    <w:rsid w:val="00505262"/>
    <w:rsid w:val="00516022"/>
    <w:rsid w:val="00521CEE"/>
    <w:rsid w:val="00524FB4"/>
    <w:rsid w:val="00527BD4"/>
    <w:rsid w:val="00537095"/>
    <w:rsid w:val="005403C8"/>
    <w:rsid w:val="005429DC"/>
    <w:rsid w:val="005565F9"/>
    <w:rsid w:val="00573041"/>
    <w:rsid w:val="00575B80"/>
    <w:rsid w:val="0057620F"/>
    <w:rsid w:val="005819CE"/>
    <w:rsid w:val="0058298D"/>
    <w:rsid w:val="00584C1A"/>
    <w:rsid w:val="00591E4A"/>
    <w:rsid w:val="00593C2B"/>
    <w:rsid w:val="00595231"/>
    <w:rsid w:val="00596166"/>
    <w:rsid w:val="00597F64"/>
    <w:rsid w:val="005A207F"/>
    <w:rsid w:val="005A2F35"/>
    <w:rsid w:val="005B3814"/>
    <w:rsid w:val="005B463E"/>
    <w:rsid w:val="005C34E1"/>
    <w:rsid w:val="005C3FE0"/>
    <w:rsid w:val="005C65B5"/>
    <w:rsid w:val="005C740C"/>
    <w:rsid w:val="005D625B"/>
    <w:rsid w:val="005F62D3"/>
    <w:rsid w:val="005F6D11"/>
    <w:rsid w:val="00600CF0"/>
    <w:rsid w:val="006048F4"/>
    <w:rsid w:val="0060660A"/>
    <w:rsid w:val="00613B1D"/>
    <w:rsid w:val="00617A44"/>
    <w:rsid w:val="006202B6"/>
    <w:rsid w:val="00625CD0"/>
    <w:rsid w:val="0062627D"/>
    <w:rsid w:val="006273C1"/>
    <w:rsid w:val="00627432"/>
    <w:rsid w:val="006448E4"/>
    <w:rsid w:val="00645414"/>
    <w:rsid w:val="00651CEE"/>
    <w:rsid w:val="00653606"/>
    <w:rsid w:val="006610E9"/>
    <w:rsid w:val="00661591"/>
    <w:rsid w:val="00664678"/>
    <w:rsid w:val="0066632F"/>
    <w:rsid w:val="00674A89"/>
    <w:rsid w:val="00674F3D"/>
    <w:rsid w:val="00685545"/>
    <w:rsid w:val="006864B3"/>
    <w:rsid w:val="00692D64"/>
    <w:rsid w:val="006A10F8"/>
    <w:rsid w:val="006A2100"/>
    <w:rsid w:val="006A5C3B"/>
    <w:rsid w:val="006A72E0"/>
    <w:rsid w:val="006B0BF3"/>
    <w:rsid w:val="006B4CA7"/>
    <w:rsid w:val="006B775E"/>
    <w:rsid w:val="006B7BC7"/>
    <w:rsid w:val="006C2535"/>
    <w:rsid w:val="006C441E"/>
    <w:rsid w:val="006C4B90"/>
    <w:rsid w:val="006D1016"/>
    <w:rsid w:val="006D17F2"/>
    <w:rsid w:val="006E3546"/>
    <w:rsid w:val="006E3FA9"/>
    <w:rsid w:val="006E7D82"/>
    <w:rsid w:val="006F038F"/>
    <w:rsid w:val="006F0F93"/>
    <w:rsid w:val="006F31F2"/>
    <w:rsid w:val="006F7494"/>
    <w:rsid w:val="006F751F"/>
    <w:rsid w:val="00705433"/>
    <w:rsid w:val="00714DC5"/>
    <w:rsid w:val="00715237"/>
    <w:rsid w:val="00721AE1"/>
    <w:rsid w:val="007254A5"/>
    <w:rsid w:val="00725748"/>
    <w:rsid w:val="007269E3"/>
    <w:rsid w:val="00735D88"/>
    <w:rsid w:val="0073720D"/>
    <w:rsid w:val="00737507"/>
    <w:rsid w:val="00740712"/>
    <w:rsid w:val="00742AB9"/>
    <w:rsid w:val="00746C31"/>
    <w:rsid w:val="00751A6A"/>
    <w:rsid w:val="00754FBF"/>
    <w:rsid w:val="007610AA"/>
    <w:rsid w:val="007709EF"/>
    <w:rsid w:val="00782701"/>
    <w:rsid w:val="00783559"/>
    <w:rsid w:val="0079551B"/>
    <w:rsid w:val="00797AA5"/>
    <w:rsid w:val="007A26BD"/>
    <w:rsid w:val="007A4105"/>
    <w:rsid w:val="007B4503"/>
    <w:rsid w:val="007C406E"/>
    <w:rsid w:val="007C5183"/>
    <w:rsid w:val="007C7573"/>
    <w:rsid w:val="007E2B20"/>
    <w:rsid w:val="007F1FE4"/>
    <w:rsid w:val="007F439C"/>
    <w:rsid w:val="007F510A"/>
    <w:rsid w:val="007F5331"/>
    <w:rsid w:val="00800CCA"/>
    <w:rsid w:val="0080120C"/>
    <w:rsid w:val="00806120"/>
    <w:rsid w:val="00806F63"/>
    <w:rsid w:val="00810C93"/>
    <w:rsid w:val="00812028"/>
    <w:rsid w:val="00812DD8"/>
    <w:rsid w:val="00813082"/>
    <w:rsid w:val="00814D03"/>
    <w:rsid w:val="00820371"/>
    <w:rsid w:val="00821FC1"/>
    <w:rsid w:val="00823AE2"/>
    <w:rsid w:val="0083178B"/>
    <w:rsid w:val="00831EE4"/>
    <w:rsid w:val="00833695"/>
    <w:rsid w:val="008336B7"/>
    <w:rsid w:val="00833A8E"/>
    <w:rsid w:val="00836ACA"/>
    <w:rsid w:val="00842CD8"/>
    <w:rsid w:val="008431FA"/>
    <w:rsid w:val="00847444"/>
    <w:rsid w:val="008517C6"/>
    <w:rsid w:val="008547BA"/>
    <w:rsid w:val="008553C7"/>
    <w:rsid w:val="00857FEB"/>
    <w:rsid w:val="008601AF"/>
    <w:rsid w:val="00872271"/>
    <w:rsid w:val="008805CE"/>
    <w:rsid w:val="00883137"/>
    <w:rsid w:val="00894A3B"/>
    <w:rsid w:val="008A0325"/>
    <w:rsid w:val="008A1F5D"/>
    <w:rsid w:val="008A28F5"/>
    <w:rsid w:val="008B1198"/>
    <w:rsid w:val="008B3471"/>
    <w:rsid w:val="008B3929"/>
    <w:rsid w:val="008B4125"/>
    <w:rsid w:val="008B4CB3"/>
    <w:rsid w:val="008B567B"/>
    <w:rsid w:val="008B7B24"/>
    <w:rsid w:val="008C356D"/>
    <w:rsid w:val="008D43B5"/>
    <w:rsid w:val="008E0B3F"/>
    <w:rsid w:val="008E49AD"/>
    <w:rsid w:val="008E698E"/>
    <w:rsid w:val="008F2584"/>
    <w:rsid w:val="008F3246"/>
    <w:rsid w:val="008F3C1B"/>
    <w:rsid w:val="008F508C"/>
    <w:rsid w:val="00901BE9"/>
    <w:rsid w:val="0090271B"/>
    <w:rsid w:val="00906C2E"/>
    <w:rsid w:val="00910642"/>
    <w:rsid w:val="00910DDF"/>
    <w:rsid w:val="00921607"/>
    <w:rsid w:val="00922290"/>
    <w:rsid w:val="00926AE2"/>
    <w:rsid w:val="00930B13"/>
    <w:rsid w:val="009311C8"/>
    <w:rsid w:val="00933376"/>
    <w:rsid w:val="00933A2F"/>
    <w:rsid w:val="00946BB1"/>
    <w:rsid w:val="009716D8"/>
    <w:rsid w:val="009718F9"/>
    <w:rsid w:val="00971F42"/>
    <w:rsid w:val="00972FB9"/>
    <w:rsid w:val="00975112"/>
    <w:rsid w:val="00981768"/>
    <w:rsid w:val="00983E8F"/>
    <w:rsid w:val="0098788A"/>
    <w:rsid w:val="00994FDA"/>
    <w:rsid w:val="009A31BF"/>
    <w:rsid w:val="009A3B71"/>
    <w:rsid w:val="009A61BC"/>
    <w:rsid w:val="009B0138"/>
    <w:rsid w:val="009B0FE9"/>
    <w:rsid w:val="009B173A"/>
    <w:rsid w:val="009C3F20"/>
    <w:rsid w:val="009C7CA1"/>
    <w:rsid w:val="009D043D"/>
    <w:rsid w:val="009E3C59"/>
    <w:rsid w:val="009F3259"/>
    <w:rsid w:val="00A037D5"/>
    <w:rsid w:val="00A056DE"/>
    <w:rsid w:val="00A128AD"/>
    <w:rsid w:val="00A16D7E"/>
    <w:rsid w:val="00A21E76"/>
    <w:rsid w:val="00A23BC8"/>
    <w:rsid w:val="00A245F8"/>
    <w:rsid w:val="00A30E68"/>
    <w:rsid w:val="00A31933"/>
    <w:rsid w:val="00A329D2"/>
    <w:rsid w:val="00A34AA0"/>
    <w:rsid w:val="00A3715C"/>
    <w:rsid w:val="00A413B4"/>
    <w:rsid w:val="00A41FE2"/>
    <w:rsid w:val="00A46FEF"/>
    <w:rsid w:val="00A47948"/>
    <w:rsid w:val="00A50CF6"/>
    <w:rsid w:val="00A56946"/>
    <w:rsid w:val="00A6170E"/>
    <w:rsid w:val="00A63B8C"/>
    <w:rsid w:val="00A715F8"/>
    <w:rsid w:val="00A77E66"/>
    <w:rsid w:val="00A77F6F"/>
    <w:rsid w:val="00A831FD"/>
    <w:rsid w:val="00A83352"/>
    <w:rsid w:val="00A850A2"/>
    <w:rsid w:val="00A91FA3"/>
    <w:rsid w:val="00A927D3"/>
    <w:rsid w:val="00AA7FC9"/>
    <w:rsid w:val="00AB237D"/>
    <w:rsid w:val="00AB5933"/>
    <w:rsid w:val="00AE013D"/>
    <w:rsid w:val="00AE11B7"/>
    <w:rsid w:val="00AE7F68"/>
    <w:rsid w:val="00AF2321"/>
    <w:rsid w:val="00AF52F6"/>
    <w:rsid w:val="00AF52FD"/>
    <w:rsid w:val="00AF54A8"/>
    <w:rsid w:val="00AF7237"/>
    <w:rsid w:val="00B0043A"/>
    <w:rsid w:val="00B00D75"/>
    <w:rsid w:val="00B070CB"/>
    <w:rsid w:val="00B12456"/>
    <w:rsid w:val="00B145F0"/>
    <w:rsid w:val="00B259C8"/>
    <w:rsid w:val="00B26CCF"/>
    <w:rsid w:val="00B30FC2"/>
    <w:rsid w:val="00B331A2"/>
    <w:rsid w:val="00B425F0"/>
    <w:rsid w:val="00B42DFA"/>
    <w:rsid w:val="00B531DD"/>
    <w:rsid w:val="00B55014"/>
    <w:rsid w:val="00B62232"/>
    <w:rsid w:val="00B70BF3"/>
    <w:rsid w:val="00B71DC2"/>
    <w:rsid w:val="00B849F5"/>
    <w:rsid w:val="00B91CFC"/>
    <w:rsid w:val="00B93893"/>
    <w:rsid w:val="00BA1397"/>
    <w:rsid w:val="00BA4C00"/>
    <w:rsid w:val="00BA7E0A"/>
    <w:rsid w:val="00BC2C00"/>
    <w:rsid w:val="00BC3B53"/>
    <w:rsid w:val="00BC3B96"/>
    <w:rsid w:val="00BC4AE3"/>
    <w:rsid w:val="00BC5B28"/>
    <w:rsid w:val="00BD2370"/>
    <w:rsid w:val="00BE3F88"/>
    <w:rsid w:val="00BE4756"/>
    <w:rsid w:val="00BE5ED9"/>
    <w:rsid w:val="00BE7B41"/>
    <w:rsid w:val="00C15A91"/>
    <w:rsid w:val="00C206F1"/>
    <w:rsid w:val="00C217E1"/>
    <w:rsid w:val="00C219B1"/>
    <w:rsid w:val="00C4015B"/>
    <w:rsid w:val="00C40C60"/>
    <w:rsid w:val="00C43FE6"/>
    <w:rsid w:val="00C5258E"/>
    <w:rsid w:val="00C530C9"/>
    <w:rsid w:val="00C619A7"/>
    <w:rsid w:val="00C73D5F"/>
    <w:rsid w:val="00C82AFE"/>
    <w:rsid w:val="00C83DBC"/>
    <w:rsid w:val="00C90702"/>
    <w:rsid w:val="00C97C80"/>
    <w:rsid w:val="00CA47D3"/>
    <w:rsid w:val="00CA6533"/>
    <w:rsid w:val="00CA6A25"/>
    <w:rsid w:val="00CA6A3F"/>
    <w:rsid w:val="00CA7C99"/>
    <w:rsid w:val="00CC6290"/>
    <w:rsid w:val="00CC6947"/>
    <w:rsid w:val="00CD233D"/>
    <w:rsid w:val="00CD3499"/>
    <w:rsid w:val="00CD362D"/>
    <w:rsid w:val="00CE101D"/>
    <w:rsid w:val="00CE1814"/>
    <w:rsid w:val="00CE1A95"/>
    <w:rsid w:val="00CE1C84"/>
    <w:rsid w:val="00CE5055"/>
    <w:rsid w:val="00CF053F"/>
    <w:rsid w:val="00CF1A17"/>
    <w:rsid w:val="00CF65AC"/>
    <w:rsid w:val="00D0375A"/>
    <w:rsid w:val="00D0609E"/>
    <w:rsid w:val="00D078E1"/>
    <w:rsid w:val="00D100E9"/>
    <w:rsid w:val="00D17942"/>
    <w:rsid w:val="00D21E4B"/>
    <w:rsid w:val="00D22441"/>
    <w:rsid w:val="00D23522"/>
    <w:rsid w:val="00D264D6"/>
    <w:rsid w:val="00D33BF0"/>
    <w:rsid w:val="00D33DE0"/>
    <w:rsid w:val="00D36447"/>
    <w:rsid w:val="00D516BE"/>
    <w:rsid w:val="00D5423B"/>
    <w:rsid w:val="00D54E6A"/>
    <w:rsid w:val="00D54F4E"/>
    <w:rsid w:val="00D56E01"/>
    <w:rsid w:val="00D57A56"/>
    <w:rsid w:val="00D604B3"/>
    <w:rsid w:val="00D60BA4"/>
    <w:rsid w:val="00D62419"/>
    <w:rsid w:val="00D77870"/>
    <w:rsid w:val="00D80977"/>
    <w:rsid w:val="00D80CCE"/>
    <w:rsid w:val="00D86EEA"/>
    <w:rsid w:val="00D87D03"/>
    <w:rsid w:val="00D9360B"/>
    <w:rsid w:val="00D95C88"/>
    <w:rsid w:val="00D97B2E"/>
    <w:rsid w:val="00DA241E"/>
    <w:rsid w:val="00DB36FE"/>
    <w:rsid w:val="00DB533A"/>
    <w:rsid w:val="00DB60AE"/>
    <w:rsid w:val="00DB6307"/>
    <w:rsid w:val="00DC60B1"/>
    <w:rsid w:val="00DD1DCD"/>
    <w:rsid w:val="00DD338F"/>
    <w:rsid w:val="00DD66F2"/>
    <w:rsid w:val="00DE3FE0"/>
    <w:rsid w:val="00DE578A"/>
    <w:rsid w:val="00DF2583"/>
    <w:rsid w:val="00DF54D9"/>
    <w:rsid w:val="00DF7283"/>
    <w:rsid w:val="00E01A59"/>
    <w:rsid w:val="00E10DC6"/>
    <w:rsid w:val="00E11F8E"/>
    <w:rsid w:val="00E15881"/>
    <w:rsid w:val="00E16A8F"/>
    <w:rsid w:val="00E21DE3"/>
    <w:rsid w:val="00E273C5"/>
    <w:rsid w:val="00E307D1"/>
    <w:rsid w:val="00E3731D"/>
    <w:rsid w:val="00E51469"/>
    <w:rsid w:val="00E634E3"/>
    <w:rsid w:val="00E652A4"/>
    <w:rsid w:val="00E717C4"/>
    <w:rsid w:val="00E77E18"/>
    <w:rsid w:val="00E77F89"/>
    <w:rsid w:val="00E80330"/>
    <w:rsid w:val="00E806C5"/>
    <w:rsid w:val="00E80E71"/>
    <w:rsid w:val="00E850D3"/>
    <w:rsid w:val="00E853D6"/>
    <w:rsid w:val="00E876B9"/>
    <w:rsid w:val="00EC0DFF"/>
    <w:rsid w:val="00EC237D"/>
    <w:rsid w:val="00EC2918"/>
    <w:rsid w:val="00EC4D0E"/>
    <w:rsid w:val="00EC4E2B"/>
    <w:rsid w:val="00ED072A"/>
    <w:rsid w:val="00ED539E"/>
    <w:rsid w:val="00EE4A1F"/>
    <w:rsid w:val="00EE4C2D"/>
    <w:rsid w:val="00EF1B5A"/>
    <w:rsid w:val="00EF24FB"/>
    <w:rsid w:val="00EF2CCA"/>
    <w:rsid w:val="00EF495B"/>
    <w:rsid w:val="00EF60DC"/>
    <w:rsid w:val="00F00F54"/>
    <w:rsid w:val="00F03963"/>
    <w:rsid w:val="00F11068"/>
    <w:rsid w:val="00F1256D"/>
    <w:rsid w:val="00F13A4E"/>
    <w:rsid w:val="00F172BB"/>
    <w:rsid w:val="00F17B10"/>
    <w:rsid w:val="00F21BEF"/>
    <w:rsid w:val="00F22C9A"/>
    <w:rsid w:val="00F2315B"/>
    <w:rsid w:val="00F34805"/>
    <w:rsid w:val="00F41A6F"/>
    <w:rsid w:val="00F45A25"/>
    <w:rsid w:val="00F50F86"/>
    <w:rsid w:val="00F53F91"/>
    <w:rsid w:val="00F61569"/>
    <w:rsid w:val="00F61A72"/>
    <w:rsid w:val="00F62B67"/>
    <w:rsid w:val="00F66F13"/>
    <w:rsid w:val="00F74073"/>
    <w:rsid w:val="00F75603"/>
    <w:rsid w:val="00F845B4"/>
    <w:rsid w:val="00F8713B"/>
    <w:rsid w:val="00F93F9E"/>
    <w:rsid w:val="00FA2CD7"/>
    <w:rsid w:val="00FB06ED"/>
    <w:rsid w:val="00FC2311"/>
    <w:rsid w:val="00FC3165"/>
    <w:rsid w:val="00FC36AB"/>
    <w:rsid w:val="00FC4300"/>
    <w:rsid w:val="00FC7F66"/>
    <w:rsid w:val="00FD5776"/>
    <w:rsid w:val="00FE1CB6"/>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62B4953"/>
  <w15:docId w15:val="{71F918F2-9697-4EAC-BFBA-8FE240650B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iPriority w:val="99"/>
    <w:unhideWhenUsed/>
    <w:rsid w:val="00C82AFE"/>
    <w:pPr>
      <w:spacing w:line="180" w:lineRule="atLeast"/>
    </w:pPr>
    <w:rPr>
      <w:sz w:val="13"/>
      <w:szCs w:val="20"/>
    </w:rPr>
  </w:style>
  <w:style w:type="character" w:customStyle="1" w:styleId="VoetnoottekstChar">
    <w:name w:val="Voetnoottekst Char"/>
    <w:basedOn w:val="Standaardalinea-lettertype"/>
    <w:link w:val="Voetnoottekst"/>
    <w:uiPriority w:val="99"/>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character" w:styleId="Voetnootmarkering">
    <w:name w:val="footnote reference"/>
    <w:basedOn w:val="Standaardalinea-lettertype"/>
    <w:uiPriority w:val="99"/>
    <w:semiHidden/>
    <w:unhideWhenUsed/>
    <w:rsid w:val="00BA4C0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6216971">
      <w:bodyDiv w:val="1"/>
      <w:marLeft w:val="0"/>
      <w:marRight w:val="0"/>
      <w:marTop w:val="0"/>
      <w:marBottom w:val="0"/>
      <w:divBdr>
        <w:top w:val="none" w:sz="0" w:space="0" w:color="auto"/>
        <w:left w:val="none" w:sz="0" w:space="0" w:color="auto"/>
        <w:bottom w:val="none" w:sz="0" w:space="0" w:color="auto"/>
        <w:right w:val="none" w:sz="0" w:space="0" w:color="auto"/>
      </w:divBdr>
    </w:div>
    <w:div w:id="2145078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3</ap:Pages>
  <ap:Words>588</ap:Words>
  <ap:Characters>3511</ap:Characters>
  <ap:DocSecurity>0</ap:DocSecurity>
  <ap:Lines>87</ap:Lines>
  <ap:Paragraphs>18</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4081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revision/>
  <lastPrinted>2009-07-01T14:30:00.0000000Z</lastPrinted>
  <dcterms:created xsi:type="dcterms:W3CDTF">2025-03-11T12:37:00.0000000Z</dcterms:created>
  <dcterms:modified xsi:type="dcterms:W3CDTF">2025-03-12T08:47:00.0000000Z</dcterms:modified>
  <dc:creator/>
  <lastModifiedBy/>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
    <vt:lpwstr>koetsj</vt:lpwstr>
  </property>
  <property fmtid="{D5CDD505-2E9C-101B-9397-08002B2CF9AE}" pid="3" name="AUTHOR_ID">
    <vt:lpwstr>koetsj</vt:lpwstr>
  </property>
  <property fmtid="{D5CDD505-2E9C-101B-9397-08002B2CF9AE}" pid="4" name="A_ADRES">
    <vt:lpwstr>De Voorzitter van de Tweede Kamer 
der Staten-Generaal
Prinses Irenestraat 6
2595 BD  DEN HAAG
</vt:lpwstr>
  </property>
  <property fmtid="{D5CDD505-2E9C-101B-9397-08002B2CF9AE}" pid="5" name="A_DEP_NAAM">
    <vt:lpwstr>EZK</vt:lpwstr>
  </property>
  <property fmtid="{D5CDD505-2E9C-101B-9397-08002B2CF9AE}" pid="6" name="A_DOC_RICHTING_ID">
    <vt:lpwstr>Uitgaand</vt:lpwstr>
  </property>
  <property fmtid="{D5CDD505-2E9C-101B-9397-08002B2CF9AE}" pid="7" name="A_KENMERK">
    <vt:lpwstr/>
  </property>
  <property fmtid="{D5CDD505-2E9C-101B-9397-08002B2CF9AE}" pid="8" name="DOCNAME">
    <vt:lpwstr>Geannoteerde Agenda formele Raad Algemene Zaken - Cohesie 28 maart TK</vt:lpwstr>
  </property>
  <property fmtid="{D5CDD505-2E9C-101B-9397-08002B2CF9AE}" pid="9" name="documentId">
    <vt:lpwstr>documentId</vt:lpwstr>
  </property>
  <property fmtid="{D5CDD505-2E9C-101B-9397-08002B2CF9AE}" pid="10" name="Header">
    <vt:lpwstr>Brief - EZ</vt:lpwstr>
  </property>
  <property fmtid="{D5CDD505-2E9C-101B-9397-08002B2CF9AE}" pid="11" name="HeaderId">
    <vt:lpwstr>F47FC491B8054EF2BA2DA29E24BFB169</vt:lpwstr>
  </property>
  <property fmtid="{D5CDD505-2E9C-101B-9397-08002B2CF9AE}" pid="12" name="Template">
    <vt:lpwstr>Brief - EZ</vt:lpwstr>
  </property>
  <property fmtid="{D5CDD505-2E9C-101B-9397-08002B2CF9AE}" pid="13" name="TemplateId">
    <vt:lpwstr>EFDB1B21C0F949259FF82E4D6753CEAF</vt:lpwstr>
  </property>
  <property fmtid="{D5CDD505-2E9C-101B-9397-08002B2CF9AE}" pid="14" name="TYPE_ID">
    <vt:lpwstr>Brief</vt:lpwstr>
  </property>
  <property fmtid="{D5CDD505-2E9C-101B-9397-08002B2CF9AE}" pid="15" name="Typist">
    <vt:lpwstr>koetsj</vt:lpwstr>
  </property>
</Properties>
</file>