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Layout w:type="fixed"/>
        <w:tblCellMar>
          <w:left w:w="0" w:type="dxa"/>
          <w:right w:w="0" w:type="dxa"/>
        </w:tblCellMar>
        <w:tblLook w:val="01E0" w:firstRow="1" w:lastRow="1" w:firstColumn="1" w:lastColumn="1" w:noHBand="0" w:noVBand="0"/>
      </w:tblPr>
      <w:tblGrid>
        <w:gridCol w:w="1903"/>
        <w:gridCol w:w="6893"/>
        <w:gridCol w:w="17"/>
      </w:tblGrid>
      <w:tr w:rsidR="007D5845" w:rsidTr="00B96979" w14:paraId="14339859" w14:textId="77777777">
        <w:trPr>
          <w:trHeight w:val="506"/>
        </w:trPr>
        <w:tc>
          <w:tcPr>
            <w:tcW w:w="8813" w:type="dxa"/>
            <w:gridSpan w:val="3"/>
            <w:shd w:val="clear" w:color="auto" w:fill="39860B"/>
          </w:tcPr>
          <w:p w:rsidR="007D5845" w:rsidRDefault="00F51296" w14:paraId="5D670147" w14:textId="46338926">
            <w:pPr>
              <w:pStyle w:val="TableParagraph"/>
              <w:spacing w:before="56"/>
              <w:rPr>
                <w:b/>
                <w:sz w:val="16"/>
              </w:rPr>
            </w:pPr>
            <w:r>
              <w:rPr>
                <w:b/>
                <w:color w:val="FFFFFF"/>
                <w:sz w:val="16"/>
              </w:rPr>
              <w:t>Bestedingsvoorstel:</w:t>
            </w:r>
            <w:r w:rsidR="0048522D">
              <w:rPr>
                <w:b/>
                <w:color w:val="FFFFFF"/>
                <w:sz w:val="16"/>
              </w:rPr>
              <w:t xml:space="preserve"> </w:t>
            </w:r>
            <w:r w:rsidR="00727C0A">
              <w:rPr>
                <w:b/>
                <w:color w:val="FFFFFF"/>
                <w:sz w:val="16"/>
              </w:rPr>
              <w:t>H</w:t>
            </w:r>
            <w:r w:rsidRPr="00727C0A" w:rsidR="00727C0A">
              <w:rPr>
                <w:b/>
                <w:color w:val="FFFFFF"/>
                <w:sz w:val="16"/>
              </w:rPr>
              <w:t xml:space="preserve">andel en </w:t>
            </w:r>
            <w:r w:rsidR="00AC17CC">
              <w:rPr>
                <w:b/>
                <w:color w:val="FFFFFF"/>
                <w:sz w:val="16"/>
              </w:rPr>
              <w:t>economie</w:t>
            </w:r>
            <w:r w:rsidR="00E1561F">
              <w:rPr>
                <w:b/>
                <w:color w:val="FFFFFF"/>
                <w:sz w:val="16"/>
              </w:rPr>
              <w:t xml:space="preserve"> (</w:t>
            </w:r>
            <w:proofErr w:type="spellStart"/>
            <w:r w:rsidR="00AC17CC">
              <w:rPr>
                <w:b/>
                <w:color w:val="FFFFFF"/>
                <w:sz w:val="16"/>
              </w:rPr>
              <w:t>subartikel</w:t>
            </w:r>
            <w:proofErr w:type="spellEnd"/>
            <w:r w:rsidR="00AC17CC">
              <w:rPr>
                <w:b/>
                <w:color w:val="FFFFFF"/>
                <w:sz w:val="16"/>
              </w:rPr>
              <w:t xml:space="preserve"> 1.3</w:t>
            </w:r>
            <w:r w:rsidR="00E1561F">
              <w:rPr>
                <w:b/>
                <w:color w:val="FFFFFF"/>
                <w:sz w:val="16"/>
              </w:rPr>
              <w:t>)</w:t>
            </w:r>
          </w:p>
          <w:p w:rsidR="007D5845" w:rsidRDefault="00F51296" w14:paraId="53A8F7B4" w14:textId="77777777">
            <w:pPr>
              <w:pStyle w:val="TableParagraph"/>
              <w:spacing w:before="14"/>
              <w:rPr>
                <w:b/>
                <w:sz w:val="16"/>
              </w:rPr>
            </w:pPr>
            <w:r>
              <w:rPr>
                <w:b/>
                <w:color w:val="FFFFFF"/>
                <w:sz w:val="16"/>
              </w:rPr>
              <w:t>Onderbouwing</w:t>
            </w:r>
            <w:r>
              <w:rPr>
                <w:b/>
                <w:color w:val="FFFFFF"/>
                <w:spacing w:val="-9"/>
                <w:sz w:val="16"/>
              </w:rPr>
              <w:t xml:space="preserve"> </w:t>
            </w:r>
            <w:r>
              <w:rPr>
                <w:b/>
                <w:color w:val="FFFFFF"/>
                <w:sz w:val="16"/>
              </w:rPr>
              <w:t>doeltreffendheid,</w:t>
            </w:r>
            <w:r>
              <w:rPr>
                <w:b/>
                <w:color w:val="FFFFFF"/>
                <w:spacing w:val="-8"/>
                <w:sz w:val="16"/>
              </w:rPr>
              <w:t xml:space="preserve"> </w:t>
            </w:r>
            <w:r>
              <w:rPr>
                <w:b/>
                <w:color w:val="FFFFFF"/>
                <w:sz w:val="16"/>
              </w:rPr>
              <w:t>doelmatigheid</w:t>
            </w:r>
            <w:r>
              <w:rPr>
                <w:b/>
                <w:color w:val="FFFFFF"/>
                <w:spacing w:val="-9"/>
                <w:sz w:val="16"/>
              </w:rPr>
              <w:t xml:space="preserve"> </w:t>
            </w:r>
            <w:r>
              <w:rPr>
                <w:b/>
                <w:color w:val="FFFFFF"/>
                <w:sz w:val="16"/>
              </w:rPr>
              <w:t>en</w:t>
            </w:r>
            <w:r>
              <w:rPr>
                <w:b/>
                <w:color w:val="FFFFFF"/>
                <w:spacing w:val="-8"/>
                <w:sz w:val="16"/>
              </w:rPr>
              <w:t xml:space="preserve"> </w:t>
            </w:r>
            <w:r>
              <w:rPr>
                <w:b/>
                <w:color w:val="FFFFFF"/>
                <w:sz w:val="16"/>
              </w:rPr>
              <w:t>evaluatie</w:t>
            </w:r>
            <w:r>
              <w:rPr>
                <w:b/>
                <w:color w:val="FFFFFF"/>
                <w:spacing w:val="-7"/>
                <w:sz w:val="16"/>
              </w:rPr>
              <w:t xml:space="preserve"> </w:t>
            </w:r>
            <w:r>
              <w:rPr>
                <w:b/>
                <w:color w:val="FFFFFF"/>
                <w:sz w:val="16"/>
              </w:rPr>
              <w:t>(CW</w:t>
            </w:r>
            <w:r>
              <w:rPr>
                <w:b/>
                <w:color w:val="FFFFFF"/>
                <w:spacing w:val="-7"/>
                <w:sz w:val="16"/>
              </w:rPr>
              <w:t xml:space="preserve"> </w:t>
            </w:r>
            <w:r>
              <w:rPr>
                <w:b/>
                <w:color w:val="FFFFFF"/>
                <w:spacing w:val="-4"/>
                <w:sz w:val="16"/>
              </w:rPr>
              <w:t>3.1)</w:t>
            </w:r>
          </w:p>
        </w:tc>
      </w:tr>
      <w:tr w:rsidR="007D5845" w:rsidTr="00B96979" w14:paraId="6C96537F" w14:textId="77777777">
        <w:trPr>
          <w:trHeight w:val="1488"/>
        </w:trPr>
        <w:tc>
          <w:tcPr>
            <w:tcW w:w="1903" w:type="dxa"/>
            <w:tcBorders>
              <w:bottom w:val="single" w:color="017AC6" w:sz="8" w:space="0"/>
            </w:tcBorders>
            <w:shd w:val="clear" w:color="auto" w:fill="D5EEF8"/>
          </w:tcPr>
          <w:p w:rsidR="007D5845" w:rsidRDefault="00F51296" w14:paraId="1A684DA6" w14:textId="77777777">
            <w:pPr>
              <w:pStyle w:val="TableParagraph"/>
              <w:spacing w:before="56"/>
              <w:ind w:left="88"/>
              <w:rPr>
                <w:b/>
                <w:sz w:val="16"/>
              </w:rPr>
            </w:pPr>
            <w:r>
              <w:rPr>
                <w:b/>
                <w:sz w:val="16"/>
              </w:rPr>
              <w:t>1.</w:t>
            </w:r>
            <w:r>
              <w:rPr>
                <w:b/>
                <w:spacing w:val="-2"/>
                <w:sz w:val="16"/>
              </w:rPr>
              <w:t xml:space="preserve"> Doel(en)</w:t>
            </w:r>
          </w:p>
        </w:tc>
        <w:tc>
          <w:tcPr>
            <w:tcW w:w="6910" w:type="dxa"/>
            <w:gridSpan w:val="2"/>
            <w:tcBorders>
              <w:bottom w:val="single" w:color="017AC6" w:sz="8" w:space="0"/>
            </w:tcBorders>
          </w:tcPr>
          <w:p w:rsidRPr="003B0AAF" w:rsidR="00727C0A" w:rsidP="003B0AAF" w:rsidRDefault="00727C0A" w14:paraId="073EC2C2" w14:textId="77777777">
            <w:pPr>
              <w:rPr>
                <w:b/>
                <w:bCs/>
                <w:sz w:val="16"/>
                <w:szCs w:val="16"/>
              </w:rPr>
            </w:pPr>
            <w:r w:rsidRPr="003B0AAF">
              <w:rPr>
                <w:b/>
                <w:bCs/>
                <w:sz w:val="16"/>
                <w:szCs w:val="16"/>
              </w:rPr>
              <w:t>Doelstelling</w:t>
            </w:r>
          </w:p>
          <w:p w:rsidR="007A7427" w:rsidP="003B0AAF" w:rsidRDefault="00727C0A" w14:paraId="45DF4A72" w14:textId="6447F019">
            <w:pPr>
              <w:rPr>
                <w:sz w:val="16"/>
                <w:szCs w:val="16"/>
              </w:rPr>
            </w:pPr>
            <w:r w:rsidRPr="00727C0A">
              <w:rPr>
                <w:sz w:val="16"/>
                <w:szCs w:val="16"/>
              </w:rPr>
              <w:t xml:space="preserve">Met het onderliggende bestedingsvoorstel voor de periode </w:t>
            </w:r>
            <w:r w:rsidRPr="00E71F17" w:rsidR="00E71F17">
              <w:rPr>
                <w:sz w:val="16"/>
                <w:szCs w:val="16"/>
              </w:rPr>
              <w:t xml:space="preserve">2026—2030 </w:t>
            </w:r>
            <w:r w:rsidRPr="00727C0A">
              <w:rPr>
                <w:sz w:val="16"/>
                <w:szCs w:val="16"/>
              </w:rPr>
              <w:t>beoogt het kabinet een bijdrage te leveren aan</w:t>
            </w:r>
            <w:r>
              <w:rPr>
                <w:sz w:val="16"/>
                <w:szCs w:val="16"/>
              </w:rPr>
              <w:t xml:space="preserve"> </w:t>
            </w:r>
            <w:r w:rsidR="00BB5D8F">
              <w:rPr>
                <w:sz w:val="16"/>
                <w:szCs w:val="16"/>
              </w:rPr>
              <w:t xml:space="preserve">het sterker verbinden van hulp, handel en investeringen. Door ontwikkelingshulp in te zetten waar duurzame economische ontwikkeling in landen en Nederlands verdienvermogen elkaar kunnen versterken, nu en in de toekomst, </w:t>
            </w:r>
            <w:r w:rsidRPr="00A77827" w:rsidR="00A77827">
              <w:rPr>
                <w:sz w:val="16"/>
                <w:szCs w:val="16"/>
              </w:rPr>
              <w:t>wordt een bijdrage geleverd aan sociaal-economische ontwikkeling van stabiele lage- en middeninkomenslanden en aan Nederlandse handelsbelangen</w:t>
            </w:r>
            <w:r w:rsidR="00BB5D8F">
              <w:rPr>
                <w:sz w:val="16"/>
                <w:szCs w:val="16"/>
              </w:rPr>
              <w:t>.</w:t>
            </w:r>
            <w:r>
              <w:rPr>
                <w:sz w:val="16"/>
                <w:szCs w:val="16"/>
              </w:rPr>
              <w:t xml:space="preserve"> </w:t>
            </w:r>
          </w:p>
          <w:p w:rsidR="00727C0A" w:rsidP="003B0AAF" w:rsidRDefault="00727C0A" w14:paraId="7CBA30B6" w14:textId="77777777">
            <w:pPr>
              <w:rPr>
                <w:sz w:val="16"/>
                <w:szCs w:val="16"/>
              </w:rPr>
            </w:pPr>
          </w:p>
          <w:p w:rsidRPr="003445C6" w:rsidR="003445C6" w:rsidP="007E43D2" w:rsidRDefault="00727C0A" w14:paraId="49CAE8F4" w14:textId="78C1ADF3">
            <w:pPr>
              <w:rPr>
                <w:sz w:val="16"/>
                <w:szCs w:val="16"/>
              </w:rPr>
            </w:pPr>
            <w:proofErr w:type="spellStart"/>
            <w:r w:rsidRPr="00E1561F">
              <w:rPr>
                <w:b/>
                <w:bCs/>
                <w:sz w:val="16"/>
                <w:szCs w:val="16"/>
              </w:rPr>
              <w:t>Sub-d</w:t>
            </w:r>
            <w:r w:rsidRPr="00E1561F" w:rsidR="000E1CAB">
              <w:rPr>
                <w:b/>
                <w:bCs/>
                <w:sz w:val="16"/>
                <w:szCs w:val="16"/>
              </w:rPr>
              <w:t>oel</w:t>
            </w:r>
            <w:r w:rsidR="00E1561F">
              <w:rPr>
                <w:b/>
                <w:bCs/>
                <w:sz w:val="16"/>
                <w:szCs w:val="16"/>
              </w:rPr>
              <w:t>en</w:t>
            </w:r>
            <w:proofErr w:type="spellEnd"/>
            <w:r w:rsidR="000E1CAB">
              <w:rPr>
                <w:sz w:val="16"/>
                <w:szCs w:val="16"/>
              </w:rPr>
              <w:t>:</w:t>
            </w:r>
          </w:p>
          <w:p w:rsidRPr="007821A9" w:rsidR="00E1561F" w:rsidP="003B0AAF" w:rsidRDefault="007821A9" w14:paraId="64F6DACB" w14:textId="443F0F1C">
            <w:pPr>
              <w:pStyle w:val="ListParagraph"/>
              <w:numPr>
                <w:ilvl w:val="0"/>
                <w:numId w:val="11"/>
              </w:numPr>
              <w:ind w:left="357" w:hanging="357"/>
              <w:rPr>
                <w:b/>
                <w:bCs/>
                <w:sz w:val="16"/>
                <w:szCs w:val="16"/>
              </w:rPr>
            </w:pPr>
            <w:r>
              <w:rPr>
                <w:b/>
                <w:bCs/>
                <w:sz w:val="16"/>
                <w:szCs w:val="16"/>
              </w:rPr>
              <w:t>Versterken c</w:t>
            </w:r>
            <w:r w:rsidRPr="007821A9" w:rsidR="00E1561F">
              <w:rPr>
                <w:b/>
                <w:bCs/>
                <w:sz w:val="16"/>
                <w:szCs w:val="16"/>
              </w:rPr>
              <w:t>ombi</w:t>
            </w:r>
            <w:r>
              <w:rPr>
                <w:b/>
                <w:bCs/>
                <w:sz w:val="16"/>
                <w:szCs w:val="16"/>
              </w:rPr>
              <w:t>-</w:t>
            </w:r>
            <w:r w:rsidRPr="007821A9" w:rsidR="00E1561F">
              <w:rPr>
                <w:b/>
                <w:bCs/>
                <w:sz w:val="16"/>
                <w:szCs w:val="16"/>
              </w:rPr>
              <w:t>tracks</w:t>
            </w:r>
          </w:p>
          <w:p w:rsidRPr="003445C6" w:rsidR="003445C6" w:rsidP="00E1561F" w:rsidRDefault="003445C6" w14:paraId="0857B6FB" w14:textId="6308D597">
            <w:pPr>
              <w:pStyle w:val="ListParagraph"/>
              <w:ind w:left="357"/>
              <w:rPr>
                <w:sz w:val="16"/>
                <w:szCs w:val="16"/>
              </w:rPr>
            </w:pPr>
            <w:r w:rsidRPr="003445C6">
              <w:rPr>
                <w:sz w:val="16"/>
                <w:szCs w:val="16"/>
              </w:rPr>
              <w:t>In ontwikkelingslanden met een substantieel verdienpotentieel verbinden we ontwikkelingshulp</w:t>
            </w:r>
            <w:r w:rsidRPr="00D31BF2" w:rsidR="00D31BF2">
              <w:rPr>
                <w:sz w:val="16"/>
                <w:szCs w:val="16"/>
              </w:rPr>
              <w:t>,</w:t>
            </w:r>
            <w:r w:rsidRPr="003445C6">
              <w:rPr>
                <w:sz w:val="16"/>
                <w:szCs w:val="16"/>
              </w:rPr>
              <w:t xml:space="preserve"> handel </w:t>
            </w:r>
            <w:r w:rsidRPr="00D31BF2" w:rsidR="00D31BF2">
              <w:rPr>
                <w:sz w:val="16"/>
                <w:szCs w:val="16"/>
              </w:rPr>
              <w:t xml:space="preserve">en investeringen via </w:t>
            </w:r>
            <w:r w:rsidR="00D31BF2">
              <w:rPr>
                <w:sz w:val="16"/>
                <w:szCs w:val="16"/>
              </w:rPr>
              <w:t xml:space="preserve">de zogenaamde </w:t>
            </w:r>
            <w:r w:rsidRPr="00D31BF2" w:rsidR="00D31BF2">
              <w:rPr>
                <w:sz w:val="16"/>
                <w:szCs w:val="16"/>
              </w:rPr>
              <w:t>combi-tracks. Deze aanpak versterkt het</w:t>
            </w:r>
            <w:r w:rsidRPr="003445C6">
              <w:rPr>
                <w:sz w:val="16"/>
                <w:szCs w:val="16"/>
              </w:rPr>
              <w:t xml:space="preserve"> lokale </w:t>
            </w:r>
            <w:r w:rsidRPr="00D31BF2" w:rsidR="00D31BF2">
              <w:rPr>
                <w:sz w:val="16"/>
                <w:szCs w:val="16"/>
              </w:rPr>
              <w:t>ondernemersklimaat door</w:t>
            </w:r>
            <w:r w:rsidR="00450C7B">
              <w:rPr>
                <w:sz w:val="16"/>
                <w:szCs w:val="16"/>
              </w:rPr>
              <w:t xml:space="preserve"> in overleg met Nederlandse bedrijven</w:t>
            </w:r>
            <w:r w:rsidRPr="00D31BF2" w:rsidR="00D31BF2">
              <w:rPr>
                <w:sz w:val="16"/>
                <w:szCs w:val="16"/>
              </w:rPr>
              <w:t xml:space="preserve"> barrières</w:t>
            </w:r>
            <w:r w:rsidR="008C2EAF">
              <w:rPr>
                <w:sz w:val="16"/>
                <w:szCs w:val="16"/>
              </w:rPr>
              <w:t xml:space="preserve"> voor </w:t>
            </w:r>
            <w:r w:rsidRPr="00D31BF2" w:rsidR="00D31BF2">
              <w:rPr>
                <w:sz w:val="16"/>
                <w:szCs w:val="16"/>
              </w:rPr>
              <w:t xml:space="preserve">markttoegang te verlagen en hervormingen te ondersteunen. Dit schept kansen in strategische sectoren waar Nederland sterk in is zoals voedselzekerheid, watermanagement en gezondheid. Hierdoor krijgen </w:t>
            </w:r>
            <w:r w:rsidR="008C2EAF">
              <w:rPr>
                <w:sz w:val="16"/>
                <w:szCs w:val="16"/>
              </w:rPr>
              <w:t>Nederlandse bedrijven</w:t>
            </w:r>
            <w:r w:rsidRPr="00D31BF2" w:rsidR="00D31BF2">
              <w:rPr>
                <w:sz w:val="16"/>
                <w:szCs w:val="16"/>
              </w:rPr>
              <w:t xml:space="preserve"> betere toegang tot groeimarkten, wat leidt tot verhoogde export en veiligere langetermijninvesteringen. Ontwikkelingsfinanciering voor private sector ontwikkeling speelt hierbij een sleutelrol door handels- en investeringsmogelijkheden te stimuleren, waardoor economische samenwerking tussen Nederland en deze landen verder wordt versterkt.</w:t>
            </w:r>
            <w:r w:rsidR="00D31BF2">
              <w:rPr>
                <w:sz w:val="16"/>
                <w:szCs w:val="16"/>
              </w:rPr>
              <w:t xml:space="preserve"> We </w:t>
            </w:r>
            <w:r w:rsidR="0001636E">
              <w:rPr>
                <w:sz w:val="16"/>
                <w:szCs w:val="16"/>
              </w:rPr>
              <w:t xml:space="preserve">intensiveren </w:t>
            </w:r>
            <w:r w:rsidR="00D31BF2">
              <w:rPr>
                <w:sz w:val="16"/>
                <w:szCs w:val="16"/>
              </w:rPr>
              <w:t>d</w:t>
            </w:r>
            <w:r w:rsidRPr="00D31BF2" w:rsidR="008C2EAF">
              <w:rPr>
                <w:sz w:val="16"/>
                <w:szCs w:val="16"/>
              </w:rPr>
              <w:t xml:space="preserve">e combi-tracks, </w:t>
            </w:r>
            <w:r w:rsidR="00D31BF2">
              <w:rPr>
                <w:sz w:val="16"/>
                <w:szCs w:val="16"/>
              </w:rPr>
              <w:t>door te</w:t>
            </w:r>
            <w:r w:rsidR="0001636E">
              <w:rPr>
                <w:sz w:val="16"/>
                <w:szCs w:val="16"/>
              </w:rPr>
              <w:t xml:space="preserve"> kijken of be</w:t>
            </w:r>
            <w:r w:rsidR="008C2EAF">
              <w:rPr>
                <w:sz w:val="16"/>
                <w:szCs w:val="16"/>
              </w:rPr>
              <w:t xml:space="preserve">staande combi-tracks extra budget nodig hebben </w:t>
            </w:r>
            <w:r w:rsidR="00191925">
              <w:rPr>
                <w:sz w:val="16"/>
                <w:szCs w:val="16"/>
              </w:rPr>
              <w:t xml:space="preserve">of </w:t>
            </w:r>
            <w:r w:rsidR="008C2EAF">
              <w:rPr>
                <w:sz w:val="16"/>
                <w:szCs w:val="16"/>
              </w:rPr>
              <w:t>op andere wijze kunnen worden opgeschaald</w:t>
            </w:r>
            <w:r w:rsidR="0001636E">
              <w:rPr>
                <w:sz w:val="16"/>
                <w:szCs w:val="16"/>
              </w:rPr>
              <w:t>,</w:t>
            </w:r>
            <w:r w:rsidR="008C2EAF">
              <w:rPr>
                <w:sz w:val="16"/>
                <w:szCs w:val="16"/>
              </w:rPr>
              <w:t xml:space="preserve"> en of nieuwe combi-tracks kunnen worden opgestart.</w:t>
            </w:r>
            <w:r w:rsidR="009956BB">
              <w:rPr>
                <w:sz w:val="16"/>
                <w:szCs w:val="16"/>
              </w:rPr>
              <w:t xml:space="preserve"> Daarnaast zetten we combitracks strategischer in binnen de economische betrekkingen met de betreffende landen. Ook vereenvoudigen we de uitvoering. </w:t>
            </w:r>
          </w:p>
          <w:p w:rsidR="00E1561F" w:rsidP="00E1561F" w:rsidRDefault="00E1561F" w14:paraId="145A7EF2" w14:textId="77777777">
            <w:pPr>
              <w:pStyle w:val="ListParagraph"/>
              <w:widowControl/>
              <w:autoSpaceDE/>
              <w:autoSpaceDN/>
              <w:ind w:left="357"/>
              <w:rPr>
                <w:sz w:val="16"/>
                <w:szCs w:val="16"/>
              </w:rPr>
            </w:pPr>
          </w:p>
          <w:p w:rsidRPr="007821A9" w:rsidR="00E1561F" w:rsidP="007E4B05" w:rsidRDefault="007821A9" w14:paraId="0FFB1077" w14:textId="2124AB9A">
            <w:pPr>
              <w:pStyle w:val="ListParagraph"/>
              <w:widowControl/>
              <w:numPr>
                <w:ilvl w:val="0"/>
                <w:numId w:val="11"/>
              </w:numPr>
              <w:autoSpaceDE/>
              <w:autoSpaceDN/>
              <w:ind w:left="357" w:hanging="357"/>
              <w:rPr>
                <w:b/>
                <w:bCs/>
                <w:sz w:val="16"/>
                <w:szCs w:val="16"/>
              </w:rPr>
            </w:pPr>
            <w:r w:rsidRPr="007821A9">
              <w:rPr>
                <w:b/>
                <w:bCs/>
                <w:sz w:val="16"/>
                <w:szCs w:val="16"/>
              </w:rPr>
              <w:t>Versterken o</w:t>
            </w:r>
            <w:r w:rsidRPr="007821A9" w:rsidR="00E1561F">
              <w:rPr>
                <w:b/>
                <w:bCs/>
                <w:sz w:val="16"/>
                <w:szCs w:val="16"/>
              </w:rPr>
              <w:t>nder</w:t>
            </w:r>
            <w:r w:rsidRPr="007821A9">
              <w:rPr>
                <w:b/>
                <w:bCs/>
                <w:sz w:val="16"/>
                <w:szCs w:val="16"/>
              </w:rPr>
              <w:t>nemingsklimaat</w:t>
            </w:r>
          </w:p>
          <w:p w:rsidR="00C41E95" w:rsidP="007821A9" w:rsidRDefault="00A26CF1" w14:paraId="4EC7886E" w14:textId="6EC4D3B7">
            <w:pPr>
              <w:pStyle w:val="ListParagraph"/>
              <w:widowControl/>
              <w:autoSpaceDE/>
              <w:autoSpaceDN/>
              <w:ind w:left="357"/>
              <w:rPr>
                <w:sz w:val="16"/>
                <w:szCs w:val="16"/>
              </w:rPr>
            </w:pPr>
            <w:r>
              <w:rPr>
                <w:sz w:val="16"/>
                <w:szCs w:val="16"/>
              </w:rPr>
              <w:t>W</w:t>
            </w:r>
            <w:r w:rsidRPr="003445C6" w:rsidR="003445C6">
              <w:rPr>
                <w:sz w:val="16"/>
                <w:szCs w:val="16"/>
              </w:rPr>
              <w:t xml:space="preserve">e </w:t>
            </w:r>
            <w:r>
              <w:rPr>
                <w:sz w:val="16"/>
                <w:szCs w:val="16"/>
              </w:rPr>
              <w:t xml:space="preserve">helpen </w:t>
            </w:r>
            <w:r w:rsidRPr="003445C6" w:rsidR="003445C6">
              <w:rPr>
                <w:sz w:val="16"/>
                <w:szCs w:val="16"/>
              </w:rPr>
              <w:t>stabiele ontwikkelingslanden met het versterken van hun ondernemingsklimaat</w:t>
            </w:r>
            <w:r w:rsidR="009D736D">
              <w:rPr>
                <w:sz w:val="16"/>
                <w:szCs w:val="16"/>
              </w:rPr>
              <w:t xml:space="preserve"> (w.o. </w:t>
            </w:r>
            <w:r w:rsidR="00191925">
              <w:rPr>
                <w:sz w:val="16"/>
                <w:szCs w:val="16"/>
              </w:rPr>
              <w:t xml:space="preserve">verbeterde </w:t>
            </w:r>
            <w:r w:rsidR="009D736D">
              <w:rPr>
                <w:sz w:val="16"/>
                <w:szCs w:val="16"/>
              </w:rPr>
              <w:t>infrastructuur</w:t>
            </w:r>
            <w:r w:rsidR="00191925">
              <w:rPr>
                <w:sz w:val="16"/>
                <w:szCs w:val="16"/>
              </w:rPr>
              <w:t xml:space="preserve">, instituties en </w:t>
            </w:r>
            <w:r w:rsidR="009D736D">
              <w:rPr>
                <w:sz w:val="16"/>
                <w:szCs w:val="16"/>
              </w:rPr>
              <w:t>wet- en regelgeving)</w:t>
            </w:r>
            <w:r w:rsidRPr="003445C6" w:rsidR="003445C6">
              <w:rPr>
                <w:sz w:val="16"/>
                <w:szCs w:val="16"/>
              </w:rPr>
              <w:t>, financiële dienstverlening</w:t>
            </w:r>
            <w:r w:rsidR="00DC78FD">
              <w:rPr>
                <w:sz w:val="16"/>
                <w:szCs w:val="16"/>
              </w:rPr>
              <w:t xml:space="preserve"> en </w:t>
            </w:r>
            <w:r w:rsidRPr="003445C6" w:rsidR="003445C6">
              <w:rPr>
                <w:sz w:val="16"/>
                <w:szCs w:val="16"/>
              </w:rPr>
              <w:t>een beter benut arbeidspotentieel</w:t>
            </w:r>
            <w:r>
              <w:rPr>
                <w:sz w:val="16"/>
                <w:szCs w:val="16"/>
              </w:rPr>
              <w:t>,</w:t>
            </w:r>
            <w:r w:rsidR="00DC78FD">
              <w:rPr>
                <w:sz w:val="16"/>
                <w:szCs w:val="16"/>
              </w:rPr>
              <w:t xml:space="preserve"> om </w:t>
            </w:r>
            <w:r>
              <w:rPr>
                <w:sz w:val="16"/>
                <w:szCs w:val="16"/>
              </w:rPr>
              <w:t>hun economische ontwikkeling te ondersteunen en deze landen uit te laten groeien tot toekomstige handelspartners voor Nederlandse bedrijven</w:t>
            </w:r>
            <w:r w:rsidRPr="003445C6" w:rsidR="003445C6">
              <w:rPr>
                <w:sz w:val="16"/>
                <w:szCs w:val="16"/>
              </w:rPr>
              <w:t>.</w:t>
            </w:r>
          </w:p>
          <w:p w:rsidRPr="007821A9" w:rsidR="007821A9" w:rsidP="007821A9" w:rsidRDefault="007821A9" w14:paraId="77756373" w14:textId="77777777">
            <w:pPr>
              <w:pStyle w:val="ListParagraph"/>
              <w:widowControl/>
              <w:autoSpaceDE/>
              <w:autoSpaceDN/>
              <w:ind w:left="357"/>
              <w:rPr>
                <w:rStyle w:val="cf01"/>
                <w:rFonts w:ascii="Calibri" w:hAnsi="Calibri" w:cs="Calibri"/>
                <w:sz w:val="16"/>
                <w:szCs w:val="16"/>
              </w:rPr>
            </w:pPr>
          </w:p>
          <w:p w:rsidRPr="007821A9" w:rsidR="007821A9" w:rsidP="00C41E95" w:rsidRDefault="007821A9" w14:paraId="43965FEA" w14:textId="6AB25255">
            <w:pPr>
              <w:pStyle w:val="ListParagraph"/>
              <w:widowControl/>
              <w:numPr>
                <w:ilvl w:val="0"/>
                <w:numId w:val="11"/>
              </w:numPr>
              <w:autoSpaceDE/>
              <w:autoSpaceDN/>
              <w:ind w:left="357" w:hanging="357"/>
              <w:rPr>
                <w:rStyle w:val="cf01"/>
                <w:rFonts w:ascii="Calibri" w:hAnsi="Calibri" w:cs="Calibri"/>
                <w:b/>
                <w:bCs/>
                <w:sz w:val="16"/>
                <w:szCs w:val="16"/>
              </w:rPr>
            </w:pPr>
            <w:r w:rsidRPr="007821A9">
              <w:rPr>
                <w:rStyle w:val="cf01"/>
                <w:rFonts w:ascii="Calibri" w:hAnsi="Calibri" w:cs="Calibri"/>
                <w:b/>
                <w:bCs/>
                <w:sz w:val="16"/>
                <w:szCs w:val="16"/>
              </w:rPr>
              <w:t>Wegnemen handelsblokkades</w:t>
            </w:r>
          </w:p>
          <w:p w:rsidRPr="00C41E95" w:rsidR="00C41E95" w:rsidP="007821A9" w:rsidRDefault="00DC78FD" w14:paraId="75C1C5DD" w14:textId="6D752EEE">
            <w:pPr>
              <w:pStyle w:val="ListParagraph"/>
              <w:widowControl/>
              <w:autoSpaceDE/>
              <w:autoSpaceDN/>
              <w:ind w:left="357"/>
              <w:rPr>
                <w:sz w:val="16"/>
                <w:szCs w:val="16"/>
              </w:rPr>
            </w:pPr>
            <w:r>
              <w:rPr>
                <w:rStyle w:val="cf01"/>
                <w:rFonts w:asciiTheme="minorHAnsi" w:hAnsiTheme="minorHAnsi" w:cstheme="minorHAnsi"/>
                <w:sz w:val="16"/>
                <w:szCs w:val="16"/>
              </w:rPr>
              <w:t xml:space="preserve">Ook </w:t>
            </w:r>
            <w:r w:rsidRPr="00C41E95" w:rsidR="009711C5">
              <w:rPr>
                <w:rStyle w:val="cf01"/>
                <w:rFonts w:asciiTheme="minorHAnsi" w:hAnsiTheme="minorHAnsi" w:cstheme="minorHAnsi"/>
                <w:sz w:val="16"/>
                <w:szCs w:val="16"/>
              </w:rPr>
              <w:t xml:space="preserve">investeren we in het wegnemen van handelsblokkades voor een betere toegang van </w:t>
            </w:r>
            <w:r w:rsidR="004355AB">
              <w:rPr>
                <w:rStyle w:val="cf01"/>
                <w:rFonts w:asciiTheme="minorHAnsi" w:hAnsiTheme="minorHAnsi" w:cstheme="minorHAnsi"/>
                <w:sz w:val="16"/>
                <w:szCs w:val="16"/>
              </w:rPr>
              <w:t xml:space="preserve">het </w:t>
            </w:r>
            <w:r w:rsidRPr="00C41E95" w:rsidR="009711C5">
              <w:rPr>
                <w:rStyle w:val="cf01"/>
                <w:rFonts w:asciiTheme="minorHAnsi" w:hAnsiTheme="minorHAnsi" w:cstheme="minorHAnsi"/>
                <w:sz w:val="16"/>
                <w:szCs w:val="16"/>
              </w:rPr>
              <w:t>m</w:t>
            </w:r>
            <w:r w:rsidR="004355AB">
              <w:rPr>
                <w:rStyle w:val="cf01"/>
                <w:rFonts w:asciiTheme="minorHAnsi" w:hAnsiTheme="minorHAnsi" w:cstheme="minorHAnsi"/>
                <w:sz w:val="16"/>
                <w:szCs w:val="16"/>
              </w:rPr>
              <w:t xml:space="preserve">idden- en </w:t>
            </w:r>
            <w:r w:rsidRPr="00C41E95" w:rsidR="009711C5">
              <w:rPr>
                <w:rStyle w:val="cf01"/>
                <w:rFonts w:asciiTheme="minorHAnsi" w:hAnsiTheme="minorHAnsi" w:cstheme="minorHAnsi"/>
                <w:sz w:val="16"/>
                <w:szCs w:val="16"/>
              </w:rPr>
              <w:t>k</w:t>
            </w:r>
            <w:r w:rsidR="004355AB">
              <w:rPr>
                <w:rStyle w:val="cf01"/>
                <w:rFonts w:asciiTheme="minorHAnsi" w:hAnsiTheme="minorHAnsi" w:cstheme="minorHAnsi"/>
                <w:sz w:val="16"/>
                <w:szCs w:val="16"/>
              </w:rPr>
              <w:t>lein</w:t>
            </w:r>
            <w:r w:rsidRPr="00C41E95" w:rsidR="009711C5">
              <w:rPr>
                <w:rStyle w:val="cf01"/>
                <w:rFonts w:asciiTheme="minorHAnsi" w:hAnsiTheme="minorHAnsi" w:cstheme="minorHAnsi"/>
                <w:sz w:val="16"/>
                <w:szCs w:val="16"/>
              </w:rPr>
              <w:t>b</w:t>
            </w:r>
            <w:r w:rsidR="004355AB">
              <w:rPr>
                <w:rStyle w:val="cf01"/>
                <w:rFonts w:asciiTheme="minorHAnsi" w:hAnsiTheme="minorHAnsi" w:cstheme="minorHAnsi"/>
                <w:sz w:val="16"/>
                <w:szCs w:val="16"/>
              </w:rPr>
              <w:t>edrijf</w:t>
            </w:r>
            <w:r w:rsidRPr="00C41E95" w:rsidR="009711C5">
              <w:rPr>
                <w:rStyle w:val="cf01"/>
                <w:rFonts w:asciiTheme="minorHAnsi" w:hAnsiTheme="minorHAnsi" w:cstheme="minorHAnsi"/>
                <w:sz w:val="16"/>
                <w:szCs w:val="16"/>
              </w:rPr>
              <w:t xml:space="preserve"> </w:t>
            </w:r>
            <w:r w:rsidR="004355AB">
              <w:rPr>
                <w:rStyle w:val="cf01"/>
                <w:rFonts w:asciiTheme="minorHAnsi" w:hAnsiTheme="minorHAnsi" w:cstheme="minorHAnsi"/>
                <w:sz w:val="16"/>
                <w:szCs w:val="16"/>
              </w:rPr>
              <w:t xml:space="preserve">(mkb) </w:t>
            </w:r>
            <w:r w:rsidRPr="00C41E95" w:rsidR="009711C5">
              <w:rPr>
                <w:rStyle w:val="cf01"/>
                <w:rFonts w:asciiTheme="minorHAnsi" w:hAnsiTheme="minorHAnsi" w:cstheme="minorHAnsi"/>
                <w:sz w:val="16"/>
                <w:szCs w:val="16"/>
              </w:rPr>
              <w:t xml:space="preserve">uit ontwikkelingslanden tot regionale en internationale markten. </w:t>
            </w:r>
            <w:r w:rsidRPr="00C41E95" w:rsidR="0025312E">
              <w:rPr>
                <w:rStyle w:val="cf01"/>
                <w:rFonts w:asciiTheme="minorHAnsi" w:hAnsiTheme="minorHAnsi" w:cstheme="minorHAnsi"/>
                <w:sz w:val="16"/>
                <w:szCs w:val="16"/>
              </w:rPr>
              <w:t>Doelstellingen zijn d</w:t>
            </w:r>
            <w:r w:rsidRPr="00C41E95" w:rsidR="009711C5">
              <w:rPr>
                <w:rStyle w:val="cf01"/>
                <w:rFonts w:asciiTheme="minorHAnsi" w:hAnsiTheme="minorHAnsi" w:cstheme="minorHAnsi"/>
                <w:sz w:val="16"/>
                <w:szCs w:val="16"/>
              </w:rPr>
              <w:t>at deze bedrijven kunnen voldoen aan Europese standaarden voor verantwoord ondernemen (I</w:t>
            </w:r>
            <w:r w:rsidR="004355AB">
              <w:rPr>
                <w:rStyle w:val="cf01"/>
                <w:rFonts w:asciiTheme="minorHAnsi" w:hAnsiTheme="minorHAnsi" w:cstheme="minorHAnsi"/>
                <w:sz w:val="16"/>
                <w:szCs w:val="16"/>
              </w:rPr>
              <w:t xml:space="preserve">nternationaal </w:t>
            </w:r>
            <w:r w:rsidRPr="00C41E95" w:rsidR="009711C5">
              <w:rPr>
                <w:rStyle w:val="cf01"/>
                <w:rFonts w:asciiTheme="minorHAnsi" w:hAnsiTheme="minorHAnsi" w:cstheme="minorHAnsi"/>
                <w:sz w:val="16"/>
                <w:szCs w:val="16"/>
              </w:rPr>
              <w:t>M</w:t>
            </w:r>
            <w:r w:rsidR="004355AB">
              <w:rPr>
                <w:rStyle w:val="cf01"/>
                <w:rFonts w:asciiTheme="minorHAnsi" w:hAnsiTheme="minorHAnsi" w:cstheme="minorHAnsi"/>
                <w:sz w:val="16"/>
                <w:szCs w:val="16"/>
              </w:rPr>
              <w:t xml:space="preserve">aatschappelijk </w:t>
            </w:r>
            <w:r w:rsidRPr="00C41E95" w:rsidR="009711C5">
              <w:rPr>
                <w:rStyle w:val="cf01"/>
                <w:rFonts w:asciiTheme="minorHAnsi" w:hAnsiTheme="minorHAnsi" w:cstheme="minorHAnsi"/>
                <w:sz w:val="16"/>
                <w:szCs w:val="16"/>
              </w:rPr>
              <w:t>V</w:t>
            </w:r>
            <w:r w:rsidR="004355AB">
              <w:rPr>
                <w:rStyle w:val="cf01"/>
                <w:rFonts w:asciiTheme="minorHAnsi" w:hAnsiTheme="minorHAnsi" w:cstheme="minorHAnsi"/>
                <w:sz w:val="16"/>
                <w:szCs w:val="16"/>
              </w:rPr>
              <w:t xml:space="preserve">erantwoord </w:t>
            </w:r>
            <w:r w:rsidRPr="00C41E95" w:rsidR="009711C5">
              <w:rPr>
                <w:rStyle w:val="cf01"/>
                <w:rFonts w:asciiTheme="minorHAnsi" w:hAnsiTheme="minorHAnsi" w:cstheme="minorHAnsi"/>
                <w:sz w:val="16"/>
                <w:szCs w:val="16"/>
              </w:rPr>
              <w:t>O</w:t>
            </w:r>
            <w:r w:rsidR="004355AB">
              <w:rPr>
                <w:rStyle w:val="cf01"/>
                <w:rFonts w:asciiTheme="minorHAnsi" w:hAnsiTheme="minorHAnsi" w:cstheme="minorHAnsi"/>
                <w:sz w:val="16"/>
                <w:szCs w:val="16"/>
              </w:rPr>
              <w:t>ndernemen (IMVO</w:t>
            </w:r>
            <w:r w:rsidRPr="00C41E95" w:rsidR="009711C5">
              <w:rPr>
                <w:rStyle w:val="cf01"/>
                <w:rFonts w:asciiTheme="minorHAnsi" w:hAnsiTheme="minorHAnsi" w:cstheme="minorHAnsi"/>
                <w:sz w:val="16"/>
                <w:szCs w:val="16"/>
              </w:rPr>
              <w:t>-</w:t>
            </w:r>
            <w:r w:rsidR="004355AB">
              <w:rPr>
                <w:rStyle w:val="cf01"/>
                <w:rFonts w:asciiTheme="minorHAnsi" w:hAnsiTheme="minorHAnsi" w:cstheme="minorHAnsi"/>
                <w:sz w:val="16"/>
                <w:szCs w:val="16"/>
              </w:rPr>
              <w:t>)</w:t>
            </w:r>
            <w:r w:rsidRPr="00C41E95" w:rsidR="009711C5">
              <w:rPr>
                <w:rStyle w:val="cf01"/>
                <w:rFonts w:asciiTheme="minorHAnsi" w:hAnsiTheme="minorHAnsi" w:cstheme="minorHAnsi"/>
                <w:sz w:val="16"/>
                <w:szCs w:val="16"/>
              </w:rPr>
              <w:t xml:space="preserve">wetgeving), </w:t>
            </w:r>
            <w:r w:rsidR="007D6C56">
              <w:rPr>
                <w:rStyle w:val="cf01"/>
                <w:rFonts w:asciiTheme="minorHAnsi" w:hAnsiTheme="minorHAnsi" w:cstheme="minorHAnsi"/>
                <w:sz w:val="16"/>
                <w:szCs w:val="16"/>
              </w:rPr>
              <w:t xml:space="preserve">dat </w:t>
            </w:r>
            <w:r w:rsidRPr="00C41E95" w:rsidR="009711C5">
              <w:rPr>
                <w:rStyle w:val="cf01"/>
                <w:rFonts w:asciiTheme="minorHAnsi" w:hAnsiTheme="minorHAnsi" w:cstheme="minorHAnsi"/>
                <w:sz w:val="16"/>
                <w:szCs w:val="16"/>
              </w:rPr>
              <w:t>internationale waardeketens die voor Nederland belangrijk zijn</w:t>
            </w:r>
            <w:r w:rsidR="007D6C56">
              <w:rPr>
                <w:rStyle w:val="cf01"/>
                <w:rFonts w:asciiTheme="minorHAnsi" w:hAnsiTheme="minorHAnsi" w:cstheme="minorHAnsi"/>
                <w:sz w:val="16"/>
                <w:szCs w:val="16"/>
              </w:rPr>
              <w:t xml:space="preserve"> </w:t>
            </w:r>
            <w:r>
              <w:rPr>
                <w:rStyle w:val="cf01"/>
                <w:rFonts w:asciiTheme="minorHAnsi" w:hAnsiTheme="minorHAnsi" w:cstheme="minorHAnsi"/>
                <w:sz w:val="16"/>
                <w:szCs w:val="16"/>
              </w:rPr>
              <w:t xml:space="preserve">worden </w:t>
            </w:r>
            <w:r w:rsidR="007D6C56">
              <w:rPr>
                <w:rStyle w:val="cf01"/>
                <w:rFonts w:asciiTheme="minorHAnsi" w:hAnsiTheme="minorHAnsi" w:cstheme="minorHAnsi"/>
                <w:sz w:val="16"/>
                <w:szCs w:val="16"/>
              </w:rPr>
              <w:t>versterkt</w:t>
            </w:r>
            <w:r>
              <w:rPr>
                <w:rStyle w:val="cf01"/>
                <w:rFonts w:asciiTheme="minorHAnsi" w:hAnsiTheme="minorHAnsi" w:cstheme="minorHAnsi"/>
                <w:sz w:val="16"/>
                <w:szCs w:val="16"/>
              </w:rPr>
              <w:t xml:space="preserve"> </w:t>
            </w:r>
            <w:r w:rsidRPr="00C41E95" w:rsidR="009711C5">
              <w:rPr>
                <w:rStyle w:val="cf01"/>
                <w:rFonts w:asciiTheme="minorHAnsi" w:hAnsiTheme="minorHAnsi" w:cstheme="minorHAnsi"/>
                <w:sz w:val="16"/>
                <w:szCs w:val="16"/>
              </w:rPr>
              <w:t xml:space="preserve">en </w:t>
            </w:r>
            <w:r w:rsidR="007D6C56">
              <w:rPr>
                <w:rStyle w:val="cf01"/>
                <w:rFonts w:asciiTheme="minorHAnsi" w:hAnsiTheme="minorHAnsi" w:cstheme="minorHAnsi"/>
                <w:sz w:val="16"/>
                <w:szCs w:val="16"/>
              </w:rPr>
              <w:t xml:space="preserve">dat </w:t>
            </w:r>
            <w:r w:rsidRPr="00C41E95" w:rsidR="009711C5">
              <w:rPr>
                <w:rStyle w:val="cf01"/>
                <w:rFonts w:asciiTheme="minorHAnsi" w:hAnsiTheme="minorHAnsi" w:cstheme="minorHAnsi"/>
                <w:sz w:val="16"/>
                <w:szCs w:val="16"/>
              </w:rPr>
              <w:t>export vanuit ontwikkelingslanden</w:t>
            </w:r>
            <w:r w:rsidR="007D6C56">
              <w:rPr>
                <w:rStyle w:val="cf01"/>
                <w:rFonts w:asciiTheme="minorHAnsi" w:hAnsiTheme="minorHAnsi" w:cstheme="minorHAnsi"/>
                <w:sz w:val="16"/>
                <w:szCs w:val="16"/>
              </w:rPr>
              <w:t xml:space="preserve"> wordt bevorderd</w:t>
            </w:r>
            <w:r w:rsidRPr="00C41E95" w:rsidR="009711C5">
              <w:rPr>
                <w:rStyle w:val="cf01"/>
                <w:rFonts w:asciiTheme="minorHAnsi" w:hAnsiTheme="minorHAnsi" w:cstheme="minorHAnsi"/>
                <w:sz w:val="16"/>
                <w:szCs w:val="16"/>
              </w:rPr>
              <w:t xml:space="preserve">. Daarmee helpen we Nederlandse bedrijven aan stabiele toeleveranciers in de handelsketen en versterken we het verdienvermogen van onze partnerlanden. Dit beleid sluit aan op steun die Nederlandse bedrijven in Nederland krijgen vanuit sectorale samenwerking en het </w:t>
            </w:r>
            <w:r w:rsidR="004355AB">
              <w:rPr>
                <w:rStyle w:val="cf01"/>
                <w:rFonts w:asciiTheme="minorHAnsi" w:hAnsiTheme="minorHAnsi" w:cstheme="minorHAnsi"/>
                <w:sz w:val="16"/>
                <w:szCs w:val="16"/>
              </w:rPr>
              <w:t>Maatschappelijk Verantwoord Ondernemen (</w:t>
            </w:r>
            <w:r w:rsidRPr="00C41E95" w:rsidR="009711C5">
              <w:rPr>
                <w:rStyle w:val="cf01"/>
                <w:rFonts w:asciiTheme="minorHAnsi" w:hAnsiTheme="minorHAnsi" w:cstheme="minorHAnsi"/>
                <w:sz w:val="16"/>
                <w:szCs w:val="16"/>
              </w:rPr>
              <w:t>MVO-</w:t>
            </w:r>
            <w:r w:rsidR="004355AB">
              <w:rPr>
                <w:rStyle w:val="cf01"/>
                <w:rFonts w:asciiTheme="minorHAnsi" w:hAnsiTheme="minorHAnsi" w:cstheme="minorHAnsi"/>
                <w:sz w:val="16"/>
                <w:szCs w:val="16"/>
              </w:rPr>
              <w:t>)</w:t>
            </w:r>
            <w:r w:rsidRPr="00C41E95" w:rsidR="009711C5">
              <w:rPr>
                <w:rStyle w:val="cf01"/>
                <w:rFonts w:asciiTheme="minorHAnsi" w:hAnsiTheme="minorHAnsi" w:cstheme="minorHAnsi"/>
                <w:sz w:val="16"/>
                <w:szCs w:val="16"/>
              </w:rPr>
              <w:t>steunpunt.</w:t>
            </w:r>
            <w:r w:rsidRPr="00C41E95" w:rsidR="009711C5">
              <w:rPr>
                <w:rFonts w:cstheme="minorHAnsi"/>
                <w:sz w:val="16"/>
                <w:szCs w:val="16"/>
              </w:rPr>
              <w:t xml:space="preserve"> </w:t>
            </w:r>
          </w:p>
          <w:p w:rsidR="007821A9" w:rsidP="007821A9" w:rsidRDefault="007821A9" w14:paraId="6BC82DF9" w14:textId="77777777">
            <w:pPr>
              <w:pStyle w:val="ListParagraph"/>
              <w:widowControl/>
              <w:autoSpaceDE/>
              <w:autoSpaceDN/>
              <w:ind w:left="357"/>
              <w:rPr>
                <w:sz w:val="16"/>
                <w:szCs w:val="16"/>
              </w:rPr>
            </w:pPr>
          </w:p>
          <w:p w:rsidRPr="00E1561F" w:rsidR="00B96979" w:rsidP="00E1561F" w:rsidRDefault="009C6784" w14:paraId="765D1909" w14:textId="3BF74A7F">
            <w:pPr>
              <w:widowControl/>
              <w:autoSpaceDE/>
              <w:autoSpaceDN/>
              <w:rPr>
                <w:sz w:val="16"/>
                <w:szCs w:val="16"/>
              </w:rPr>
            </w:pPr>
            <w:r w:rsidRPr="007821A9">
              <w:rPr>
                <w:sz w:val="16"/>
                <w:szCs w:val="16"/>
              </w:rPr>
              <w:t xml:space="preserve">De </w:t>
            </w:r>
            <w:r w:rsidRPr="007821A9" w:rsidR="003445C6">
              <w:rPr>
                <w:sz w:val="16"/>
                <w:szCs w:val="16"/>
              </w:rPr>
              <w:t>drie thema’s watermanagement, voedselzekerheid en gezondheid</w:t>
            </w:r>
            <w:r w:rsidRPr="007821A9">
              <w:rPr>
                <w:sz w:val="16"/>
                <w:szCs w:val="16"/>
              </w:rPr>
              <w:t xml:space="preserve"> dragen bij aan de doelstelling</w:t>
            </w:r>
            <w:r w:rsidRPr="007821A9" w:rsidR="003F09F8">
              <w:rPr>
                <w:sz w:val="16"/>
                <w:szCs w:val="16"/>
              </w:rPr>
              <w:t>en</w:t>
            </w:r>
            <w:r w:rsidRPr="007821A9">
              <w:rPr>
                <w:sz w:val="16"/>
                <w:szCs w:val="16"/>
              </w:rPr>
              <w:t xml:space="preserve"> op hulp, handel en investeringen. </w:t>
            </w:r>
            <w:r w:rsidRPr="007821A9" w:rsidR="003445C6">
              <w:rPr>
                <w:sz w:val="16"/>
                <w:szCs w:val="16"/>
              </w:rPr>
              <w:t xml:space="preserve">Dit wordt in de CW3.1-formulieren bij de subartikelen voor die thema’s nader uitgewerkt. </w:t>
            </w:r>
            <w:r w:rsidRPr="007821A9" w:rsidR="00FC61B6">
              <w:rPr>
                <w:sz w:val="16"/>
                <w:szCs w:val="16"/>
              </w:rPr>
              <w:t>Doelstelling is om met de expertise en ervaring van Nederlandse bedrijven en andere stakeholders verdienkansen te verzilveren en oplossingen voor lokale problemen te bieden</w:t>
            </w:r>
            <w:r w:rsidRPr="00BB0C80" w:rsidR="00FC61B6">
              <w:rPr>
                <w:sz w:val="16"/>
                <w:szCs w:val="16"/>
              </w:rPr>
              <w:t>.</w:t>
            </w:r>
            <w:r w:rsidRPr="00BB0C80" w:rsidR="00EC6B6B">
              <w:rPr>
                <w:sz w:val="16"/>
                <w:szCs w:val="16"/>
              </w:rPr>
              <w:t xml:space="preserve"> </w:t>
            </w:r>
            <w:r w:rsidRPr="00BB0C80" w:rsidR="005241F0">
              <w:rPr>
                <w:sz w:val="16"/>
                <w:szCs w:val="16"/>
              </w:rPr>
              <w:t>Aandacht voor vrouwen, meisjes en kwetsbare groepen is belangrijk voor effectiviteit van onze programma’s.</w:t>
            </w:r>
          </w:p>
        </w:tc>
      </w:tr>
      <w:tr w:rsidRPr="009E7482" w:rsidR="007D5845" w:rsidTr="00E1561F" w14:paraId="7EA5A1E4" w14:textId="77777777">
        <w:trPr>
          <w:trHeight w:val="831"/>
        </w:trPr>
        <w:tc>
          <w:tcPr>
            <w:tcW w:w="1903" w:type="dxa"/>
            <w:tcBorders>
              <w:top w:val="single" w:color="017AC6" w:sz="8" w:space="0"/>
              <w:bottom w:val="single" w:color="017AC6" w:sz="8" w:space="0"/>
            </w:tcBorders>
            <w:shd w:val="clear" w:color="auto" w:fill="D5EEF8"/>
          </w:tcPr>
          <w:p w:rsidR="007D5845" w:rsidRDefault="00F51296" w14:paraId="5E0E1842" w14:textId="77777777">
            <w:pPr>
              <w:pStyle w:val="TableParagraph"/>
              <w:spacing w:before="51"/>
              <w:ind w:left="88"/>
              <w:rPr>
                <w:b/>
                <w:sz w:val="16"/>
              </w:rPr>
            </w:pPr>
            <w:r>
              <w:rPr>
                <w:b/>
                <w:sz w:val="16"/>
              </w:rPr>
              <w:t xml:space="preserve">2. </w:t>
            </w:r>
            <w:r>
              <w:rPr>
                <w:b/>
                <w:spacing w:val="-2"/>
                <w:sz w:val="16"/>
              </w:rPr>
              <w:t>Beleidsinstrument(en)</w:t>
            </w:r>
          </w:p>
        </w:tc>
        <w:tc>
          <w:tcPr>
            <w:tcW w:w="6910" w:type="dxa"/>
            <w:gridSpan w:val="2"/>
            <w:tcBorders>
              <w:top w:val="single" w:color="017AC6" w:sz="8" w:space="0"/>
              <w:bottom w:val="single" w:color="017AC6" w:sz="8" w:space="0"/>
            </w:tcBorders>
          </w:tcPr>
          <w:p w:rsidRPr="00122C68" w:rsidR="0056721A" w:rsidP="0056721A" w:rsidRDefault="00080B29" w14:paraId="17F3F4D8" w14:textId="4F5F3970">
            <w:pPr>
              <w:widowControl/>
              <w:autoSpaceDE/>
              <w:autoSpaceDN/>
              <w:spacing w:after="120"/>
              <w:contextualSpacing/>
              <w:rPr>
                <w:sz w:val="16"/>
                <w:szCs w:val="16"/>
              </w:rPr>
            </w:pPr>
            <w:r w:rsidRPr="00080B29">
              <w:rPr>
                <w:sz w:val="16"/>
                <w:szCs w:val="16"/>
              </w:rPr>
              <w:t>Binnen artikel 1.3 wordt gewerkt met een mix aan beleidsinstrumenten</w:t>
            </w:r>
            <w:r w:rsidR="00896410">
              <w:rPr>
                <w:sz w:val="16"/>
                <w:szCs w:val="16"/>
              </w:rPr>
              <w:t xml:space="preserve"> (</w:t>
            </w:r>
            <w:r w:rsidRPr="00080B29">
              <w:rPr>
                <w:sz w:val="16"/>
                <w:szCs w:val="16"/>
              </w:rPr>
              <w:t>subsidies, leningen, opdrachten en garanties</w:t>
            </w:r>
            <w:r w:rsidR="00896410">
              <w:rPr>
                <w:sz w:val="16"/>
                <w:szCs w:val="16"/>
              </w:rPr>
              <w:t>)</w:t>
            </w:r>
            <w:r w:rsidRPr="00080B29">
              <w:rPr>
                <w:sz w:val="16"/>
                <w:szCs w:val="16"/>
              </w:rPr>
              <w:t xml:space="preserve">. Deze financieren verschillende typen activiteiten, die door verschillende partners worden uitgevoerd. </w:t>
            </w:r>
            <w:r w:rsidR="007B5DEA">
              <w:rPr>
                <w:sz w:val="16"/>
                <w:szCs w:val="16"/>
              </w:rPr>
              <w:t>Dit betreft relatief veel activiteiten die specifiek geschikt zijn voor private sectorontwikkeling en samenwerking met bedrijven, zoals revolverende fondsen, die leningen en andere financiële instrumenten verstrekken.</w:t>
            </w:r>
            <w:r w:rsidR="00614200">
              <w:rPr>
                <w:sz w:val="16"/>
                <w:szCs w:val="16"/>
              </w:rPr>
              <w:t xml:space="preserve"> Waar mogelijk katalyseren we zo ook private financiering.</w:t>
            </w:r>
            <w:r w:rsidR="00C53D02">
              <w:rPr>
                <w:sz w:val="16"/>
                <w:szCs w:val="16"/>
              </w:rPr>
              <w:t xml:space="preserve"> Focus </w:t>
            </w:r>
            <w:r w:rsidR="00B57F49">
              <w:rPr>
                <w:sz w:val="16"/>
                <w:szCs w:val="16"/>
              </w:rPr>
              <w:t xml:space="preserve">zijn lokale en Nederlandse </w:t>
            </w:r>
            <w:r w:rsidR="00C53D02">
              <w:rPr>
                <w:sz w:val="16"/>
                <w:szCs w:val="16"/>
              </w:rPr>
              <w:t>(m</w:t>
            </w:r>
            <w:r w:rsidR="00B022E5">
              <w:rPr>
                <w:sz w:val="16"/>
                <w:szCs w:val="16"/>
              </w:rPr>
              <w:t>icro</w:t>
            </w:r>
            <w:r w:rsidR="00C53D02">
              <w:rPr>
                <w:sz w:val="16"/>
                <w:szCs w:val="16"/>
              </w:rPr>
              <w:t>)mkb</w:t>
            </w:r>
            <w:r w:rsidR="00B57F49">
              <w:rPr>
                <w:sz w:val="16"/>
                <w:szCs w:val="16"/>
              </w:rPr>
              <w:t>-bedrijven</w:t>
            </w:r>
            <w:r w:rsidR="00C53D02">
              <w:rPr>
                <w:sz w:val="16"/>
                <w:szCs w:val="16"/>
              </w:rPr>
              <w:t>.</w:t>
            </w:r>
            <w:r w:rsidR="007B5DEA">
              <w:rPr>
                <w:sz w:val="16"/>
                <w:szCs w:val="16"/>
              </w:rPr>
              <w:t xml:space="preserve"> </w:t>
            </w:r>
            <w:r w:rsidRPr="00122C68" w:rsidR="0056721A">
              <w:rPr>
                <w:sz w:val="16"/>
                <w:szCs w:val="16"/>
              </w:rPr>
              <w:t>We versterken het instrumentarium voor het Nederlandse bedrijfsleven en kijken hoe we bedrijven nog beter kunnen bedienen en positioneren bij internationale investeringen en opdrachten.</w:t>
            </w:r>
          </w:p>
          <w:p w:rsidR="0056721A" w:rsidP="00080B29" w:rsidRDefault="0056721A" w14:paraId="1D54CCF3" w14:textId="77777777">
            <w:pPr>
              <w:rPr>
                <w:sz w:val="16"/>
                <w:szCs w:val="16"/>
              </w:rPr>
            </w:pPr>
          </w:p>
          <w:p w:rsidR="0056721A" w:rsidP="00122C68" w:rsidRDefault="002B1EE9" w14:paraId="72880072" w14:textId="47AB7B61">
            <w:pPr>
              <w:widowControl/>
              <w:autoSpaceDE/>
              <w:autoSpaceDN/>
              <w:spacing w:after="120"/>
              <w:contextualSpacing/>
              <w:rPr>
                <w:sz w:val="16"/>
                <w:szCs w:val="16"/>
              </w:rPr>
            </w:pPr>
            <w:r>
              <w:rPr>
                <w:sz w:val="16"/>
                <w:szCs w:val="16"/>
              </w:rPr>
              <w:t xml:space="preserve">Bedrijven vormen een belangrijke partner voor ontwikkelingshulp, en engagement en samenwerking zijn belangrijke middelen om dat vorm te geven. </w:t>
            </w:r>
            <w:r w:rsidRPr="00122C68" w:rsidR="00122C68">
              <w:rPr>
                <w:sz w:val="16"/>
                <w:szCs w:val="16"/>
              </w:rPr>
              <w:t xml:space="preserve">We werken een strategie uit met </w:t>
            </w:r>
            <w:r w:rsidR="00191925">
              <w:rPr>
                <w:sz w:val="16"/>
                <w:szCs w:val="16"/>
              </w:rPr>
              <w:t xml:space="preserve">Nederlandse </w:t>
            </w:r>
            <w:r w:rsidRPr="00122C68" w:rsidR="00122C68">
              <w:rPr>
                <w:sz w:val="16"/>
                <w:szCs w:val="16"/>
              </w:rPr>
              <w:t>bedrijven en andere partners voor een intensievere en effectieve samenwerking en geven hier komende jaren uitvoering aan. Een les uit de eerdere strategie voor publiek-private samenwerking</w:t>
            </w:r>
            <w:r w:rsidRPr="00BF02D0" w:rsidR="00122C68">
              <w:rPr>
                <w:rStyle w:val="FootnoteReference"/>
                <w:sz w:val="16"/>
                <w:szCs w:val="16"/>
              </w:rPr>
              <w:footnoteReference w:id="2"/>
            </w:r>
            <w:r w:rsidRPr="00122C68" w:rsidR="00122C68">
              <w:rPr>
                <w:sz w:val="16"/>
                <w:szCs w:val="16"/>
              </w:rPr>
              <w:t xml:space="preserve">, dat het belangrijk is rollen en verantwoordelijkheden duidelijk te maken, omdat anders uitwerking onvoldoende van de grond komt, nemen we daarbij mee. </w:t>
            </w:r>
          </w:p>
          <w:p w:rsidR="007C03E4" w:rsidP="00080B29" w:rsidRDefault="007C03E4" w14:paraId="50F37E50" w14:textId="77777777">
            <w:pPr>
              <w:rPr>
                <w:sz w:val="16"/>
                <w:szCs w:val="16"/>
              </w:rPr>
            </w:pPr>
          </w:p>
          <w:p w:rsidRPr="007C03E4" w:rsidR="007B5DEA" w:rsidP="009C5541" w:rsidRDefault="0056721A" w14:paraId="12C730BE" w14:textId="5ADD52C4">
            <w:pPr>
              <w:rPr>
                <w:sz w:val="16"/>
                <w:szCs w:val="16"/>
                <w:highlight w:val="yellow"/>
              </w:rPr>
            </w:pPr>
            <w:r w:rsidRPr="00080B29">
              <w:rPr>
                <w:sz w:val="16"/>
                <w:szCs w:val="16"/>
              </w:rPr>
              <w:t>Daarnaast vormen diplomatieke inzet en (internationale) beleidsbeïnvloeding belangrijke instrumenten.</w:t>
            </w:r>
            <w:r w:rsidR="00614200">
              <w:rPr>
                <w:sz w:val="16"/>
                <w:szCs w:val="16"/>
              </w:rPr>
              <w:t xml:space="preserve"> Onder meer Europese samenwerking is belangrijk </w:t>
            </w:r>
            <w:r w:rsidRPr="007C03E4" w:rsidR="00614200">
              <w:rPr>
                <w:sz w:val="16"/>
                <w:szCs w:val="16"/>
              </w:rPr>
              <w:t xml:space="preserve">om onze impact te behalen. Zo </w:t>
            </w:r>
            <w:r w:rsidRPr="007C03E4" w:rsidR="001974BF">
              <w:rPr>
                <w:sz w:val="16"/>
                <w:szCs w:val="16"/>
              </w:rPr>
              <w:t xml:space="preserve">verbinden </w:t>
            </w:r>
            <w:r w:rsidRPr="007C03E4" w:rsidR="00614200">
              <w:rPr>
                <w:sz w:val="16"/>
                <w:szCs w:val="16"/>
              </w:rPr>
              <w:t xml:space="preserve">we </w:t>
            </w:r>
            <w:r w:rsidRPr="007C03E4" w:rsidR="001974BF">
              <w:rPr>
                <w:sz w:val="16"/>
                <w:szCs w:val="16"/>
              </w:rPr>
              <w:t xml:space="preserve">in samenwerking met Nederlands bedrijfsleven </w:t>
            </w:r>
            <w:r w:rsidRPr="007C03E4" w:rsidR="00614200">
              <w:rPr>
                <w:sz w:val="16"/>
                <w:szCs w:val="16"/>
              </w:rPr>
              <w:t xml:space="preserve">onze </w:t>
            </w:r>
            <w:r w:rsidRPr="007C03E4" w:rsidR="001974BF">
              <w:rPr>
                <w:sz w:val="16"/>
                <w:szCs w:val="16"/>
              </w:rPr>
              <w:t xml:space="preserve">kennis en programmering op </w:t>
            </w:r>
            <w:proofErr w:type="spellStart"/>
            <w:r w:rsidRPr="007C03E4" w:rsidR="00F81B61">
              <w:rPr>
                <w:sz w:val="16"/>
                <w:szCs w:val="16"/>
              </w:rPr>
              <w:t>handelsfacilitatie</w:t>
            </w:r>
            <w:proofErr w:type="spellEnd"/>
            <w:r w:rsidRPr="007C03E4" w:rsidR="00F81B61">
              <w:rPr>
                <w:sz w:val="16"/>
                <w:szCs w:val="16"/>
              </w:rPr>
              <w:t xml:space="preserve">, </w:t>
            </w:r>
            <w:r w:rsidRPr="007C03E4" w:rsidR="001974BF">
              <w:rPr>
                <w:sz w:val="16"/>
                <w:szCs w:val="16"/>
              </w:rPr>
              <w:t xml:space="preserve">infrastructuur, agrologistiek, </w:t>
            </w:r>
            <w:proofErr w:type="spellStart"/>
            <w:r w:rsidRPr="007C03E4" w:rsidR="001974BF">
              <w:rPr>
                <w:sz w:val="16"/>
                <w:szCs w:val="16"/>
              </w:rPr>
              <w:t>privatesectorontwikkeling</w:t>
            </w:r>
            <w:proofErr w:type="spellEnd"/>
            <w:r w:rsidRPr="007C03E4" w:rsidR="001974BF">
              <w:rPr>
                <w:sz w:val="16"/>
                <w:szCs w:val="16"/>
              </w:rPr>
              <w:t xml:space="preserve"> en financiële dienstverlening met de </w:t>
            </w:r>
            <w:r w:rsidRPr="007C03E4" w:rsidR="00614200">
              <w:rPr>
                <w:sz w:val="16"/>
                <w:szCs w:val="16"/>
              </w:rPr>
              <w:t xml:space="preserve">inzet op </w:t>
            </w:r>
            <w:r w:rsidRPr="007C03E4" w:rsidR="001974BF">
              <w:rPr>
                <w:sz w:val="16"/>
                <w:szCs w:val="16"/>
              </w:rPr>
              <w:t xml:space="preserve">handel binnen </w:t>
            </w:r>
            <w:r w:rsidRPr="007C03E4" w:rsidR="00614200">
              <w:rPr>
                <w:sz w:val="16"/>
                <w:szCs w:val="16"/>
              </w:rPr>
              <w:t>Global Gateway</w:t>
            </w:r>
            <w:r w:rsidR="007C03E4">
              <w:rPr>
                <w:sz w:val="16"/>
                <w:szCs w:val="16"/>
              </w:rPr>
              <w:t>.</w:t>
            </w:r>
            <w:r w:rsidRPr="007C03E4" w:rsidR="00614200">
              <w:rPr>
                <w:sz w:val="16"/>
                <w:szCs w:val="16"/>
              </w:rPr>
              <w:t xml:space="preserve"> </w:t>
            </w:r>
            <w:r w:rsidRPr="007C03E4" w:rsidR="001974BF">
              <w:rPr>
                <w:sz w:val="16"/>
                <w:szCs w:val="16"/>
              </w:rPr>
              <w:t>Hier</w:t>
            </w:r>
            <w:r w:rsidRPr="007C03E4" w:rsidR="00614200">
              <w:rPr>
                <w:sz w:val="16"/>
                <w:szCs w:val="16"/>
              </w:rPr>
              <w:t xml:space="preserve">mee </w:t>
            </w:r>
            <w:r w:rsidRPr="007C03E4" w:rsidR="001974BF">
              <w:rPr>
                <w:sz w:val="16"/>
                <w:szCs w:val="16"/>
              </w:rPr>
              <w:t xml:space="preserve">vergroten </w:t>
            </w:r>
            <w:r w:rsidRPr="007C03E4" w:rsidR="00614200">
              <w:rPr>
                <w:sz w:val="16"/>
                <w:szCs w:val="16"/>
              </w:rPr>
              <w:t>we onze slagkracht en financiële middelen.</w:t>
            </w:r>
            <w:r w:rsidR="008F2EED">
              <w:t xml:space="preserve"> </w:t>
            </w:r>
          </w:p>
        </w:tc>
      </w:tr>
      <w:tr w:rsidR="00B96979" w:rsidTr="00B96979" w14:paraId="156704F2"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91"/>
        </w:trPr>
        <w:tc>
          <w:tcPr>
            <w:tcW w:w="1903" w:type="dxa"/>
            <w:vMerge w:val="restart"/>
            <w:tcBorders>
              <w:left w:val="nil"/>
              <w:right w:val="nil"/>
            </w:tcBorders>
            <w:shd w:val="clear" w:color="auto" w:fill="D5EEF8"/>
          </w:tcPr>
          <w:p w:rsidR="00B96979" w:rsidP="003B57A7" w:rsidRDefault="00B96979" w14:paraId="0BB71229" w14:textId="77777777">
            <w:pPr>
              <w:pStyle w:val="TableParagraph"/>
              <w:spacing w:before="51"/>
              <w:ind w:left="93"/>
              <w:rPr>
                <w:b/>
                <w:sz w:val="16"/>
              </w:rPr>
            </w:pPr>
            <w:r>
              <w:rPr>
                <w:b/>
                <w:spacing w:val="-5"/>
                <w:sz w:val="16"/>
              </w:rPr>
              <w:t>3.</w:t>
            </w:r>
          </w:p>
          <w:p w:rsidR="00B96979" w:rsidP="003B57A7" w:rsidRDefault="00B96979" w14:paraId="094055B6" w14:textId="77777777">
            <w:pPr>
              <w:pStyle w:val="TableParagraph"/>
              <w:spacing w:before="61" w:line="249" w:lineRule="auto"/>
              <w:ind w:left="93" w:right="57"/>
              <w:rPr>
                <w:b/>
                <w:sz w:val="16"/>
              </w:rPr>
            </w:pPr>
            <w:r>
              <w:rPr>
                <w:b/>
                <w:sz w:val="16"/>
              </w:rPr>
              <w:t>A.</w:t>
            </w:r>
            <w:r>
              <w:rPr>
                <w:b/>
                <w:spacing w:val="-10"/>
                <w:sz w:val="16"/>
              </w:rPr>
              <w:t xml:space="preserve"> </w:t>
            </w:r>
            <w:r>
              <w:rPr>
                <w:b/>
                <w:sz w:val="16"/>
              </w:rPr>
              <w:t>Financiële</w:t>
            </w:r>
            <w:r>
              <w:rPr>
                <w:b/>
                <w:spacing w:val="-9"/>
                <w:sz w:val="16"/>
              </w:rPr>
              <w:t xml:space="preserve"> </w:t>
            </w:r>
            <w:r>
              <w:rPr>
                <w:b/>
                <w:sz w:val="16"/>
              </w:rPr>
              <w:t>gevolgen</w:t>
            </w:r>
            <w:r>
              <w:rPr>
                <w:b/>
                <w:spacing w:val="40"/>
                <w:sz w:val="16"/>
              </w:rPr>
              <w:t xml:space="preserve"> </w:t>
            </w:r>
            <w:r>
              <w:rPr>
                <w:b/>
                <w:sz w:val="16"/>
              </w:rPr>
              <w:t>voor het Rijk</w:t>
            </w:r>
          </w:p>
        </w:tc>
        <w:tc>
          <w:tcPr>
            <w:tcW w:w="6893" w:type="dxa"/>
            <w:tcBorders>
              <w:left w:val="nil"/>
              <w:bottom w:val="single" w:color="000000" w:sz="4" w:space="0"/>
              <w:right w:val="nil"/>
            </w:tcBorders>
          </w:tcPr>
          <w:p w:rsidR="007D67E5" w:rsidP="009048C7" w:rsidRDefault="00E1561F" w14:paraId="52D35258" w14:textId="6FB196C4">
            <w:pPr>
              <w:pStyle w:val="TableParagraph"/>
              <w:spacing w:line="171" w:lineRule="exact"/>
              <w:ind w:left="-5"/>
              <w:rPr>
                <w:sz w:val="16"/>
              </w:rPr>
            </w:pPr>
            <w:r>
              <w:rPr>
                <w:rFonts w:eastAsia="Times New Roman"/>
                <w:color w:val="000000"/>
                <w:sz w:val="16"/>
                <w:szCs w:val="16"/>
                <w:lang w:eastAsia="nl-NL"/>
              </w:rPr>
              <w:t xml:space="preserve"> Bedrag in</w:t>
            </w:r>
            <w:r w:rsidRPr="005501F7">
              <w:rPr>
                <w:rFonts w:eastAsia="Times New Roman"/>
                <w:color w:val="000000"/>
                <w:sz w:val="16"/>
                <w:szCs w:val="16"/>
                <w:lang w:eastAsia="nl-NL"/>
              </w:rPr>
              <w:t xml:space="preserve"> EUR mln.</w:t>
            </w:r>
          </w:p>
          <w:tbl>
            <w:tblPr>
              <w:tblW w:w="6180" w:type="dxa"/>
              <w:tblLayout w:type="fixed"/>
              <w:tblCellMar>
                <w:left w:w="70" w:type="dxa"/>
                <w:right w:w="70" w:type="dxa"/>
              </w:tblCellMar>
              <w:tblLook w:val="04A0" w:firstRow="1" w:lastRow="0" w:firstColumn="1" w:lastColumn="0" w:noHBand="0" w:noVBand="1"/>
            </w:tblPr>
            <w:tblGrid>
              <w:gridCol w:w="3680"/>
              <w:gridCol w:w="500"/>
              <w:gridCol w:w="500"/>
              <w:gridCol w:w="500"/>
              <w:gridCol w:w="500"/>
              <w:gridCol w:w="500"/>
            </w:tblGrid>
            <w:tr w:rsidRPr="005501F7" w:rsidR="005501F7" w:rsidTr="005501F7" w14:paraId="0BB4122E" w14:textId="77777777">
              <w:trPr>
                <w:trHeight w:val="240"/>
              </w:trPr>
              <w:tc>
                <w:tcPr>
                  <w:tcW w:w="3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501F7" w:rsidR="005501F7" w:rsidP="005501F7" w:rsidRDefault="005501F7" w14:paraId="16E94C36" w14:textId="71CB5A01">
                  <w:pPr>
                    <w:widowControl/>
                    <w:autoSpaceDE/>
                    <w:autoSpaceDN/>
                    <w:rPr>
                      <w:rFonts w:eastAsia="Times New Roman"/>
                      <w:color w:val="000000"/>
                      <w:sz w:val="16"/>
                      <w:szCs w:val="16"/>
                      <w:lang w:eastAsia="nl-NL"/>
                    </w:rPr>
                  </w:pPr>
                </w:p>
              </w:tc>
              <w:tc>
                <w:tcPr>
                  <w:tcW w:w="500" w:type="dxa"/>
                  <w:tcBorders>
                    <w:top w:val="single" w:color="auto" w:sz="4" w:space="0"/>
                    <w:left w:val="nil"/>
                    <w:bottom w:val="single" w:color="auto" w:sz="4" w:space="0"/>
                    <w:right w:val="single" w:color="auto" w:sz="4" w:space="0"/>
                  </w:tcBorders>
                  <w:shd w:val="clear" w:color="auto" w:fill="auto"/>
                  <w:noWrap/>
                  <w:vAlign w:val="bottom"/>
                  <w:hideMark/>
                </w:tcPr>
                <w:p w:rsidRPr="004C06E1" w:rsidR="005501F7" w:rsidP="005501F7" w:rsidRDefault="005501F7" w14:paraId="0F1D7F13" w14:textId="77777777">
                  <w:pPr>
                    <w:widowControl/>
                    <w:autoSpaceDE/>
                    <w:autoSpaceDN/>
                    <w:jc w:val="right"/>
                    <w:rPr>
                      <w:rFonts w:eastAsia="Times New Roman"/>
                      <w:color w:val="000000"/>
                      <w:sz w:val="16"/>
                      <w:szCs w:val="16"/>
                      <w:lang w:eastAsia="nl-NL"/>
                    </w:rPr>
                  </w:pPr>
                  <w:r w:rsidRPr="004C06E1">
                    <w:rPr>
                      <w:rFonts w:eastAsia="Times New Roman"/>
                      <w:color w:val="000000"/>
                      <w:sz w:val="16"/>
                      <w:szCs w:val="16"/>
                      <w:lang w:eastAsia="nl-NL"/>
                    </w:rPr>
                    <w:t>2026</w:t>
                  </w:r>
                </w:p>
              </w:tc>
              <w:tc>
                <w:tcPr>
                  <w:tcW w:w="500" w:type="dxa"/>
                  <w:tcBorders>
                    <w:top w:val="single" w:color="auto" w:sz="4" w:space="0"/>
                    <w:left w:val="nil"/>
                    <w:bottom w:val="single" w:color="auto" w:sz="4" w:space="0"/>
                    <w:right w:val="single" w:color="auto" w:sz="4" w:space="0"/>
                  </w:tcBorders>
                  <w:shd w:val="clear" w:color="auto" w:fill="auto"/>
                  <w:noWrap/>
                  <w:vAlign w:val="bottom"/>
                  <w:hideMark/>
                </w:tcPr>
                <w:p w:rsidRPr="004C06E1" w:rsidR="005501F7" w:rsidP="005501F7" w:rsidRDefault="005501F7" w14:paraId="79A0AC01" w14:textId="77777777">
                  <w:pPr>
                    <w:widowControl/>
                    <w:autoSpaceDE/>
                    <w:autoSpaceDN/>
                    <w:jc w:val="right"/>
                    <w:rPr>
                      <w:rFonts w:eastAsia="Times New Roman"/>
                      <w:color w:val="000000"/>
                      <w:sz w:val="16"/>
                      <w:szCs w:val="16"/>
                      <w:lang w:eastAsia="nl-NL"/>
                    </w:rPr>
                  </w:pPr>
                  <w:r w:rsidRPr="004C06E1">
                    <w:rPr>
                      <w:rFonts w:eastAsia="Times New Roman"/>
                      <w:color w:val="000000"/>
                      <w:sz w:val="16"/>
                      <w:szCs w:val="16"/>
                      <w:lang w:eastAsia="nl-NL"/>
                    </w:rPr>
                    <w:t>2027</w:t>
                  </w:r>
                </w:p>
              </w:tc>
              <w:tc>
                <w:tcPr>
                  <w:tcW w:w="500" w:type="dxa"/>
                  <w:tcBorders>
                    <w:top w:val="single" w:color="auto" w:sz="4" w:space="0"/>
                    <w:left w:val="nil"/>
                    <w:bottom w:val="single" w:color="auto" w:sz="4" w:space="0"/>
                    <w:right w:val="single" w:color="auto" w:sz="4" w:space="0"/>
                  </w:tcBorders>
                  <w:shd w:val="clear" w:color="auto" w:fill="auto"/>
                  <w:noWrap/>
                  <w:vAlign w:val="bottom"/>
                  <w:hideMark/>
                </w:tcPr>
                <w:p w:rsidRPr="004C06E1" w:rsidR="005501F7" w:rsidP="005501F7" w:rsidRDefault="005501F7" w14:paraId="23F393BB" w14:textId="77777777">
                  <w:pPr>
                    <w:widowControl/>
                    <w:autoSpaceDE/>
                    <w:autoSpaceDN/>
                    <w:jc w:val="right"/>
                    <w:rPr>
                      <w:rFonts w:eastAsia="Times New Roman"/>
                      <w:color w:val="000000"/>
                      <w:sz w:val="16"/>
                      <w:szCs w:val="16"/>
                      <w:lang w:eastAsia="nl-NL"/>
                    </w:rPr>
                  </w:pPr>
                  <w:r w:rsidRPr="004C06E1">
                    <w:rPr>
                      <w:rFonts w:eastAsia="Times New Roman"/>
                      <w:color w:val="000000"/>
                      <w:sz w:val="16"/>
                      <w:szCs w:val="16"/>
                      <w:lang w:eastAsia="nl-NL"/>
                    </w:rPr>
                    <w:t>2028</w:t>
                  </w:r>
                </w:p>
              </w:tc>
              <w:tc>
                <w:tcPr>
                  <w:tcW w:w="500" w:type="dxa"/>
                  <w:tcBorders>
                    <w:top w:val="single" w:color="auto" w:sz="4" w:space="0"/>
                    <w:left w:val="nil"/>
                    <w:bottom w:val="single" w:color="auto" w:sz="4" w:space="0"/>
                    <w:right w:val="single" w:color="auto" w:sz="4" w:space="0"/>
                  </w:tcBorders>
                  <w:shd w:val="clear" w:color="auto" w:fill="auto"/>
                  <w:noWrap/>
                  <w:vAlign w:val="bottom"/>
                  <w:hideMark/>
                </w:tcPr>
                <w:p w:rsidRPr="004C06E1" w:rsidR="005501F7" w:rsidP="005501F7" w:rsidRDefault="005501F7" w14:paraId="52774007" w14:textId="77777777">
                  <w:pPr>
                    <w:widowControl/>
                    <w:autoSpaceDE/>
                    <w:autoSpaceDN/>
                    <w:jc w:val="right"/>
                    <w:rPr>
                      <w:rFonts w:eastAsia="Times New Roman"/>
                      <w:color w:val="000000"/>
                      <w:sz w:val="16"/>
                      <w:szCs w:val="16"/>
                      <w:lang w:eastAsia="nl-NL"/>
                    </w:rPr>
                  </w:pPr>
                  <w:r w:rsidRPr="004C06E1">
                    <w:rPr>
                      <w:rFonts w:eastAsia="Times New Roman"/>
                      <w:color w:val="000000"/>
                      <w:sz w:val="16"/>
                      <w:szCs w:val="16"/>
                      <w:lang w:eastAsia="nl-NL"/>
                    </w:rPr>
                    <w:t>2029</w:t>
                  </w:r>
                </w:p>
              </w:tc>
              <w:tc>
                <w:tcPr>
                  <w:tcW w:w="500" w:type="dxa"/>
                  <w:tcBorders>
                    <w:top w:val="single" w:color="auto" w:sz="4" w:space="0"/>
                    <w:left w:val="nil"/>
                    <w:bottom w:val="single" w:color="auto" w:sz="4" w:space="0"/>
                    <w:right w:val="single" w:color="auto" w:sz="4" w:space="0"/>
                  </w:tcBorders>
                  <w:shd w:val="clear" w:color="auto" w:fill="auto"/>
                  <w:noWrap/>
                  <w:vAlign w:val="bottom"/>
                  <w:hideMark/>
                </w:tcPr>
                <w:p w:rsidRPr="004C06E1" w:rsidR="005501F7" w:rsidP="005501F7" w:rsidRDefault="005501F7" w14:paraId="43E0373E" w14:textId="77777777">
                  <w:pPr>
                    <w:widowControl/>
                    <w:autoSpaceDE/>
                    <w:autoSpaceDN/>
                    <w:jc w:val="right"/>
                    <w:rPr>
                      <w:rFonts w:eastAsia="Times New Roman"/>
                      <w:color w:val="000000"/>
                      <w:sz w:val="16"/>
                      <w:szCs w:val="16"/>
                      <w:lang w:eastAsia="nl-NL"/>
                    </w:rPr>
                  </w:pPr>
                  <w:r w:rsidRPr="004C06E1">
                    <w:rPr>
                      <w:rFonts w:eastAsia="Times New Roman"/>
                      <w:color w:val="000000"/>
                      <w:sz w:val="16"/>
                      <w:szCs w:val="16"/>
                      <w:lang w:eastAsia="nl-NL"/>
                    </w:rPr>
                    <w:t>2030</w:t>
                  </w:r>
                </w:p>
              </w:tc>
            </w:tr>
            <w:tr w:rsidRPr="005501F7" w:rsidR="00984310" w:rsidTr="00984310" w14:paraId="5E1D9091" w14:textId="77777777">
              <w:trPr>
                <w:trHeight w:val="480"/>
              </w:trPr>
              <w:tc>
                <w:tcPr>
                  <w:tcW w:w="3680" w:type="dxa"/>
                  <w:tcBorders>
                    <w:top w:val="nil"/>
                    <w:left w:val="single" w:color="auto" w:sz="4" w:space="0"/>
                    <w:bottom w:val="single" w:color="auto" w:sz="4" w:space="0"/>
                    <w:right w:val="single" w:color="auto" w:sz="4" w:space="0"/>
                  </w:tcBorders>
                  <w:shd w:val="clear" w:color="auto" w:fill="auto"/>
                  <w:hideMark/>
                </w:tcPr>
                <w:p w:rsidRPr="005501F7" w:rsidR="00984310" w:rsidP="00984310" w:rsidRDefault="00984310" w14:paraId="162A1B39" w14:textId="77777777">
                  <w:pPr>
                    <w:widowControl/>
                    <w:autoSpaceDE/>
                    <w:autoSpaceDN/>
                    <w:rPr>
                      <w:rFonts w:eastAsia="Times New Roman"/>
                      <w:b/>
                      <w:bCs/>
                      <w:color w:val="000000"/>
                      <w:sz w:val="16"/>
                      <w:szCs w:val="16"/>
                      <w:lang w:eastAsia="nl-NL"/>
                    </w:rPr>
                  </w:pPr>
                  <w:r w:rsidRPr="005501F7">
                    <w:rPr>
                      <w:rFonts w:eastAsia="Times New Roman"/>
                      <w:b/>
                      <w:bCs/>
                      <w:color w:val="000000"/>
                      <w:sz w:val="16"/>
                      <w:szCs w:val="16"/>
                      <w:lang w:eastAsia="nl-NL"/>
                    </w:rPr>
                    <w:t>1. Duurzame economische ontwikkeling, handel en investeringen</w:t>
                  </w:r>
                </w:p>
              </w:tc>
              <w:tc>
                <w:tcPr>
                  <w:tcW w:w="500" w:type="dxa"/>
                  <w:tcBorders>
                    <w:top w:val="nil"/>
                    <w:left w:val="nil"/>
                    <w:bottom w:val="single" w:color="auto" w:sz="4" w:space="0"/>
                    <w:right w:val="single" w:color="auto" w:sz="4" w:space="0"/>
                  </w:tcBorders>
                  <w:shd w:val="clear" w:color="auto" w:fill="auto"/>
                  <w:noWrap/>
                  <w:vAlign w:val="center"/>
                  <w:hideMark/>
                </w:tcPr>
                <w:p w:rsidRPr="005501F7" w:rsidR="00984310" w:rsidP="00984310" w:rsidRDefault="00984310" w14:paraId="68630922" w14:textId="211B1DF4">
                  <w:pPr>
                    <w:widowControl/>
                    <w:autoSpaceDE/>
                    <w:autoSpaceDN/>
                    <w:rPr>
                      <w:rFonts w:eastAsia="Times New Roman"/>
                      <w:color w:val="000000"/>
                      <w:sz w:val="16"/>
                      <w:szCs w:val="16"/>
                      <w:lang w:eastAsia="nl-NL"/>
                    </w:rPr>
                  </w:pPr>
                  <w:r w:rsidRPr="005501F7">
                    <w:rPr>
                      <w:rFonts w:eastAsia="Times New Roman"/>
                      <w:b/>
                      <w:bCs/>
                      <w:color w:val="000000"/>
                      <w:sz w:val="16"/>
                      <w:szCs w:val="16"/>
                      <w:lang w:eastAsia="nl-NL"/>
                    </w:rPr>
                    <w:t>414</w:t>
                  </w:r>
                </w:p>
              </w:tc>
              <w:tc>
                <w:tcPr>
                  <w:tcW w:w="500" w:type="dxa"/>
                  <w:tcBorders>
                    <w:top w:val="nil"/>
                    <w:left w:val="nil"/>
                    <w:bottom w:val="single" w:color="auto" w:sz="4" w:space="0"/>
                    <w:right w:val="single" w:color="auto" w:sz="4" w:space="0"/>
                  </w:tcBorders>
                  <w:shd w:val="clear" w:color="auto" w:fill="auto"/>
                  <w:noWrap/>
                  <w:vAlign w:val="center"/>
                  <w:hideMark/>
                </w:tcPr>
                <w:p w:rsidRPr="005501F7" w:rsidR="00984310" w:rsidP="00984310" w:rsidRDefault="00984310" w14:paraId="3A625CBB" w14:textId="74D28643">
                  <w:pPr>
                    <w:widowControl/>
                    <w:autoSpaceDE/>
                    <w:autoSpaceDN/>
                    <w:rPr>
                      <w:rFonts w:eastAsia="Times New Roman"/>
                      <w:color w:val="000000"/>
                      <w:sz w:val="16"/>
                      <w:szCs w:val="16"/>
                      <w:lang w:eastAsia="nl-NL"/>
                    </w:rPr>
                  </w:pPr>
                  <w:r w:rsidRPr="005501F7">
                    <w:rPr>
                      <w:rFonts w:eastAsia="Times New Roman"/>
                      <w:b/>
                      <w:bCs/>
                      <w:color w:val="000000"/>
                      <w:sz w:val="16"/>
                      <w:szCs w:val="16"/>
                      <w:lang w:eastAsia="nl-NL"/>
                    </w:rPr>
                    <w:t>420</w:t>
                  </w:r>
                </w:p>
              </w:tc>
              <w:tc>
                <w:tcPr>
                  <w:tcW w:w="500" w:type="dxa"/>
                  <w:tcBorders>
                    <w:top w:val="nil"/>
                    <w:left w:val="nil"/>
                    <w:bottom w:val="single" w:color="auto" w:sz="4" w:space="0"/>
                    <w:right w:val="single" w:color="auto" w:sz="4" w:space="0"/>
                  </w:tcBorders>
                  <w:shd w:val="clear" w:color="auto" w:fill="auto"/>
                  <w:noWrap/>
                  <w:vAlign w:val="center"/>
                  <w:hideMark/>
                </w:tcPr>
                <w:p w:rsidRPr="005501F7" w:rsidR="00984310" w:rsidP="00984310" w:rsidRDefault="00984310" w14:paraId="6A8C43AE" w14:textId="7C4434B0">
                  <w:pPr>
                    <w:widowControl/>
                    <w:autoSpaceDE/>
                    <w:autoSpaceDN/>
                    <w:rPr>
                      <w:rFonts w:eastAsia="Times New Roman"/>
                      <w:color w:val="000000"/>
                      <w:sz w:val="16"/>
                      <w:szCs w:val="16"/>
                      <w:lang w:eastAsia="nl-NL"/>
                    </w:rPr>
                  </w:pPr>
                  <w:r w:rsidRPr="005501F7">
                    <w:rPr>
                      <w:rFonts w:eastAsia="Times New Roman"/>
                      <w:b/>
                      <w:bCs/>
                      <w:color w:val="000000"/>
                      <w:sz w:val="16"/>
                      <w:szCs w:val="16"/>
                      <w:lang w:eastAsia="nl-NL"/>
                    </w:rPr>
                    <w:t>470</w:t>
                  </w:r>
                </w:p>
              </w:tc>
              <w:tc>
                <w:tcPr>
                  <w:tcW w:w="500" w:type="dxa"/>
                  <w:tcBorders>
                    <w:top w:val="nil"/>
                    <w:left w:val="nil"/>
                    <w:bottom w:val="single" w:color="auto" w:sz="4" w:space="0"/>
                    <w:right w:val="single" w:color="auto" w:sz="4" w:space="0"/>
                  </w:tcBorders>
                  <w:shd w:val="clear" w:color="auto" w:fill="auto"/>
                  <w:noWrap/>
                  <w:vAlign w:val="center"/>
                  <w:hideMark/>
                </w:tcPr>
                <w:p w:rsidRPr="005501F7" w:rsidR="00984310" w:rsidP="00984310" w:rsidRDefault="00984310" w14:paraId="220D4A92" w14:textId="08320F2C">
                  <w:pPr>
                    <w:widowControl/>
                    <w:autoSpaceDE/>
                    <w:autoSpaceDN/>
                    <w:rPr>
                      <w:rFonts w:eastAsia="Times New Roman"/>
                      <w:color w:val="000000"/>
                      <w:sz w:val="16"/>
                      <w:szCs w:val="16"/>
                      <w:lang w:eastAsia="nl-NL"/>
                    </w:rPr>
                  </w:pPr>
                  <w:r w:rsidRPr="005501F7">
                    <w:rPr>
                      <w:rFonts w:eastAsia="Times New Roman"/>
                      <w:b/>
                      <w:bCs/>
                      <w:color w:val="000000"/>
                      <w:sz w:val="16"/>
                      <w:szCs w:val="16"/>
                      <w:lang w:eastAsia="nl-NL"/>
                    </w:rPr>
                    <w:t>510</w:t>
                  </w:r>
                </w:p>
              </w:tc>
              <w:tc>
                <w:tcPr>
                  <w:tcW w:w="500" w:type="dxa"/>
                  <w:tcBorders>
                    <w:top w:val="nil"/>
                    <w:left w:val="nil"/>
                    <w:bottom w:val="single" w:color="auto" w:sz="4" w:space="0"/>
                    <w:right w:val="single" w:color="auto" w:sz="4" w:space="0"/>
                  </w:tcBorders>
                  <w:shd w:val="clear" w:color="auto" w:fill="auto"/>
                  <w:noWrap/>
                  <w:vAlign w:val="center"/>
                  <w:hideMark/>
                </w:tcPr>
                <w:p w:rsidRPr="005501F7" w:rsidR="00984310" w:rsidP="00984310" w:rsidRDefault="00984310" w14:paraId="72F28D24" w14:textId="630B2D64">
                  <w:pPr>
                    <w:widowControl/>
                    <w:autoSpaceDE/>
                    <w:autoSpaceDN/>
                    <w:rPr>
                      <w:rFonts w:eastAsia="Times New Roman"/>
                      <w:color w:val="000000"/>
                      <w:sz w:val="16"/>
                      <w:szCs w:val="16"/>
                      <w:lang w:eastAsia="nl-NL"/>
                    </w:rPr>
                  </w:pPr>
                  <w:r w:rsidRPr="005501F7">
                    <w:rPr>
                      <w:rFonts w:eastAsia="Times New Roman"/>
                      <w:b/>
                      <w:bCs/>
                      <w:color w:val="000000"/>
                      <w:sz w:val="16"/>
                      <w:szCs w:val="16"/>
                      <w:lang w:eastAsia="nl-NL"/>
                    </w:rPr>
                    <w:t>510</w:t>
                  </w:r>
                </w:p>
              </w:tc>
            </w:tr>
          </w:tbl>
          <w:p w:rsidR="00F20BAF" w:rsidP="005E464A" w:rsidRDefault="00F20BAF" w14:paraId="0424DE0B" w14:textId="30533841">
            <w:pPr>
              <w:pStyle w:val="TableParagraph"/>
              <w:spacing w:line="171" w:lineRule="exact"/>
              <w:ind w:left="-5"/>
              <w:rPr>
                <w:sz w:val="16"/>
              </w:rPr>
            </w:pPr>
          </w:p>
        </w:tc>
      </w:tr>
      <w:tr w:rsidR="00B96979" w:rsidTr="00E1561F" w14:paraId="5F20A53F"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38"/>
        </w:trPr>
        <w:tc>
          <w:tcPr>
            <w:tcW w:w="1903" w:type="dxa"/>
            <w:vMerge/>
            <w:tcBorders>
              <w:top w:val="nil"/>
              <w:left w:val="nil"/>
              <w:right w:val="nil"/>
            </w:tcBorders>
            <w:shd w:val="clear" w:color="auto" w:fill="D5EEF8"/>
          </w:tcPr>
          <w:p w:rsidR="00B96979" w:rsidP="003B57A7" w:rsidRDefault="00B96979" w14:paraId="3433EB6F" w14:textId="77777777">
            <w:pPr>
              <w:rPr>
                <w:sz w:val="2"/>
                <w:szCs w:val="2"/>
              </w:rPr>
            </w:pPr>
          </w:p>
        </w:tc>
        <w:tc>
          <w:tcPr>
            <w:tcW w:w="6893" w:type="dxa"/>
            <w:tcBorders>
              <w:top w:val="single" w:color="000000" w:sz="4" w:space="0"/>
              <w:left w:val="nil"/>
              <w:right w:val="nil"/>
            </w:tcBorders>
          </w:tcPr>
          <w:p w:rsidR="005E464A" w:rsidP="005E464A" w:rsidRDefault="005E464A" w14:paraId="6410BB35" w14:textId="77777777">
            <w:pPr>
              <w:pStyle w:val="TableParagraph"/>
              <w:spacing w:line="171" w:lineRule="exact"/>
              <w:ind w:left="-5"/>
              <w:rPr>
                <w:sz w:val="16"/>
                <w:szCs w:val="16"/>
              </w:rPr>
            </w:pPr>
          </w:p>
          <w:p w:rsidRPr="006905F6" w:rsidR="006905F6" w:rsidP="005E464A" w:rsidRDefault="005E464A" w14:paraId="78548FE1" w14:textId="2270F029">
            <w:pPr>
              <w:pStyle w:val="TableParagraph"/>
              <w:spacing w:line="171" w:lineRule="exact"/>
              <w:ind w:left="-5"/>
              <w:rPr>
                <w:sz w:val="16"/>
                <w:szCs w:val="16"/>
              </w:rPr>
            </w:pPr>
            <w:r w:rsidRPr="00F20BAF">
              <w:rPr>
                <w:sz w:val="16"/>
                <w:szCs w:val="16"/>
              </w:rPr>
              <w:t>De financiële gevolgen zijn onder voorbehoud van de uitkomsten van de voorjaarbesluitvorming. De in te zetten instrumenten zijn afhankelijk van de precieze uitwerking van de beleidsinzet. Waar nodig zullen bij volgende begrotingsmomenten budgetten overgeheveld worden binnen het beleidsartikel.</w:t>
            </w:r>
          </w:p>
        </w:tc>
      </w:tr>
      <w:tr w:rsidR="00B96979" w:rsidTr="00B96979" w14:paraId="68F34B9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637"/>
        </w:trPr>
        <w:tc>
          <w:tcPr>
            <w:tcW w:w="1903" w:type="dxa"/>
            <w:tcBorders>
              <w:left w:val="nil"/>
              <w:right w:val="nil"/>
            </w:tcBorders>
            <w:shd w:val="clear" w:color="auto" w:fill="D5EEF8"/>
          </w:tcPr>
          <w:p w:rsidR="00B96979" w:rsidP="003B57A7" w:rsidRDefault="00B96979" w14:paraId="02703B21" w14:textId="77777777">
            <w:pPr>
              <w:pStyle w:val="TableParagraph"/>
              <w:spacing w:before="51"/>
              <w:ind w:left="117" w:right="30"/>
              <w:rPr>
                <w:b/>
                <w:sz w:val="16"/>
              </w:rPr>
            </w:pPr>
            <w:r>
              <w:rPr>
                <w:b/>
                <w:sz w:val="16"/>
              </w:rPr>
              <w:t>B.</w:t>
            </w:r>
            <w:r>
              <w:rPr>
                <w:b/>
                <w:spacing w:val="-2"/>
                <w:sz w:val="16"/>
              </w:rPr>
              <w:t xml:space="preserve"> </w:t>
            </w:r>
            <w:r>
              <w:rPr>
                <w:b/>
                <w:sz w:val="16"/>
              </w:rPr>
              <w:t>Financiële</w:t>
            </w:r>
            <w:r>
              <w:rPr>
                <w:b/>
                <w:spacing w:val="-2"/>
                <w:sz w:val="16"/>
              </w:rPr>
              <w:t xml:space="preserve"> </w:t>
            </w:r>
            <w:r>
              <w:rPr>
                <w:b/>
                <w:sz w:val="16"/>
              </w:rPr>
              <w:t>gevolgen</w:t>
            </w:r>
            <w:r>
              <w:rPr>
                <w:b/>
                <w:spacing w:val="40"/>
                <w:sz w:val="16"/>
              </w:rPr>
              <w:t xml:space="preserve"> </w:t>
            </w:r>
            <w:r>
              <w:rPr>
                <w:b/>
                <w:sz w:val="16"/>
              </w:rPr>
              <w:t>voor</w:t>
            </w:r>
            <w:r>
              <w:rPr>
                <w:b/>
                <w:spacing w:val="-5"/>
                <w:sz w:val="16"/>
              </w:rPr>
              <w:t xml:space="preserve"> </w:t>
            </w:r>
            <w:r>
              <w:rPr>
                <w:b/>
                <w:spacing w:val="-2"/>
                <w:sz w:val="16"/>
              </w:rPr>
              <w:t>maatschappelijke</w:t>
            </w:r>
          </w:p>
          <w:p w:rsidR="00B96979" w:rsidP="003B57A7" w:rsidRDefault="00B96979" w14:paraId="26992147" w14:textId="77777777">
            <w:pPr>
              <w:pStyle w:val="TableParagraph"/>
              <w:spacing w:before="1" w:line="175" w:lineRule="exact"/>
              <w:ind w:left="117"/>
              <w:rPr>
                <w:b/>
                <w:sz w:val="16"/>
              </w:rPr>
            </w:pPr>
            <w:r>
              <w:rPr>
                <w:b/>
                <w:spacing w:val="-2"/>
                <w:sz w:val="16"/>
              </w:rPr>
              <w:t>sectoren</w:t>
            </w:r>
          </w:p>
        </w:tc>
        <w:tc>
          <w:tcPr>
            <w:tcW w:w="6893" w:type="dxa"/>
            <w:tcBorders>
              <w:left w:val="nil"/>
              <w:right w:val="nil"/>
            </w:tcBorders>
          </w:tcPr>
          <w:p w:rsidR="00B96979" w:rsidP="003B57A7" w:rsidRDefault="00B96979" w14:paraId="57731896" w14:textId="77777777">
            <w:pPr>
              <w:pStyle w:val="TableParagraph"/>
              <w:tabs>
                <w:tab w:val="left" w:pos="355"/>
              </w:tabs>
              <w:spacing w:line="194" w:lineRule="exact"/>
              <w:rPr>
                <w:sz w:val="16"/>
              </w:rPr>
            </w:pPr>
          </w:p>
          <w:p w:rsidR="00B96979" w:rsidP="003B57A7" w:rsidRDefault="008429BE" w14:paraId="405D2077" w14:textId="0F6DC7D6">
            <w:pPr>
              <w:pStyle w:val="TableParagraph"/>
              <w:tabs>
                <w:tab w:val="left" w:pos="355"/>
              </w:tabs>
              <w:spacing w:line="194" w:lineRule="exact"/>
              <w:rPr>
                <w:sz w:val="16"/>
              </w:rPr>
            </w:pPr>
            <w:r>
              <w:rPr>
                <w:sz w:val="16"/>
              </w:rPr>
              <w:t>N.v.t.</w:t>
            </w:r>
          </w:p>
          <w:p w:rsidR="00B96979" w:rsidP="003B57A7" w:rsidRDefault="00B96979" w14:paraId="5B9E74CA" w14:textId="77777777">
            <w:pPr>
              <w:pStyle w:val="TableParagraph"/>
              <w:tabs>
                <w:tab w:val="left" w:pos="355"/>
              </w:tabs>
              <w:spacing w:line="194" w:lineRule="exact"/>
              <w:rPr>
                <w:sz w:val="16"/>
              </w:rPr>
            </w:pPr>
          </w:p>
        </w:tc>
      </w:tr>
      <w:tr w:rsidR="00B96979" w:rsidTr="00B96979" w14:paraId="74D02A6C"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000"/>
        </w:trPr>
        <w:tc>
          <w:tcPr>
            <w:tcW w:w="1903" w:type="dxa"/>
            <w:tcBorders>
              <w:left w:val="nil"/>
              <w:right w:val="nil"/>
            </w:tcBorders>
            <w:shd w:val="clear" w:color="auto" w:fill="D5EEF8"/>
          </w:tcPr>
          <w:p w:rsidRPr="006156B5" w:rsidR="00B96979" w:rsidP="003B57A7" w:rsidRDefault="006156B5" w14:paraId="58A8A4E5" w14:textId="2D859B58">
            <w:pPr>
              <w:pStyle w:val="TableParagraph"/>
              <w:spacing w:before="51" w:line="249" w:lineRule="auto"/>
              <w:ind w:left="93" w:right="30"/>
              <w:rPr>
                <w:b/>
                <w:sz w:val="16"/>
                <w:szCs w:val="16"/>
              </w:rPr>
            </w:pPr>
            <w:r w:rsidRPr="006156B5">
              <w:rPr>
                <w:b/>
                <w:bCs/>
                <w:sz w:val="16"/>
                <w:szCs w:val="16"/>
              </w:rPr>
              <w:t xml:space="preserve">4. </w:t>
            </w:r>
            <w:r w:rsidRPr="006156B5" w:rsidR="00B96979">
              <w:rPr>
                <w:b/>
                <w:spacing w:val="-5"/>
                <w:sz w:val="16"/>
                <w:szCs w:val="16"/>
              </w:rPr>
              <w:t xml:space="preserve"> </w:t>
            </w:r>
            <w:r w:rsidRPr="006156B5" w:rsidR="00B96979">
              <w:rPr>
                <w:b/>
                <w:sz w:val="16"/>
                <w:szCs w:val="16"/>
              </w:rPr>
              <w:t>Nagestreefde</w:t>
            </w:r>
            <w:r w:rsidRPr="006156B5" w:rsidR="00B96979">
              <w:rPr>
                <w:b/>
                <w:spacing w:val="40"/>
                <w:sz w:val="16"/>
                <w:szCs w:val="16"/>
              </w:rPr>
              <w:t xml:space="preserve"> </w:t>
            </w:r>
            <w:r w:rsidRPr="006156B5" w:rsidR="00B96979">
              <w:rPr>
                <w:b/>
                <w:spacing w:val="-2"/>
                <w:sz w:val="16"/>
                <w:szCs w:val="16"/>
              </w:rPr>
              <w:t>doeltreffendheid</w:t>
            </w:r>
          </w:p>
        </w:tc>
        <w:tc>
          <w:tcPr>
            <w:tcW w:w="6893" w:type="dxa"/>
            <w:tcBorders>
              <w:left w:val="nil"/>
              <w:right w:val="nil"/>
            </w:tcBorders>
          </w:tcPr>
          <w:p w:rsidR="00FC48D9" w:rsidP="00E20851" w:rsidRDefault="00FC48D9" w14:paraId="73AF0A50" w14:textId="57933D0B">
            <w:pPr>
              <w:pStyle w:val="ListParagraph"/>
              <w:numPr>
                <w:ilvl w:val="0"/>
                <w:numId w:val="11"/>
              </w:numPr>
              <w:rPr>
                <w:sz w:val="16"/>
                <w:szCs w:val="16"/>
              </w:rPr>
            </w:pPr>
            <w:r w:rsidRPr="00FC48D9">
              <w:rPr>
                <w:sz w:val="16"/>
                <w:szCs w:val="16"/>
              </w:rPr>
              <w:t>Om effectief te zijn en in lijn met de aanbevelingen van de peer review door de OESO gaan we op het niveau van landen onze activiteiten meer geïntegreerd inzetten.</w:t>
            </w:r>
          </w:p>
          <w:p w:rsidR="009E27C3" w:rsidP="00E20851" w:rsidRDefault="007E43D2" w14:paraId="1D2CB2E3" w14:textId="705F07B1">
            <w:pPr>
              <w:pStyle w:val="ListParagraph"/>
              <w:numPr>
                <w:ilvl w:val="0"/>
                <w:numId w:val="11"/>
              </w:numPr>
              <w:rPr>
                <w:sz w:val="16"/>
                <w:szCs w:val="16"/>
              </w:rPr>
            </w:pPr>
            <w:r w:rsidRPr="00BF02D0">
              <w:rPr>
                <w:rStyle w:val="cf01"/>
                <w:rFonts w:asciiTheme="minorHAnsi" w:hAnsiTheme="minorHAnsi" w:cstheme="minorHAnsi"/>
                <w:sz w:val="16"/>
                <w:szCs w:val="16"/>
              </w:rPr>
              <w:t>We hanteren een systemische aanpak, gericht op versterking die bijdraagt aan economische weerbaarheid en duurzame resultaten. Deze aanpak richt zich op het verbeteren van het ondernemingsklimaat, het versterken van regionale handelsketens, of andere systemen die essentieel zijn voor een robuuste en goed functionerende economie</w:t>
            </w:r>
            <w:r w:rsidR="009E27C3">
              <w:rPr>
                <w:rStyle w:val="cf01"/>
                <w:rFonts w:asciiTheme="minorHAnsi" w:hAnsiTheme="minorHAnsi" w:cstheme="minorHAnsi"/>
                <w:sz w:val="16"/>
                <w:szCs w:val="16"/>
              </w:rPr>
              <w:t>.</w:t>
            </w:r>
            <w:r w:rsidR="00E20851">
              <w:rPr>
                <w:rStyle w:val="cf01"/>
                <w:rFonts w:asciiTheme="minorHAnsi" w:hAnsiTheme="minorHAnsi" w:cstheme="minorHAnsi"/>
                <w:sz w:val="16"/>
                <w:szCs w:val="16"/>
              </w:rPr>
              <w:t xml:space="preserve"> </w:t>
            </w:r>
            <w:r w:rsidRPr="00BF02D0" w:rsidR="009E27C3">
              <w:rPr>
                <w:rFonts w:cstheme="minorHAnsi"/>
                <w:sz w:val="16"/>
                <w:szCs w:val="16"/>
              </w:rPr>
              <w:t>Bij onze (individuele) interventies toetsen we of er sprake is van een voldoende ontwikkeld ondernemingsklimaat, dat bedrijfsontwikkeling</w:t>
            </w:r>
            <w:r w:rsidRPr="00BF02D0" w:rsidR="009E27C3">
              <w:rPr>
                <w:sz w:val="16"/>
                <w:szCs w:val="16"/>
              </w:rPr>
              <w:t xml:space="preserve"> mogelijk maakt, zodat onze inzet tot houdbare resultaten leidt</w:t>
            </w:r>
            <w:r w:rsidRPr="00BF02D0" w:rsidR="009E27C3">
              <w:rPr>
                <w:rStyle w:val="FootnoteReference"/>
                <w:sz w:val="16"/>
                <w:szCs w:val="16"/>
              </w:rPr>
              <w:footnoteReference w:id="3"/>
            </w:r>
            <w:r w:rsidR="009E27C3">
              <w:rPr>
                <w:sz w:val="16"/>
                <w:szCs w:val="16"/>
              </w:rPr>
              <w:t>.</w:t>
            </w:r>
          </w:p>
          <w:p w:rsidRPr="00E20851" w:rsidR="00E20851" w:rsidP="00E20851" w:rsidRDefault="00665107" w14:paraId="4BFE4CBD" w14:textId="4DF985CA">
            <w:pPr>
              <w:pStyle w:val="ListParagraph"/>
              <w:widowControl/>
              <w:numPr>
                <w:ilvl w:val="0"/>
                <w:numId w:val="11"/>
              </w:numPr>
              <w:autoSpaceDE/>
              <w:autoSpaceDN/>
              <w:rPr>
                <w:rFonts w:eastAsia="Times New Roman"/>
                <w:sz w:val="16"/>
                <w:szCs w:val="16"/>
              </w:rPr>
            </w:pPr>
            <w:r>
              <w:rPr>
                <w:rFonts w:eastAsia="Times New Roman"/>
                <w:sz w:val="16"/>
                <w:szCs w:val="16"/>
              </w:rPr>
              <w:t>We houden oog voor b</w:t>
            </w:r>
            <w:r w:rsidRPr="00E20851" w:rsidR="00E20851">
              <w:rPr>
                <w:rFonts w:eastAsia="Times New Roman"/>
                <w:sz w:val="16"/>
                <w:szCs w:val="16"/>
              </w:rPr>
              <w:t xml:space="preserve">alans tussen belangen: </w:t>
            </w:r>
            <w:r>
              <w:rPr>
                <w:rFonts w:eastAsia="Times New Roman"/>
                <w:sz w:val="16"/>
                <w:szCs w:val="16"/>
              </w:rPr>
              <w:t>d</w:t>
            </w:r>
            <w:r w:rsidRPr="00E20851" w:rsidR="00E20851">
              <w:rPr>
                <w:rFonts w:eastAsia="Times New Roman"/>
                <w:sz w:val="16"/>
                <w:szCs w:val="16"/>
              </w:rPr>
              <w:t>e</w:t>
            </w:r>
            <w:r w:rsidR="00062616">
              <w:rPr>
                <w:rFonts w:eastAsia="Times New Roman"/>
                <w:sz w:val="16"/>
                <w:szCs w:val="16"/>
              </w:rPr>
              <w:t xml:space="preserve"> </w:t>
            </w:r>
            <w:r w:rsidRPr="00E20851" w:rsidR="00E20851">
              <w:rPr>
                <w:rFonts w:eastAsia="Times New Roman"/>
                <w:sz w:val="16"/>
                <w:szCs w:val="16"/>
              </w:rPr>
              <w:t xml:space="preserve">evaluatie </w:t>
            </w:r>
            <w:r w:rsidR="00062616">
              <w:rPr>
                <w:rFonts w:eastAsia="Times New Roman"/>
                <w:sz w:val="16"/>
                <w:szCs w:val="16"/>
              </w:rPr>
              <w:t xml:space="preserve">‘Partners In Ontwikkeling’ </w:t>
            </w:r>
            <w:r w:rsidRPr="00E20851" w:rsidR="00E20851">
              <w:rPr>
                <w:rFonts w:eastAsia="Times New Roman"/>
                <w:sz w:val="16"/>
                <w:szCs w:val="16"/>
              </w:rPr>
              <w:t>waarschuwt voor spanningen tussen Nederlandse economische belangen en lokale behoeften aan duurzame ontwikkeling. Monitoring moet zich richten op evenwichtige resultaten die zowel export en investeringen als lokale economische groei ondersteunen</w:t>
            </w:r>
            <w:r w:rsidR="003F0A3E">
              <w:rPr>
                <w:rStyle w:val="FootnoteReference"/>
                <w:rFonts w:eastAsia="Times New Roman"/>
                <w:sz w:val="16"/>
                <w:szCs w:val="16"/>
              </w:rPr>
              <w:footnoteReference w:id="4"/>
            </w:r>
            <w:r w:rsidRPr="00E20851" w:rsidR="00E20851">
              <w:rPr>
                <w:rFonts w:eastAsia="Times New Roman"/>
                <w:sz w:val="16"/>
                <w:szCs w:val="16"/>
              </w:rPr>
              <w:t>.</w:t>
            </w:r>
          </w:p>
          <w:p w:rsidRPr="00E20851" w:rsidR="00E20851" w:rsidP="00E20851" w:rsidRDefault="00E20851" w14:paraId="75D2C9EB" w14:textId="558A18FE">
            <w:pPr>
              <w:pStyle w:val="ListParagraph"/>
              <w:widowControl/>
              <w:numPr>
                <w:ilvl w:val="0"/>
                <w:numId w:val="11"/>
              </w:numPr>
              <w:autoSpaceDE/>
              <w:autoSpaceDN/>
              <w:rPr>
                <w:rFonts w:eastAsia="Times New Roman"/>
                <w:sz w:val="16"/>
                <w:szCs w:val="16"/>
              </w:rPr>
            </w:pPr>
            <w:r w:rsidRPr="00E20851">
              <w:rPr>
                <w:rFonts w:eastAsia="Times New Roman"/>
                <w:sz w:val="16"/>
                <w:szCs w:val="16"/>
              </w:rPr>
              <w:t>Duurzame resultaten en waardig werk: Interventies moeten blijvende verbeteringen realiseren, zoals een sterker lokaal ondernemersklimaat en het creëren van waardig werk</w:t>
            </w:r>
            <w:r w:rsidR="005A0D19">
              <w:rPr>
                <w:rFonts w:eastAsia="Times New Roman"/>
                <w:sz w:val="16"/>
                <w:szCs w:val="16"/>
              </w:rPr>
              <w:t xml:space="preserve"> (zie beleidsdoorlichting artikel 1, 202</w:t>
            </w:r>
            <w:r w:rsidR="00275258">
              <w:rPr>
                <w:rFonts w:eastAsia="Times New Roman"/>
                <w:sz w:val="16"/>
                <w:szCs w:val="16"/>
              </w:rPr>
              <w:t>2</w:t>
            </w:r>
            <w:r w:rsidR="00BD6A4D">
              <w:rPr>
                <w:rStyle w:val="FootnoteReference"/>
                <w:rFonts w:eastAsia="Times New Roman"/>
                <w:sz w:val="16"/>
                <w:szCs w:val="16"/>
              </w:rPr>
              <w:footnoteReference w:id="5"/>
            </w:r>
            <w:r w:rsidR="005A0D19">
              <w:rPr>
                <w:rFonts w:eastAsia="Times New Roman"/>
                <w:sz w:val="16"/>
                <w:szCs w:val="16"/>
              </w:rPr>
              <w:t>)</w:t>
            </w:r>
            <w:r w:rsidR="0083371A">
              <w:rPr>
                <w:rFonts w:eastAsia="Times New Roman"/>
                <w:sz w:val="16"/>
                <w:szCs w:val="16"/>
              </w:rPr>
              <w:t>.</w:t>
            </w:r>
            <w:r w:rsidRPr="00E20851">
              <w:rPr>
                <w:rFonts w:eastAsia="Times New Roman"/>
                <w:sz w:val="16"/>
                <w:szCs w:val="16"/>
              </w:rPr>
              <w:t>​</w:t>
            </w:r>
          </w:p>
          <w:p w:rsidRPr="005241F0" w:rsidR="00B96979" w:rsidP="005241F0" w:rsidRDefault="00E20851" w14:paraId="58CABD61" w14:textId="0A5DB242">
            <w:pPr>
              <w:pStyle w:val="ListParagraph"/>
              <w:widowControl/>
              <w:numPr>
                <w:ilvl w:val="0"/>
                <w:numId w:val="11"/>
              </w:numPr>
              <w:autoSpaceDE/>
              <w:autoSpaceDN/>
              <w:rPr>
                <w:rFonts w:eastAsia="Times New Roman"/>
                <w:sz w:val="16"/>
                <w:szCs w:val="16"/>
              </w:rPr>
            </w:pPr>
            <w:r w:rsidRPr="00E20851">
              <w:rPr>
                <w:rFonts w:eastAsia="Times New Roman"/>
                <w:sz w:val="16"/>
                <w:szCs w:val="16"/>
              </w:rPr>
              <w:t>Samenwerking met lokale actoren: Sterke partnerschappen met lokale overheden, bedrijven en maatschappelijke organisaties vergroten eigenaarschap en succes van hervormingen. Dit draagt bij aan effectief gebruik van middelen en een duurzaam ondernemersklimaat (</w:t>
            </w:r>
            <w:r w:rsidR="005A0D19">
              <w:rPr>
                <w:rFonts w:eastAsia="Times New Roman"/>
                <w:sz w:val="16"/>
                <w:szCs w:val="16"/>
              </w:rPr>
              <w:t>zie beleidsdoorlichting artikel 1, p.33, 202</w:t>
            </w:r>
            <w:r w:rsidR="00275258">
              <w:rPr>
                <w:rFonts w:eastAsia="Times New Roman"/>
                <w:sz w:val="16"/>
                <w:szCs w:val="16"/>
              </w:rPr>
              <w:t>2</w:t>
            </w:r>
            <w:r w:rsidR="005A0D19">
              <w:rPr>
                <w:rStyle w:val="FootnoteReference"/>
                <w:rFonts w:eastAsia="Times New Roman"/>
                <w:sz w:val="16"/>
                <w:szCs w:val="16"/>
              </w:rPr>
              <w:footnoteReference w:id="6"/>
            </w:r>
            <w:r w:rsidR="005A0D19">
              <w:rPr>
                <w:rFonts w:eastAsia="Times New Roman"/>
                <w:sz w:val="16"/>
                <w:szCs w:val="16"/>
              </w:rPr>
              <w:t xml:space="preserve">). </w:t>
            </w:r>
          </w:p>
        </w:tc>
      </w:tr>
      <w:tr w:rsidRPr="00A1139F" w:rsidR="00B96979" w:rsidTr="00B96979" w14:paraId="0A48393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1903" w:type="dxa"/>
            <w:tcBorders>
              <w:left w:val="nil"/>
              <w:right w:val="nil"/>
            </w:tcBorders>
            <w:shd w:val="clear" w:color="auto" w:fill="D5EEF8"/>
          </w:tcPr>
          <w:p w:rsidRPr="006156B5" w:rsidR="00B96979" w:rsidP="003B57A7" w:rsidRDefault="00B96979" w14:paraId="70F8588F" w14:textId="2C326985">
            <w:pPr>
              <w:pStyle w:val="TableParagraph"/>
              <w:spacing w:before="51" w:line="254" w:lineRule="auto"/>
              <w:ind w:left="93" w:right="744"/>
              <w:rPr>
                <w:b/>
                <w:sz w:val="16"/>
                <w:szCs w:val="16"/>
              </w:rPr>
            </w:pPr>
            <w:r w:rsidRPr="006156B5">
              <w:rPr>
                <w:b/>
                <w:sz w:val="16"/>
                <w:szCs w:val="16"/>
              </w:rPr>
              <w:t>5</w:t>
            </w:r>
            <w:r w:rsidRPr="006156B5" w:rsidR="006156B5">
              <w:rPr>
                <w:b/>
                <w:bCs/>
                <w:sz w:val="16"/>
                <w:szCs w:val="16"/>
              </w:rPr>
              <w:t xml:space="preserve">. Nagestreefde doelmatigheid </w:t>
            </w:r>
          </w:p>
        </w:tc>
        <w:tc>
          <w:tcPr>
            <w:tcW w:w="6893" w:type="dxa"/>
            <w:tcBorders>
              <w:left w:val="nil"/>
              <w:right w:val="nil"/>
            </w:tcBorders>
          </w:tcPr>
          <w:p w:rsidRPr="00BB38DD" w:rsidR="00BB38DD" w:rsidP="00837281" w:rsidRDefault="00BB38DD" w14:paraId="1F541599" w14:textId="2FCD8C40">
            <w:pPr>
              <w:pStyle w:val="TableParagraph"/>
              <w:numPr>
                <w:ilvl w:val="0"/>
                <w:numId w:val="11"/>
              </w:numPr>
              <w:spacing w:before="2" w:line="178" w:lineRule="exact"/>
              <w:rPr>
                <w:sz w:val="16"/>
                <w:szCs w:val="16"/>
              </w:rPr>
            </w:pPr>
            <w:r w:rsidRPr="00837281">
              <w:rPr>
                <w:sz w:val="16"/>
                <w:szCs w:val="16"/>
              </w:rPr>
              <w:t>De beleidsdoorlichting van artikel 1 uit 2022 benadrukt dat er onvoldoende samenhang was tussen beleidsinstrumenten op het gebied van handel, investeringen en ontwikkelingssamenwerking. De evaluatie stelt dat versnippering tussen betrokken actoren, zoals DGIS, DGBEB, ambassades en RVO, beleidsuitvoering heeft bemoeilijkt. Aanbevelingen richtten zich op meer afstemming en gezamenlijke coördinatie om de efficiëntie en impact te vergroten.​</w:t>
            </w:r>
          </w:p>
          <w:p w:rsidRPr="00BB38DD" w:rsidR="00BB38DD" w:rsidP="00837281" w:rsidRDefault="00BB38DD" w14:paraId="111F0486" w14:textId="1661DC2D">
            <w:pPr>
              <w:pStyle w:val="TableParagraph"/>
              <w:numPr>
                <w:ilvl w:val="0"/>
                <w:numId w:val="11"/>
              </w:numPr>
              <w:spacing w:before="2" w:line="178" w:lineRule="exact"/>
              <w:rPr>
                <w:sz w:val="16"/>
                <w:szCs w:val="16"/>
              </w:rPr>
            </w:pPr>
            <w:r w:rsidRPr="00837281">
              <w:rPr>
                <w:sz w:val="16"/>
                <w:szCs w:val="16"/>
              </w:rPr>
              <w:t>De</w:t>
            </w:r>
            <w:r w:rsidRPr="00837281" w:rsidR="00275258">
              <w:rPr>
                <w:sz w:val="16"/>
                <w:szCs w:val="16"/>
              </w:rPr>
              <w:t xml:space="preserve"> </w:t>
            </w:r>
            <w:r w:rsidRPr="00837281">
              <w:rPr>
                <w:sz w:val="16"/>
                <w:szCs w:val="16"/>
              </w:rPr>
              <w:t xml:space="preserve">evaluatie </w:t>
            </w:r>
            <w:r w:rsidRPr="00837281" w:rsidR="00275258">
              <w:rPr>
                <w:sz w:val="16"/>
                <w:szCs w:val="16"/>
              </w:rPr>
              <w:t>‘</w:t>
            </w:r>
            <w:r w:rsidRPr="00837281">
              <w:rPr>
                <w:sz w:val="16"/>
                <w:szCs w:val="16"/>
              </w:rPr>
              <w:t>Partners in Ontwikkeling</w:t>
            </w:r>
            <w:r w:rsidRPr="00837281" w:rsidR="00275258">
              <w:rPr>
                <w:sz w:val="16"/>
                <w:szCs w:val="16"/>
              </w:rPr>
              <w:t>’</w:t>
            </w:r>
            <w:r w:rsidRPr="00837281">
              <w:rPr>
                <w:sz w:val="16"/>
                <w:szCs w:val="16"/>
              </w:rPr>
              <w:t xml:space="preserve"> uit 2021</w:t>
            </w:r>
            <w:r w:rsidRPr="00837281" w:rsidR="00275258">
              <w:footnoteReference w:id="7"/>
            </w:r>
            <w:r w:rsidRPr="00837281">
              <w:rPr>
                <w:sz w:val="16"/>
                <w:szCs w:val="16"/>
              </w:rPr>
              <w:t xml:space="preserve"> constateert dat structurele samenwerking tussen handels- en ontwikkelingsdoelen beperkt was, onder andere door een gebrek aan langetermijnstrategieën en partnerschappen. De evaluatie beveelt aan om sterker in te zetten op gezamenlijke doelen en structurele samenwerking met Nederlandse bedrijven, kennisinstellingen en lokale stakeholders, zodat investeringen bijdragen aan economische ontwikkeling en betere markttoegang</w:t>
            </w:r>
            <w:r w:rsidRPr="00837281" w:rsidR="00275258">
              <w:rPr>
                <w:sz w:val="16"/>
                <w:szCs w:val="16"/>
              </w:rPr>
              <w:t>.</w:t>
            </w:r>
          </w:p>
          <w:p w:rsidRPr="00BB38DD" w:rsidR="00BB38DD" w:rsidP="00837281" w:rsidRDefault="00BB38DD" w14:paraId="65AA4E17" w14:textId="0DF0AF91">
            <w:pPr>
              <w:pStyle w:val="TableParagraph"/>
              <w:numPr>
                <w:ilvl w:val="0"/>
                <w:numId w:val="11"/>
              </w:numPr>
              <w:spacing w:before="2" w:line="178" w:lineRule="exact"/>
              <w:rPr>
                <w:sz w:val="16"/>
                <w:szCs w:val="16"/>
              </w:rPr>
            </w:pPr>
            <w:r w:rsidRPr="00BB38DD">
              <w:rPr>
                <w:sz w:val="16"/>
                <w:szCs w:val="16"/>
              </w:rPr>
              <w:t>Sinds deze aanbevelingen zijn opgevolgd, is de samenwerking tussen DGIS, DGBEB, ambassades, RVO en Invest International verbeterd. In de afgelopen twee jaar heeft deze versterkte afstemming geleid tot efficiëntere uitvoering van combi-tracks, beter geïntegreerde programma’s en effectievere ondersteuning van Nederlandse bedrijven in buitenlandse markten.</w:t>
            </w:r>
            <w:r>
              <w:rPr>
                <w:sz w:val="16"/>
                <w:szCs w:val="16"/>
              </w:rPr>
              <w:t xml:space="preserve"> Het nieuwe beleid bouwt hierop voort.</w:t>
            </w:r>
          </w:p>
          <w:p w:rsidRPr="00837281" w:rsidR="00BB38DD" w:rsidP="00837281" w:rsidRDefault="00BB38DD" w14:paraId="7AC0C4BE" w14:textId="67FEEF4F">
            <w:pPr>
              <w:pStyle w:val="TableParagraph"/>
              <w:numPr>
                <w:ilvl w:val="0"/>
                <w:numId w:val="11"/>
              </w:numPr>
              <w:spacing w:before="2" w:line="178" w:lineRule="exact"/>
              <w:rPr>
                <w:sz w:val="16"/>
                <w:szCs w:val="16"/>
              </w:rPr>
            </w:pPr>
            <w:r>
              <w:rPr>
                <w:sz w:val="16"/>
                <w:szCs w:val="16"/>
              </w:rPr>
              <w:t xml:space="preserve">Daarnaast </w:t>
            </w:r>
            <w:r w:rsidRPr="00BF02D0">
              <w:rPr>
                <w:sz w:val="16"/>
                <w:szCs w:val="16"/>
              </w:rPr>
              <w:t xml:space="preserve">specificeren </w:t>
            </w:r>
            <w:r>
              <w:rPr>
                <w:sz w:val="16"/>
                <w:szCs w:val="16"/>
              </w:rPr>
              <w:t xml:space="preserve">we </w:t>
            </w:r>
            <w:r w:rsidRPr="00BF02D0">
              <w:rPr>
                <w:sz w:val="16"/>
                <w:szCs w:val="16"/>
              </w:rPr>
              <w:t>onze doelstellingen en bijbehorende doelgroepen, zodat onze interventies zich richten op groepen die economische groei en stabiliteit bevorderen, terwijl we onze impact beter kunnen monitoren en onderbouwen.</w:t>
            </w:r>
            <w:r>
              <w:rPr>
                <w:sz w:val="16"/>
                <w:szCs w:val="16"/>
              </w:rPr>
              <w:t xml:space="preserve"> </w:t>
            </w:r>
          </w:p>
          <w:p w:rsidRPr="00837281" w:rsidR="00BB38DD" w:rsidP="00837281" w:rsidRDefault="00BB38DD" w14:paraId="43E6DA0F" w14:textId="1538554F">
            <w:pPr>
              <w:pStyle w:val="TableParagraph"/>
              <w:numPr>
                <w:ilvl w:val="0"/>
                <w:numId w:val="11"/>
              </w:numPr>
              <w:spacing w:before="2" w:line="178" w:lineRule="exact"/>
              <w:rPr>
                <w:sz w:val="16"/>
                <w:szCs w:val="16"/>
              </w:rPr>
            </w:pPr>
            <w:r w:rsidRPr="00837281">
              <w:rPr>
                <w:sz w:val="16"/>
                <w:szCs w:val="16"/>
              </w:rPr>
              <w:t>Er bestaat ook een risico ten aanzien van de dubbele doelstelling (‘win-win’)</w:t>
            </w:r>
            <w:r w:rsidRPr="00837281" w:rsidR="005306BA">
              <w:rPr>
                <w:sz w:val="16"/>
                <w:szCs w:val="16"/>
              </w:rPr>
              <w:t xml:space="preserve">, waarbij zowel lokale economische ontwikkeling als Nederlands verdienvermogen </w:t>
            </w:r>
            <w:r w:rsidRPr="00837281">
              <w:rPr>
                <w:sz w:val="16"/>
                <w:szCs w:val="16"/>
              </w:rPr>
              <w:t xml:space="preserve">moeten </w:t>
            </w:r>
            <w:r w:rsidRPr="00837281" w:rsidR="005306BA">
              <w:rPr>
                <w:sz w:val="16"/>
                <w:szCs w:val="16"/>
              </w:rPr>
              <w:t xml:space="preserve">worden gerealiseerd. </w:t>
            </w:r>
            <w:r w:rsidRPr="00837281">
              <w:rPr>
                <w:sz w:val="16"/>
                <w:szCs w:val="16"/>
              </w:rPr>
              <w:t xml:space="preserve">Mogelijk zijn </w:t>
            </w:r>
            <w:r w:rsidRPr="00837281" w:rsidR="005306BA">
              <w:rPr>
                <w:sz w:val="16"/>
                <w:szCs w:val="16"/>
              </w:rPr>
              <w:t>interventies die het Nederlands verdienvermogen ondersteunen niet altijd de meest doelmatige manier om ontwikkelingsimpact te bereiken.</w:t>
            </w:r>
            <w:r w:rsidRPr="00837281">
              <w:rPr>
                <w:sz w:val="16"/>
                <w:szCs w:val="16"/>
              </w:rPr>
              <w:t xml:space="preserve"> </w:t>
            </w:r>
          </w:p>
        </w:tc>
      </w:tr>
      <w:tr w:rsidR="00B96979" w:rsidTr="00B96979" w14:paraId="45E467C9"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1903" w:type="dxa"/>
            <w:tcBorders>
              <w:left w:val="nil"/>
              <w:right w:val="nil"/>
            </w:tcBorders>
            <w:shd w:val="clear" w:color="auto" w:fill="D5EEF8"/>
          </w:tcPr>
          <w:p w:rsidR="00B96979" w:rsidP="00B96979" w:rsidRDefault="00B96979" w14:paraId="6D939322" w14:textId="32F2EC1F">
            <w:pPr>
              <w:pStyle w:val="TableParagraph"/>
              <w:spacing w:before="51" w:line="254" w:lineRule="auto"/>
              <w:ind w:left="93" w:right="744"/>
              <w:rPr>
                <w:b/>
                <w:sz w:val="16"/>
              </w:rPr>
            </w:pPr>
            <w:r>
              <w:rPr>
                <w:b/>
                <w:sz w:val="16"/>
              </w:rPr>
              <w:t xml:space="preserve">6. </w:t>
            </w:r>
            <w:r>
              <w:rPr>
                <w:b/>
                <w:spacing w:val="-2"/>
                <w:sz w:val="16"/>
              </w:rPr>
              <w:t>Evaluatieparagraaf</w:t>
            </w:r>
          </w:p>
        </w:tc>
        <w:tc>
          <w:tcPr>
            <w:tcW w:w="6893" w:type="dxa"/>
            <w:tcBorders>
              <w:left w:val="nil"/>
              <w:right w:val="nil"/>
            </w:tcBorders>
          </w:tcPr>
          <w:p w:rsidRPr="00BF02D0" w:rsidR="00BF02D0" w:rsidP="00BF02D0" w:rsidRDefault="00BF02D0" w14:paraId="2BFA7538" w14:textId="456D0B9C">
            <w:pPr>
              <w:rPr>
                <w:i/>
                <w:iCs/>
                <w:sz w:val="16"/>
                <w:szCs w:val="16"/>
              </w:rPr>
            </w:pPr>
            <w:r w:rsidRPr="00BF02D0">
              <w:rPr>
                <w:sz w:val="16"/>
                <w:szCs w:val="16"/>
              </w:rPr>
              <w:t>In 2029 vindt er een periodieke rapportage plaats van heel artikel 1 van begroting XVII (Buitenlandse Handel en Ontwikkelingshulp), waaronder dus ook artikel 1.3. De periodieke rapportage zal worden uitgevoerd door IOB en gebaseerd op een synthese van verschillende onderzoeken en evaluaties, zie onder meer tabel 1.</w:t>
            </w:r>
          </w:p>
          <w:p w:rsidR="00A44E47" w:rsidP="00BF02D0" w:rsidRDefault="00A44E47" w14:paraId="69DFB458" w14:textId="77777777">
            <w:pPr>
              <w:rPr>
                <w:sz w:val="16"/>
                <w:szCs w:val="16"/>
              </w:rPr>
            </w:pPr>
          </w:p>
          <w:p w:rsidRPr="00E1561F" w:rsidR="00B96979" w:rsidP="00E1561F" w:rsidRDefault="00BF02D0" w14:paraId="1B95D001" w14:textId="2D2D803B">
            <w:pPr>
              <w:rPr>
                <w:sz w:val="16"/>
                <w:szCs w:val="16"/>
              </w:rPr>
            </w:pPr>
            <w:r w:rsidRPr="00BF02D0">
              <w:rPr>
                <w:sz w:val="16"/>
                <w:szCs w:val="16"/>
              </w:rPr>
              <w:t>Tabel 1: overzicht evaluaties en overig onderzoek ten behoeve van art. 1.3</w:t>
            </w:r>
          </w:p>
          <w:p w:rsidR="00B96979" w:rsidP="00B96979" w:rsidRDefault="00B96979" w14:paraId="503AD22B" w14:textId="77777777">
            <w:pPr>
              <w:pStyle w:val="Default"/>
              <w:rPr>
                <w:rFonts w:eastAsia="Calibri"/>
                <w:color w:val="auto"/>
                <w:sz w:val="16"/>
                <w:szCs w:val="22"/>
              </w:rPr>
            </w:pPr>
          </w:p>
          <w:p w:rsidR="00B96979" w:rsidP="00B96979" w:rsidRDefault="00BF02D0" w14:paraId="4B15C514" w14:textId="4B4FDC76">
            <w:pPr>
              <w:pStyle w:val="Default"/>
              <w:rPr>
                <w:rFonts w:eastAsia="Calibri"/>
                <w:color w:val="auto"/>
                <w:sz w:val="16"/>
                <w:szCs w:val="22"/>
              </w:rPr>
            </w:pPr>
            <w:r w:rsidRPr="007C3558">
              <w:rPr>
                <w:noProof/>
              </w:rPr>
              <w:lastRenderedPageBreak/>
              <w:drawing>
                <wp:inline distT="0" distB="0" distL="0" distR="0" wp14:anchorId="51C98963" wp14:editId="3BA871BB">
                  <wp:extent cx="4096750" cy="3625702"/>
                  <wp:effectExtent l="0" t="0" r="0" b="0"/>
                  <wp:docPr id="192405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55796" name=""/>
                          <pic:cNvPicPr/>
                        </pic:nvPicPr>
                        <pic:blipFill rotWithShape="1">
                          <a:blip r:embed="rId12"/>
                          <a:srcRect t="561"/>
                          <a:stretch/>
                        </pic:blipFill>
                        <pic:spPr bwMode="auto">
                          <a:xfrm>
                            <a:off x="0" y="0"/>
                            <a:ext cx="4126289" cy="3651845"/>
                          </a:xfrm>
                          <a:prstGeom prst="rect">
                            <a:avLst/>
                          </a:prstGeom>
                          <a:ln>
                            <a:noFill/>
                          </a:ln>
                          <a:extLst>
                            <a:ext uri="{53640926-AAD7-44D8-BBD7-CCE9431645EC}">
                              <a14:shadowObscured xmlns:a14="http://schemas.microsoft.com/office/drawing/2010/main"/>
                            </a:ext>
                          </a:extLst>
                        </pic:spPr>
                      </pic:pic>
                    </a:graphicData>
                  </a:graphic>
                </wp:inline>
              </w:drawing>
            </w:r>
          </w:p>
          <w:p w:rsidR="00B96979" w:rsidP="00B96979" w:rsidRDefault="00B96979" w14:paraId="4B2CC402" w14:textId="77777777">
            <w:pPr>
              <w:pStyle w:val="Default"/>
              <w:rPr>
                <w:rFonts w:eastAsia="Calibri"/>
                <w:color w:val="auto"/>
                <w:sz w:val="16"/>
                <w:szCs w:val="22"/>
              </w:rPr>
            </w:pPr>
          </w:p>
          <w:p w:rsidR="00B96979" w:rsidP="00B96979" w:rsidRDefault="00B96979" w14:paraId="2FF46F08" w14:textId="77777777">
            <w:pPr>
              <w:pStyle w:val="Default"/>
              <w:rPr>
                <w:rFonts w:eastAsia="Calibri"/>
                <w:color w:val="auto"/>
                <w:sz w:val="16"/>
                <w:szCs w:val="22"/>
              </w:rPr>
            </w:pPr>
          </w:p>
          <w:p w:rsidR="00B96979" w:rsidP="00B96979" w:rsidRDefault="00B96979" w14:paraId="7206DE46" w14:textId="77777777">
            <w:pPr>
              <w:pStyle w:val="Default"/>
              <w:rPr>
                <w:rFonts w:eastAsia="Calibri"/>
                <w:color w:val="auto"/>
                <w:sz w:val="16"/>
                <w:szCs w:val="22"/>
              </w:rPr>
            </w:pPr>
          </w:p>
          <w:p w:rsidRPr="00B96979" w:rsidR="00B96979" w:rsidP="00B96979" w:rsidRDefault="00B96979" w14:paraId="51806661" w14:textId="379622E2">
            <w:pPr>
              <w:pStyle w:val="Default"/>
              <w:rPr>
                <w:rFonts w:eastAsia="Calibri"/>
                <w:color w:val="auto"/>
                <w:sz w:val="16"/>
                <w:szCs w:val="22"/>
              </w:rPr>
            </w:pPr>
          </w:p>
        </w:tc>
      </w:tr>
    </w:tbl>
    <w:p w:rsidR="00B96979" w:rsidRDefault="00F444F0" w14:paraId="0EDAC3CA" w14:textId="0593A2C5">
      <w:pPr>
        <w:spacing w:line="175" w:lineRule="exact"/>
        <w:rPr>
          <w:sz w:val="16"/>
        </w:rPr>
      </w:pPr>
      <w:r>
        <w:rPr>
          <w:sz w:val="16"/>
        </w:rPr>
        <w:lastRenderedPageBreak/>
        <w:t xml:space="preserve"> </w:t>
      </w:r>
    </w:p>
    <w:p w:rsidR="00B96979" w:rsidRDefault="00B96979" w14:paraId="035C9C36" w14:textId="77777777">
      <w:pPr>
        <w:spacing w:line="175" w:lineRule="exact"/>
        <w:rPr>
          <w:sz w:val="16"/>
        </w:rPr>
      </w:pPr>
    </w:p>
    <w:p w:rsidR="00F51296" w:rsidRDefault="00F51296" w14:paraId="1331B6ED" w14:textId="77777777"/>
    <w:sectPr w:rsidR="00F51296">
      <w:headerReference w:type="default" r:id="rId13"/>
      <w:footerReference w:type="default" r:id="rId14"/>
      <w:pgSz w:w="11910" w:h="16840"/>
      <w:pgMar w:top="1420" w:right="1320" w:bottom="1200" w:left="1540" w:header="751" w:footer="100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0DF3" w14:textId="77777777" w:rsidR="0031684C" w:rsidRDefault="0031684C">
      <w:r>
        <w:separator/>
      </w:r>
    </w:p>
  </w:endnote>
  <w:endnote w:type="continuationSeparator" w:id="0">
    <w:p w14:paraId="78CF5296" w14:textId="77777777" w:rsidR="0031684C" w:rsidRDefault="0031684C">
      <w:r>
        <w:continuationSeparator/>
      </w:r>
    </w:p>
  </w:endnote>
  <w:endnote w:type="continuationNotice" w:id="1">
    <w:p w14:paraId="51E8A450" w14:textId="77777777" w:rsidR="0031684C" w:rsidRDefault="0031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18B" w14:textId="77777777" w:rsidR="007D5845" w:rsidRDefault="00F5129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2602C0A5" wp14:editId="52A5338F">
              <wp:simplePos x="0" y="0"/>
              <wp:positionH relativeFrom="page">
                <wp:posOffset>6512052</wp:posOffset>
              </wp:positionH>
              <wp:positionV relativeFrom="page">
                <wp:posOffset>9916153</wp:posOffset>
              </wp:positionV>
              <wp:extent cx="1854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602C0A5" id="_x0000_t202" coordsize="21600,21600" o:spt="202" path="m,l,21600r21600,l21600,xe">
              <v:stroke joinstyle="miter"/>
              <v:path gradientshapeok="t" o:connecttype="rect"/>
            </v:shapetype>
            <v:shape id="Textbox 6" o:spid="_x0000_s1027" type="#_x0000_t202" style="position:absolute;margin-left:512.75pt;margin-top:780.8pt;width:14.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n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ybOXNnPtlCe2QpA0+zkfRrr9BI0X8NbFce/TnBc7I9J5j6&#10;T1A+SFYU4MM+gXWFwBV3IsBzKBKmP5MH/ee+dF1/9uY3AAAA//8DAFBLAwQUAAYACAAAACEAU6uZ&#10;leIAAAAPAQAADwAAAGRycy9kb3ducmV2LnhtbEyPwU7DMBBE70j8g7WVuFG7FUlKGqeqEJyQEGk4&#10;cHSSbWI1XofYbcPf45zKbWd3NPsm202mZxccnbYkYbUUwJBq22hqJXyVb48bYM4ralRvCSX8ooNd&#10;fn+XqbSxVyrwcvAtCyHkUiWh835IOXd1h0a5pR2Qwu1oR6N8kGPLm1FdQ7jp+VqImBulKXzo1IAv&#10;Hdanw9lI2H9T8ap/PqrP4ljosnwW9B6fpHxYTPstMI+Tv5lhxg/okAemyp6pcawPWqyjKHjDFMWr&#10;GNjsEdFTAqyad5skAZ5n/H+P/A8AAP//AwBQSwECLQAUAAYACAAAACEAtoM4kv4AAADhAQAAEwAA&#10;AAAAAAAAAAAAAAAAAAAAW0NvbnRlbnRfVHlwZXNdLnhtbFBLAQItABQABgAIAAAAIQA4/SH/1gAA&#10;AJQBAAALAAAAAAAAAAAAAAAAAC8BAABfcmVscy8ucmVsc1BLAQItABQABgAIAAAAIQDuOOvnlwEA&#10;ACEDAAAOAAAAAAAAAAAAAAAAAC4CAABkcnMvZTJvRG9jLnhtbFBLAQItABQABgAIAAAAIQBTq5mV&#10;4gAAAA8BAAAPAAAAAAAAAAAAAAAAAPEDAABkcnMvZG93bnJldi54bWxQSwUGAAAAAAQABADzAAAA&#10;AAUAAAAA&#10;" filled="f" stroked="f">
              <v:textbox inset="0,0,0,0">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19EF" w14:textId="77777777" w:rsidR="0031684C" w:rsidRDefault="0031684C">
      <w:r>
        <w:separator/>
      </w:r>
    </w:p>
  </w:footnote>
  <w:footnote w:type="continuationSeparator" w:id="0">
    <w:p w14:paraId="233A82FA" w14:textId="77777777" w:rsidR="0031684C" w:rsidRDefault="0031684C">
      <w:r>
        <w:continuationSeparator/>
      </w:r>
    </w:p>
  </w:footnote>
  <w:footnote w:type="continuationNotice" w:id="1">
    <w:p w14:paraId="4C9C0E0D" w14:textId="77777777" w:rsidR="0031684C" w:rsidRDefault="0031684C"/>
  </w:footnote>
  <w:footnote w:id="2">
    <w:p w14:paraId="2CEA8B4D" w14:textId="77777777" w:rsidR="00122C68" w:rsidRPr="00E1561F" w:rsidRDefault="00122C68" w:rsidP="00122C68">
      <w:pPr>
        <w:pStyle w:val="FootnoteText"/>
        <w:rPr>
          <w:sz w:val="16"/>
          <w:szCs w:val="16"/>
        </w:rPr>
      </w:pPr>
      <w:r w:rsidRPr="00E1561F">
        <w:rPr>
          <w:rStyle w:val="FootnoteReference"/>
          <w:sz w:val="16"/>
          <w:szCs w:val="16"/>
        </w:rPr>
        <w:footnoteRef/>
      </w:r>
      <w:r w:rsidRPr="00E1561F">
        <w:rPr>
          <w:sz w:val="16"/>
          <w:szCs w:val="16"/>
        </w:rPr>
        <w:t xml:space="preserve"> </w:t>
      </w:r>
      <w:hyperlink r:id="rId1" w:history="1">
        <w:r w:rsidRPr="00E1561F">
          <w:rPr>
            <w:rStyle w:val="Hyperlink"/>
            <w:sz w:val="16"/>
            <w:szCs w:val="16"/>
          </w:rPr>
          <w:t>Rapport — Partners in ontwikkeling | Rapport | Directie Internationaal Onderzoek en Beleidsevaluatie (IOB)</w:t>
        </w:r>
      </w:hyperlink>
    </w:p>
  </w:footnote>
  <w:footnote w:id="3">
    <w:p w14:paraId="6AA296E5" w14:textId="77777777" w:rsidR="009E27C3" w:rsidRPr="003F0A3E" w:rsidRDefault="009E27C3" w:rsidP="009E27C3">
      <w:pPr>
        <w:pStyle w:val="FootnoteText"/>
        <w:rPr>
          <w:sz w:val="16"/>
          <w:szCs w:val="16"/>
        </w:rPr>
      </w:pPr>
      <w:r w:rsidRPr="003F0A3E">
        <w:rPr>
          <w:rStyle w:val="FootnoteReference"/>
          <w:sz w:val="16"/>
          <w:szCs w:val="16"/>
        </w:rPr>
        <w:footnoteRef/>
      </w:r>
      <w:r w:rsidRPr="003F0A3E">
        <w:rPr>
          <w:sz w:val="16"/>
          <w:szCs w:val="16"/>
        </w:rPr>
        <w:t xml:space="preserve"> </w:t>
      </w:r>
      <w:hyperlink r:id="rId2" w:history="1">
        <w:r w:rsidRPr="003F0A3E">
          <w:rPr>
            <w:rStyle w:val="Hyperlink"/>
            <w:sz w:val="16"/>
            <w:szCs w:val="16"/>
          </w:rPr>
          <w:t>Resultaten – Periodieke rapportage van de coherentie van het Nederlands beleid en effecten op voedselzekerheid, water en klimaat | Resultaten | Directie Internationaal Onderzoek en Beleidsevaluatie (IOB)</w:t>
        </w:r>
      </w:hyperlink>
    </w:p>
  </w:footnote>
  <w:footnote w:id="4">
    <w:p w14:paraId="6E1BC136" w14:textId="7BAE0503" w:rsidR="003F0A3E" w:rsidRPr="003F0A3E" w:rsidRDefault="003F0A3E">
      <w:pPr>
        <w:pStyle w:val="FootnoteText"/>
      </w:pPr>
      <w:r w:rsidRPr="003F0A3E">
        <w:rPr>
          <w:rStyle w:val="FootnoteReference"/>
          <w:sz w:val="16"/>
          <w:szCs w:val="16"/>
        </w:rPr>
        <w:footnoteRef/>
      </w:r>
      <w:r w:rsidRPr="003F0A3E">
        <w:rPr>
          <w:sz w:val="16"/>
          <w:szCs w:val="16"/>
        </w:rPr>
        <w:t xml:space="preserve"> </w:t>
      </w:r>
      <w:hyperlink r:id="rId3" w:history="1">
        <w:r w:rsidRPr="003F0A3E">
          <w:rPr>
            <w:rStyle w:val="Hyperlink"/>
            <w:sz w:val="16"/>
            <w:szCs w:val="16"/>
          </w:rPr>
          <w:t>Rapport — Partners in ontwikkeling | Rapport | Directie Internationaal Onderzoek en Beleidsevaluatie (IOB)</w:t>
        </w:r>
      </w:hyperlink>
    </w:p>
  </w:footnote>
  <w:footnote w:id="5">
    <w:p w14:paraId="1CD36A87" w14:textId="0943E703" w:rsidR="00BD6A4D" w:rsidRPr="00695EAD" w:rsidRDefault="00BD6A4D">
      <w:pPr>
        <w:pStyle w:val="FootnoteText"/>
        <w:rPr>
          <w:sz w:val="16"/>
          <w:szCs w:val="16"/>
        </w:rPr>
      </w:pPr>
      <w:r w:rsidRPr="00BD6A4D">
        <w:rPr>
          <w:rStyle w:val="FootnoteReference"/>
          <w:sz w:val="16"/>
          <w:szCs w:val="16"/>
        </w:rPr>
        <w:footnoteRef/>
      </w:r>
      <w:r w:rsidRPr="00BD6A4D">
        <w:rPr>
          <w:sz w:val="16"/>
          <w:szCs w:val="16"/>
        </w:rPr>
        <w:t xml:space="preserve"> Beleidsdoorlichting (2022) artikel 1 van de </w:t>
      </w:r>
      <w:r w:rsidRPr="00695EAD">
        <w:rPr>
          <w:sz w:val="16"/>
          <w:szCs w:val="16"/>
        </w:rPr>
        <w:t>begroting BHO:</w:t>
      </w:r>
      <w:r w:rsidR="00695EAD" w:rsidRPr="00695EAD">
        <w:rPr>
          <w:sz w:val="16"/>
          <w:szCs w:val="16"/>
        </w:rPr>
        <w:t xml:space="preserve"> </w:t>
      </w:r>
      <w:hyperlink r:id="rId4" w:history="1">
        <w:r w:rsidR="00695EAD" w:rsidRPr="00695EAD">
          <w:rPr>
            <w:rStyle w:val="Hyperlink"/>
            <w:sz w:val="16"/>
            <w:szCs w:val="16"/>
          </w:rPr>
          <w:t>Beleidsdoorlichting artikel 1 van de begroting voor Buitenlandse Handel en Ontwikkelingssamenwerking (BHOS) | Rapport | Directie Internationaal Onderzoek en Beleidsevaluatie (IOB)</w:t>
        </w:r>
      </w:hyperlink>
    </w:p>
  </w:footnote>
  <w:footnote w:id="6">
    <w:p w14:paraId="6DB527E8" w14:textId="604EDBE8" w:rsidR="005A0D19" w:rsidRPr="00BD6A4D" w:rsidRDefault="005A0D19" w:rsidP="005A0D19">
      <w:pPr>
        <w:pStyle w:val="FootnoteText"/>
        <w:rPr>
          <w:sz w:val="16"/>
          <w:szCs w:val="16"/>
        </w:rPr>
      </w:pPr>
      <w:r w:rsidRPr="00BD6A4D">
        <w:rPr>
          <w:rStyle w:val="FootnoteReference"/>
          <w:sz w:val="16"/>
          <w:szCs w:val="16"/>
        </w:rPr>
        <w:footnoteRef/>
      </w:r>
      <w:r w:rsidRPr="00BD6A4D">
        <w:rPr>
          <w:sz w:val="16"/>
          <w:szCs w:val="16"/>
        </w:rPr>
        <w:t xml:space="preserve"> Beleidsdoorlichting (2022) artikel 1 van de begroting BHO: </w:t>
      </w:r>
      <w:hyperlink r:id="rId5" w:history="1">
        <w:r w:rsidR="00695EAD" w:rsidRPr="00695EAD">
          <w:rPr>
            <w:rStyle w:val="Hyperlink"/>
            <w:sz w:val="16"/>
            <w:szCs w:val="16"/>
          </w:rPr>
          <w:t>Beleidsdoorlichting artikel 1 van de begroting voor Buitenlandse Handel en Ontwikkelingssamenwerking (BHOS) | Rapport | Directie Internationaal Onderzoek en Beleidsevaluatie (IOB)</w:t>
        </w:r>
      </w:hyperlink>
    </w:p>
  </w:footnote>
  <w:footnote w:id="7">
    <w:p w14:paraId="4348688A" w14:textId="5DD8CC01" w:rsidR="00275258" w:rsidRPr="00275258" w:rsidRDefault="00275258">
      <w:pPr>
        <w:pStyle w:val="FootnoteText"/>
        <w:rPr>
          <w:sz w:val="16"/>
          <w:szCs w:val="16"/>
        </w:rPr>
      </w:pPr>
      <w:r w:rsidRPr="00275258">
        <w:rPr>
          <w:rStyle w:val="FootnoteReference"/>
          <w:sz w:val="16"/>
          <w:szCs w:val="16"/>
        </w:rPr>
        <w:footnoteRef/>
      </w:r>
      <w:r w:rsidRPr="00275258">
        <w:rPr>
          <w:sz w:val="16"/>
          <w:szCs w:val="16"/>
        </w:rPr>
        <w:t xml:space="preserve"> </w:t>
      </w:r>
      <w:hyperlink r:id="rId6" w:history="1">
        <w:r w:rsidRPr="00275258">
          <w:rPr>
            <w:rStyle w:val="Hyperlink"/>
            <w:sz w:val="16"/>
            <w:szCs w:val="16"/>
          </w:rPr>
          <w:t>Rapport — Partners in ontwikkeling | Rapport | Directie Internationaal Onderzoek en Beleidsevaluatie (IOB)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EA26" w14:textId="77777777" w:rsidR="007D5845" w:rsidRDefault="00F5129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FA11E1A" wp14:editId="530C9D7E">
              <wp:simplePos x="0" y="0"/>
              <wp:positionH relativeFrom="page">
                <wp:posOffset>6512052</wp:posOffset>
              </wp:positionH>
              <wp:positionV relativeFrom="page">
                <wp:posOffset>464311</wp:posOffset>
              </wp:positionV>
              <wp:extent cx="1854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FA11E1A" id="_x0000_t202" coordsize="21600,21600" o:spt="202" path="m,l,21600r21600,l21600,xe">
              <v:stroke joinstyle="miter"/>
              <v:path gradientshapeok="t" o:connecttype="rect"/>
            </v:shapetype>
            <v:shape id="Textbox 5" o:spid="_x0000_s1026" type="#_x0000_t202" style="position:absolute;margin-left:512.75pt;margin-top:36.55pt;width:14.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1C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V++WXDFcWtys3r9dZb/V9XJESl8seJGT&#10;WiKvqxDQhwdKp9Zzy8TlND4TSeN25JacbqE5soaB11hL+rXXaKXovwb2Ke/8nOA52Z4TTP0nKC8j&#10;SwnwYZ/AdWXyFXeazAso3KfHkjf857l0XZ/05jcAAAD//wMAUEsDBBQABgAIAAAAIQAiiMEH4AAA&#10;AAsBAAAPAAAAZHJzL2Rvd25yZXYueG1sTI/BTsMwEETvSPyDtUjcqN1AWhLiVBWCExIiDQeOTrxN&#10;rMbrELtt+HvcExxH+zTzttjMdmAnnLxxJGG5EMCQWqcNdRI+69e7R2A+KNJqcIQSftDDpry+KlSu&#10;3ZkqPO1Cx2IJ+VxJ6EMYc85926NVfuFGpHjbu8mqEOPUcT2pcyy3A0+EWHGrDMWFXo343GN72B2t&#10;hO0XVS/m+735qPaVqetM0NvqIOXtzbx9AhZwDn8wXPSjOpTRqXFH0p4NMYskTSMrYX2/BHYhRPqw&#10;BtZIyLIEeFnw/z+UvwAAAP//AwBQSwECLQAUAAYACAAAACEAtoM4kv4AAADhAQAAEwAAAAAAAAAA&#10;AAAAAAAAAAAAW0NvbnRlbnRfVHlwZXNdLnhtbFBLAQItABQABgAIAAAAIQA4/SH/1gAAAJQBAAAL&#10;AAAAAAAAAAAAAAAAAC8BAABfcmVscy8ucmVsc1BLAQItABQABgAIAAAAIQDiq41CkwEAABoDAAAO&#10;AAAAAAAAAAAAAAAAAC4CAABkcnMvZTJvRG9jLnhtbFBLAQItABQABgAIAAAAIQAiiMEH4AAAAAsB&#10;AAAPAAAAAAAAAAAAAAAAAO0DAABkcnMvZG93bnJldi54bWxQSwUGAAAAAAQABADzAAAA+gQAAAAA&#10;" filled="f" stroked="f">
              <v:textbox inset="0,0,0,0">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E8A"/>
    <w:multiLevelType w:val="hybridMultilevel"/>
    <w:tmpl w:val="33FA578C"/>
    <w:lvl w:ilvl="0" w:tplc="E02C89A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4E3D83"/>
    <w:multiLevelType w:val="hybridMultilevel"/>
    <w:tmpl w:val="360A73A8"/>
    <w:lvl w:ilvl="0" w:tplc="B27EFF4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FCF5216"/>
    <w:multiLevelType w:val="hybridMultilevel"/>
    <w:tmpl w:val="29B6B9B4"/>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720" w:hanging="360"/>
      </w:p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91342BE"/>
    <w:multiLevelType w:val="hybridMultilevel"/>
    <w:tmpl w:val="68621754"/>
    <w:lvl w:ilvl="0" w:tplc="2F40F254">
      <w:start w:val="1"/>
      <w:numFmt w:val="decimal"/>
      <w:lvlText w:val="%1."/>
      <w:lvlJc w:val="left"/>
      <w:pPr>
        <w:ind w:left="1440" w:hanging="360"/>
      </w:pPr>
    </w:lvl>
    <w:lvl w:ilvl="1" w:tplc="3FA06122">
      <w:start w:val="1"/>
      <w:numFmt w:val="decimal"/>
      <w:lvlText w:val="%2."/>
      <w:lvlJc w:val="left"/>
      <w:pPr>
        <w:ind w:left="1440" w:hanging="360"/>
      </w:pPr>
    </w:lvl>
    <w:lvl w:ilvl="2" w:tplc="C19C1524">
      <w:start w:val="1"/>
      <w:numFmt w:val="decimal"/>
      <w:lvlText w:val="%3."/>
      <w:lvlJc w:val="left"/>
      <w:pPr>
        <w:ind w:left="1440" w:hanging="360"/>
      </w:pPr>
    </w:lvl>
    <w:lvl w:ilvl="3" w:tplc="84E6F9AA">
      <w:start w:val="1"/>
      <w:numFmt w:val="decimal"/>
      <w:lvlText w:val="%4."/>
      <w:lvlJc w:val="left"/>
      <w:pPr>
        <w:ind w:left="1440" w:hanging="360"/>
      </w:pPr>
    </w:lvl>
    <w:lvl w:ilvl="4" w:tplc="B9F68F28">
      <w:start w:val="1"/>
      <w:numFmt w:val="decimal"/>
      <w:lvlText w:val="%5."/>
      <w:lvlJc w:val="left"/>
      <w:pPr>
        <w:ind w:left="1440" w:hanging="360"/>
      </w:pPr>
    </w:lvl>
    <w:lvl w:ilvl="5" w:tplc="767838A4">
      <w:start w:val="1"/>
      <w:numFmt w:val="decimal"/>
      <w:lvlText w:val="%6."/>
      <w:lvlJc w:val="left"/>
      <w:pPr>
        <w:ind w:left="1440" w:hanging="360"/>
      </w:pPr>
    </w:lvl>
    <w:lvl w:ilvl="6" w:tplc="5EE6FD66">
      <w:start w:val="1"/>
      <w:numFmt w:val="decimal"/>
      <w:lvlText w:val="%7."/>
      <w:lvlJc w:val="left"/>
      <w:pPr>
        <w:ind w:left="1440" w:hanging="360"/>
      </w:pPr>
    </w:lvl>
    <w:lvl w:ilvl="7" w:tplc="E6B0AC16">
      <w:start w:val="1"/>
      <w:numFmt w:val="decimal"/>
      <w:lvlText w:val="%8."/>
      <w:lvlJc w:val="left"/>
      <w:pPr>
        <w:ind w:left="1440" w:hanging="360"/>
      </w:pPr>
    </w:lvl>
    <w:lvl w:ilvl="8" w:tplc="47922D26">
      <w:start w:val="1"/>
      <w:numFmt w:val="decimal"/>
      <w:lvlText w:val="%9."/>
      <w:lvlJc w:val="left"/>
      <w:pPr>
        <w:ind w:left="1440" w:hanging="360"/>
      </w:pPr>
    </w:lvl>
  </w:abstractNum>
  <w:abstractNum w:abstractNumId="4" w15:restartNumberingAfterBreak="0">
    <w:nsid w:val="393B3AA5"/>
    <w:multiLevelType w:val="hybridMultilevel"/>
    <w:tmpl w:val="EDA6866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01109DB"/>
    <w:multiLevelType w:val="hybridMultilevel"/>
    <w:tmpl w:val="9A5A1BA2"/>
    <w:lvl w:ilvl="0" w:tplc="8C70218E">
      <w:numFmt w:val="bullet"/>
      <w:lvlText w:val=""/>
      <w:lvlJc w:val="left"/>
      <w:pPr>
        <w:ind w:left="359" w:hanging="360"/>
      </w:pPr>
      <w:rPr>
        <w:rFonts w:ascii="Wingdings" w:eastAsia="Wingdings" w:hAnsi="Wingdings" w:cs="Wingdings" w:hint="default"/>
        <w:b w:val="0"/>
        <w:bCs w:val="0"/>
        <w:i w:val="0"/>
        <w:iCs w:val="0"/>
        <w:spacing w:val="0"/>
        <w:w w:val="100"/>
        <w:sz w:val="16"/>
        <w:szCs w:val="16"/>
        <w:lang w:val="nl-NL" w:eastAsia="en-US" w:bidi="ar-SA"/>
      </w:rPr>
    </w:lvl>
    <w:lvl w:ilvl="1" w:tplc="ACFA78C6">
      <w:numFmt w:val="bullet"/>
      <w:lvlText w:val="•"/>
      <w:lvlJc w:val="left"/>
      <w:pPr>
        <w:ind w:left="1015" w:hanging="360"/>
      </w:pPr>
      <w:rPr>
        <w:rFonts w:hint="default"/>
        <w:lang w:val="nl-NL" w:eastAsia="en-US" w:bidi="ar-SA"/>
      </w:rPr>
    </w:lvl>
    <w:lvl w:ilvl="2" w:tplc="E06ADB4C">
      <w:numFmt w:val="bullet"/>
      <w:lvlText w:val="•"/>
      <w:lvlJc w:val="left"/>
      <w:pPr>
        <w:ind w:left="1670" w:hanging="360"/>
      </w:pPr>
      <w:rPr>
        <w:rFonts w:hint="default"/>
        <w:lang w:val="nl-NL" w:eastAsia="en-US" w:bidi="ar-SA"/>
      </w:rPr>
    </w:lvl>
    <w:lvl w:ilvl="3" w:tplc="ACFA74E2">
      <w:numFmt w:val="bullet"/>
      <w:lvlText w:val="•"/>
      <w:lvlJc w:val="left"/>
      <w:pPr>
        <w:ind w:left="2325" w:hanging="360"/>
      </w:pPr>
      <w:rPr>
        <w:rFonts w:hint="default"/>
        <w:lang w:val="nl-NL" w:eastAsia="en-US" w:bidi="ar-SA"/>
      </w:rPr>
    </w:lvl>
    <w:lvl w:ilvl="4" w:tplc="75DAA54E">
      <w:numFmt w:val="bullet"/>
      <w:lvlText w:val="•"/>
      <w:lvlJc w:val="left"/>
      <w:pPr>
        <w:ind w:left="2980" w:hanging="360"/>
      </w:pPr>
      <w:rPr>
        <w:rFonts w:hint="default"/>
        <w:lang w:val="nl-NL" w:eastAsia="en-US" w:bidi="ar-SA"/>
      </w:rPr>
    </w:lvl>
    <w:lvl w:ilvl="5" w:tplc="42F2A0B4">
      <w:numFmt w:val="bullet"/>
      <w:lvlText w:val="•"/>
      <w:lvlJc w:val="left"/>
      <w:pPr>
        <w:ind w:left="3635" w:hanging="360"/>
      </w:pPr>
      <w:rPr>
        <w:rFonts w:hint="default"/>
        <w:lang w:val="nl-NL" w:eastAsia="en-US" w:bidi="ar-SA"/>
      </w:rPr>
    </w:lvl>
    <w:lvl w:ilvl="6" w:tplc="A0E287B8">
      <w:numFmt w:val="bullet"/>
      <w:lvlText w:val="•"/>
      <w:lvlJc w:val="left"/>
      <w:pPr>
        <w:ind w:left="4290" w:hanging="360"/>
      </w:pPr>
      <w:rPr>
        <w:rFonts w:hint="default"/>
        <w:lang w:val="nl-NL" w:eastAsia="en-US" w:bidi="ar-SA"/>
      </w:rPr>
    </w:lvl>
    <w:lvl w:ilvl="7" w:tplc="1C0C6FBC">
      <w:numFmt w:val="bullet"/>
      <w:lvlText w:val="•"/>
      <w:lvlJc w:val="left"/>
      <w:pPr>
        <w:ind w:left="4945" w:hanging="360"/>
      </w:pPr>
      <w:rPr>
        <w:rFonts w:hint="default"/>
        <w:lang w:val="nl-NL" w:eastAsia="en-US" w:bidi="ar-SA"/>
      </w:rPr>
    </w:lvl>
    <w:lvl w:ilvl="8" w:tplc="19CCE9BE">
      <w:numFmt w:val="bullet"/>
      <w:lvlText w:val="•"/>
      <w:lvlJc w:val="left"/>
      <w:pPr>
        <w:ind w:left="5600" w:hanging="360"/>
      </w:pPr>
      <w:rPr>
        <w:rFonts w:hint="default"/>
        <w:lang w:val="nl-NL" w:eastAsia="en-US" w:bidi="ar-SA"/>
      </w:rPr>
    </w:lvl>
  </w:abstractNum>
  <w:abstractNum w:abstractNumId="6" w15:restartNumberingAfterBreak="0">
    <w:nsid w:val="40780D69"/>
    <w:multiLevelType w:val="hybridMultilevel"/>
    <w:tmpl w:val="2FD4666C"/>
    <w:lvl w:ilvl="0" w:tplc="9E440DCA">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38D6CADE">
      <w:numFmt w:val="bullet"/>
      <w:lvlText w:val="•"/>
      <w:lvlJc w:val="left"/>
      <w:pPr>
        <w:ind w:left="1013" w:hanging="360"/>
      </w:pPr>
      <w:rPr>
        <w:rFonts w:hint="default"/>
        <w:lang w:val="nl-NL" w:eastAsia="en-US" w:bidi="ar-SA"/>
      </w:rPr>
    </w:lvl>
    <w:lvl w:ilvl="2" w:tplc="3DD6BD5E">
      <w:numFmt w:val="bullet"/>
      <w:lvlText w:val="•"/>
      <w:lvlJc w:val="left"/>
      <w:pPr>
        <w:ind w:left="1666" w:hanging="360"/>
      </w:pPr>
      <w:rPr>
        <w:rFonts w:hint="default"/>
        <w:lang w:val="nl-NL" w:eastAsia="en-US" w:bidi="ar-SA"/>
      </w:rPr>
    </w:lvl>
    <w:lvl w:ilvl="3" w:tplc="777A0116">
      <w:numFmt w:val="bullet"/>
      <w:lvlText w:val="•"/>
      <w:lvlJc w:val="left"/>
      <w:pPr>
        <w:ind w:left="2319" w:hanging="360"/>
      </w:pPr>
      <w:rPr>
        <w:rFonts w:hint="default"/>
        <w:lang w:val="nl-NL" w:eastAsia="en-US" w:bidi="ar-SA"/>
      </w:rPr>
    </w:lvl>
    <w:lvl w:ilvl="4" w:tplc="22F8EC82">
      <w:numFmt w:val="bullet"/>
      <w:lvlText w:val="•"/>
      <w:lvlJc w:val="left"/>
      <w:pPr>
        <w:ind w:left="2973" w:hanging="360"/>
      </w:pPr>
      <w:rPr>
        <w:rFonts w:hint="default"/>
        <w:lang w:val="nl-NL" w:eastAsia="en-US" w:bidi="ar-SA"/>
      </w:rPr>
    </w:lvl>
    <w:lvl w:ilvl="5" w:tplc="CFCE8D90">
      <w:numFmt w:val="bullet"/>
      <w:lvlText w:val="•"/>
      <w:lvlJc w:val="left"/>
      <w:pPr>
        <w:ind w:left="3626" w:hanging="360"/>
      </w:pPr>
      <w:rPr>
        <w:rFonts w:hint="default"/>
        <w:lang w:val="nl-NL" w:eastAsia="en-US" w:bidi="ar-SA"/>
      </w:rPr>
    </w:lvl>
    <w:lvl w:ilvl="6" w:tplc="5E984906">
      <w:numFmt w:val="bullet"/>
      <w:lvlText w:val="•"/>
      <w:lvlJc w:val="left"/>
      <w:pPr>
        <w:ind w:left="4279" w:hanging="360"/>
      </w:pPr>
      <w:rPr>
        <w:rFonts w:hint="default"/>
        <w:lang w:val="nl-NL" w:eastAsia="en-US" w:bidi="ar-SA"/>
      </w:rPr>
    </w:lvl>
    <w:lvl w:ilvl="7" w:tplc="B82AB500">
      <w:numFmt w:val="bullet"/>
      <w:lvlText w:val="•"/>
      <w:lvlJc w:val="left"/>
      <w:pPr>
        <w:ind w:left="4933" w:hanging="360"/>
      </w:pPr>
      <w:rPr>
        <w:rFonts w:hint="default"/>
        <w:lang w:val="nl-NL" w:eastAsia="en-US" w:bidi="ar-SA"/>
      </w:rPr>
    </w:lvl>
    <w:lvl w:ilvl="8" w:tplc="691A705C">
      <w:numFmt w:val="bullet"/>
      <w:lvlText w:val="•"/>
      <w:lvlJc w:val="left"/>
      <w:pPr>
        <w:ind w:left="5586" w:hanging="360"/>
      </w:pPr>
      <w:rPr>
        <w:rFonts w:hint="default"/>
        <w:lang w:val="nl-NL" w:eastAsia="en-US" w:bidi="ar-SA"/>
      </w:rPr>
    </w:lvl>
  </w:abstractNum>
  <w:abstractNum w:abstractNumId="7" w15:restartNumberingAfterBreak="0">
    <w:nsid w:val="4D980B28"/>
    <w:multiLevelType w:val="hybridMultilevel"/>
    <w:tmpl w:val="42120974"/>
    <w:lvl w:ilvl="0" w:tplc="084493DE">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1EE326A">
      <w:numFmt w:val="bullet"/>
      <w:lvlText w:val="•"/>
      <w:lvlJc w:val="left"/>
      <w:pPr>
        <w:ind w:left="1013" w:hanging="360"/>
      </w:pPr>
      <w:rPr>
        <w:rFonts w:hint="default"/>
        <w:lang w:val="nl-NL" w:eastAsia="en-US" w:bidi="ar-SA"/>
      </w:rPr>
    </w:lvl>
    <w:lvl w:ilvl="2" w:tplc="8B28FD58">
      <w:numFmt w:val="bullet"/>
      <w:lvlText w:val="•"/>
      <w:lvlJc w:val="left"/>
      <w:pPr>
        <w:ind w:left="1666" w:hanging="360"/>
      </w:pPr>
      <w:rPr>
        <w:rFonts w:hint="default"/>
        <w:lang w:val="nl-NL" w:eastAsia="en-US" w:bidi="ar-SA"/>
      </w:rPr>
    </w:lvl>
    <w:lvl w:ilvl="3" w:tplc="C1267A56">
      <w:numFmt w:val="bullet"/>
      <w:lvlText w:val="•"/>
      <w:lvlJc w:val="left"/>
      <w:pPr>
        <w:ind w:left="2319" w:hanging="360"/>
      </w:pPr>
      <w:rPr>
        <w:rFonts w:hint="default"/>
        <w:lang w:val="nl-NL" w:eastAsia="en-US" w:bidi="ar-SA"/>
      </w:rPr>
    </w:lvl>
    <w:lvl w:ilvl="4" w:tplc="AD840BE2">
      <w:numFmt w:val="bullet"/>
      <w:lvlText w:val="•"/>
      <w:lvlJc w:val="left"/>
      <w:pPr>
        <w:ind w:left="2973" w:hanging="360"/>
      </w:pPr>
      <w:rPr>
        <w:rFonts w:hint="default"/>
        <w:lang w:val="nl-NL" w:eastAsia="en-US" w:bidi="ar-SA"/>
      </w:rPr>
    </w:lvl>
    <w:lvl w:ilvl="5" w:tplc="55E0DCD8">
      <w:numFmt w:val="bullet"/>
      <w:lvlText w:val="•"/>
      <w:lvlJc w:val="left"/>
      <w:pPr>
        <w:ind w:left="3626" w:hanging="360"/>
      </w:pPr>
      <w:rPr>
        <w:rFonts w:hint="default"/>
        <w:lang w:val="nl-NL" w:eastAsia="en-US" w:bidi="ar-SA"/>
      </w:rPr>
    </w:lvl>
    <w:lvl w:ilvl="6" w:tplc="D9FEA1FA">
      <w:numFmt w:val="bullet"/>
      <w:lvlText w:val="•"/>
      <w:lvlJc w:val="left"/>
      <w:pPr>
        <w:ind w:left="4279" w:hanging="360"/>
      </w:pPr>
      <w:rPr>
        <w:rFonts w:hint="default"/>
        <w:lang w:val="nl-NL" w:eastAsia="en-US" w:bidi="ar-SA"/>
      </w:rPr>
    </w:lvl>
    <w:lvl w:ilvl="7" w:tplc="7430C68A">
      <w:numFmt w:val="bullet"/>
      <w:lvlText w:val="•"/>
      <w:lvlJc w:val="left"/>
      <w:pPr>
        <w:ind w:left="4933" w:hanging="360"/>
      </w:pPr>
      <w:rPr>
        <w:rFonts w:hint="default"/>
        <w:lang w:val="nl-NL" w:eastAsia="en-US" w:bidi="ar-SA"/>
      </w:rPr>
    </w:lvl>
    <w:lvl w:ilvl="8" w:tplc="4352FB80">
      <w:numFmt w:val="bullet"/>
      <w:lvlText w:val="•"/>
      <w:lvlJc w:val="left"/>
      <w:pPr>
        <w:ind w:left="5586" w:hanging="360"/>
      </w:pPr>
      <w:rPr>
        <w:rFonts w:hint="default"/>
        <w:lang w:val="nl-NL" w:eastAsia="en-US" w:bidi="ar-SA"/>
      </w:rPr>
    </w:lvl>
  </w:abstractNum>
  <w:abstractNum w:abstractNumId="8" w15:restartNumberingAfterBreak="0">
    <w:nsid w:val="52485853"/>
    <w:multiLevelType w:val="hybridMultilevel"/>
    <w:tmpl w:val="44B430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6F379CC"/>
    <w:multiLevelType w:val="hybridMultilevel"/>
    <w:tmpl w:val="BC32611E"/>
    <w:lvl w:ilvl="0" w:tplc="194CED38">
      <w:numFmt w:val="bullet"/>
      <w:lvlText w:val=""/>
      <w:lvlJc w:val="left"/>
      <w:pPr>
        <w:ind w:left="715" w:hanging="361"/>
      </w:pPr>
      <w:rPr>
        <w:rFonts w:ascii="Wingdings" w:eastAsia="Wingdings" w:hAnsi="Wingdings" w:cs="Wingdings" w:hint="default"/>
        <w:b w:val="0"/>
        <w:bCs w:val="0"/>
        <w:i w:val="0"/>
        <w:iCs w:val="0"/>
        <w:spacing w:val="0"/>
        <w:w w:val="100"/>
        <w:sz w:val="16"/>
        <w:szCs w:val="16"/>
        <w:lang w:val="nl-NL" w:eastAsia="en-US" w:bidi="ar-SA"/>
      </w:rPr>
    </w:lvl>
    <w:lvl w:ilvl="1" w:tplc="191CAE2A">
      <w:numFmt w:val="bullet"/>
      <w:lvlText w:val="•"/>
      <w:lvlJc w:val="left"/>
      <w:pPr>
        <w:ind w:left="1337" w:hanging="361"/>
      </w:pPr>
      <w:rPr>
        <w:rFonts w:hint="default"/>
        <w:lang w:val="nl-NL" w:eastAsia="en-US" w:bidi="ar-SA"/>
      </w:rPr>
    </w:lvl>
    <w:lvl w:ilvl="2" w:tplc="F1C6E3A2">
      <w:numFmt w:val="bullet"/>
      <w:lvlText w:val="•"/>
      <w:lvlJc w:val="left"/>
      <w:pPr>
        <w:ind w:left="1954" w:hanging="361"/>
      </w:pPr>
      <w:rPr>
        <w:rFonts w:hint="default"/>
        <w:lang w:val="nl-NL" w:eastAsia="en-US" w:bidi="ar-SA"/>
      </w:rPr>
    </w:lvl>
    <w:lvl w:ilvl="3" w:tplc="81B4681C">
      <w:numFmt w:val="bullet"/>
      <w:lvlText w:val="•"/>
      <w:lvlJc w:val="left"/>
      <w:pPr>
        <w:ind w:left="2571" w:hanging="361"/>
      </w:pPr>
      <w:rPr>
        <w:rFonts w:hint="default"/>
        <w:lang w:val="nl-NL" w:eastAsia="en-US" w:bidi="ar-SA"/>
      </w:rPr>
    </w:lvl>
    <w:lvl w:ilvl="4" w:tplc="70F4A96E">
      <w:numFmt w:val="bullet"/>
      <w:lvlText w:val="•"/>
      <w:lvlJc w:val="left"/>
      <w:pPr>
        <w:ind w:left="3189" w:hanging="361"/>
      </w:pPr>
      <w:rPr>
        <w:rFonts w:hint="default"/>
        <w:lang w:val="nl-NL" w:eastAsia="en-US" w:bidi="ar-SA"/>
      </w:rPr>
    </w:lvl>
    <w:lvl w:ilvl="5" w:tplc="56EACB98">
      <w:numFmt w:val="bullet"/>
      <w:lvlText w:val="•"/>
      <w:lvlJc w:val="left"/>
      <w:pPr>
        <w:ind w:left="3806" w:hanging="361"/>
      </w:pPr>
      <w:rPr>
        <w:rFonts w:hint="default"/>
        <w:lang w:val="nl-NL" w:eastAsia="en-US" w:bidi="ar-SA"/>
      </w:rPr>
    </w:lvl>
    <w:lvl w:ilvl="6" w:tplc="10224878">
      <w:numFmt w:val="bullet"/>
      <w:lvlText w:val="•"/>
      <w:lvlJc w:val="left"/>
      <w:pPr>
        <w:ind w:left="4423" w:hanging="361"/>
      </w:pPr>
      <w:rPr>
        <w:rFonts w:hint="default"/>
        <w:lang w:val="nl-NL" w:eastAsia="en-US" w:bidi="ar-SA"/>
      </w:rPr>
    </w:lvl>
    <w:lvl w:ilvl="7" w:tplc="8508F266">
      <w:numFmt w:val="bullet"/>
      <w:lvlText w:val="•"/>
      <w:lvlJc w:val="left"/>
      <w:pPr>
        <w:ind w:left="5041" w:hanging="361"/>
      </w:pPr>
      <w:rPr>
        <w:rFonts w:hint="default"/>
        <w:lang w:val="nl-NL" w:eastAsia="en-US" w:bidi="ar-SA"/>
      </w:rPr>
    </w:lvl>
    <w:lvl w:ilvl="8" w:tplc="D2800F2C">
      <w:numFmt w:val="bullet"/>
      <w:lvlText w:val="•"/>
      <w:lvlJc w:val="left"/>
      <w:pPr>
        <w:ind w:left="5658" w:hanging="361"/>
      </w:pPr>
      <w:rPr>
        <w:rFonts w:hint="default"/>
        <w:lang w:val="nl-NL" w:eastAsia="en-US" w:bidi="ar-SA"/>
      </w:rPr>
    </w:lvl>
  </w:abstractNum>
  <w:abstractNum w:abstractNumId="10" w15:restartNumberingAfterBreak="0">
    <w:nsid w:val="5B550FFD"/>
    <w:multiLevelType w:val="hybridMultilevel"/>
    <w:tmpl w:val="27CC3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DD6170C"/>
    <w:multiLevelType w:val="hybridMultilevel"/>
    <w:tmpl w:val="B6320A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59F57AF"/>
    <w:multiLevelType w:val="hybridMultilevel"/>
    <w:tmpl w:val="21563070"/>
    <w:lvl w:ilvl="0" w:tplc="C1C05602">
      <w:numFmt w:val="bullet"/>
      <w:lvlText w:val=""/>
      <w:lvlJc w:val="left"/>
      <w:pPr>
        <w:ind w:left="359" w:hanging="361"/>
      </w:pPr>
      <w:rPr>
        <w:rFonts w:ascii="Wingdings" w:eastAsia="Wingdings" w:hAnsi="Wingdings" w:cs="Wingdings" w:hint="default"/>
        <w:b w:val="0"/>
        <w:bCs w:val="0"/>
        <w:i w:val="0"/>
        <w:iCs w:val="0"/>
        <w:spacing w:val="0"/>
        <w:w w:val="100"/>
        <w:sz w:val="16"/>
        <w:szCs w:val="16"/>
        <w:lang w:val="nl-NL" w:eastAsia="en-US" w:bidi="ar-SA"/>
      </w:rPr>
    </w:lvl>
    <w:lvl w:ilvl="1" w:tplc="05527F5C">
      <w:numFmt w:val="bullet"/>
      <w:lvlText w:val="•"/>
      <w:lvlJc w:val="left"/>
      <w:pPr>
        <w:ind w:left="1015" w:hanging="361"/>
      </w:pPr>
      <w:rPr>
        <w:rFonts w:hint="default"/>
        <w:lang w:val="nl-NL" w:eastAsia="en-US" w:bidi="ar-SA"/>
      </w:rPr>
    </w:lvl>
    <w:lvl w:ilvl="2" w:tplc="4A260D22">
      <w:numFmt w:val="bullet"/>
      <w:lvlText w:val="•"/>
      <w:lvlJc w:val="left"/>
      <w:pPr>
        <w:ind w:left="1670" w:hanging="361"/>
      </w:pPr>
      <w:rPr>
        <w:rFonts w:hint="default"/>
        <w:lang w:val="nl-NL" w:eastAsia="en-US" w:bidi="ar-SA"/>
      </w:rPr>
    </w:lvl>
    <w:lvl w:ilvl="3" w:tplc="29609D6E">
      <w:numFmt w:val="bullet"/>
      <w:lvlText w:val="•"/>
      <w:lvlJc w:val="left"/>
      <w:pPr>
        <w:ind w:left="2325" w:hanging="361"/>
      </w:pPr>
      <w:rPr>
        <w:rFonts w:hint="default"/>
        <w:lang w:val="nl-NL" w:eastAsia="en-US" w:bidi="ar-SA"/>
      </w:rPr>
    </w:lvl>
    <w:lvl w:ilvl="4" w:tplc="08700E4E">
      <w:numFmt w:val="bullet"/>
      <w:lvlText w:val="•"/>
      <w:lvlJc w:val="left"/>
      <w:pPr>
        <w:ind w:left="2980" w:hanging="361"/>
      </w:pPr>
      <w:rPr>
        <w:rFonts w:hint="default"/>
        <w:lang w:val="nl-NL" w:eastAsia="en-US" w:bidi="ar-SA"/>
      </w:rPr>
    </w:lvl>
    <w:lvl w:ilvl="5" w:tplc="29CCE75E">
      <w:numFmt w:val="bullet"/>
      <w:lvlText w:val="•"/>
      <w:lvlJc w:val="left"/>
      <w:pPr>
        <w:ind w:left="3635" w:hanging="361"/>
      </w:pPr>
      <w:rPr>
        <w:rFonts w:hint="default"/>
        <w:lang w:val="nl-NL" w:eastAsia="en-US" w:bidi="ar-SA"/>
      </w:rPr>
    </w:lvl>
    <w:lvl w:ilvl="6" w:tplc="87DA5EA4">
      <w:numFmt w:val="bullet"/>
      <w:lvlText w:val="•"/>
      <w:lvlJc w:val="left"/>
      <w:pPr>
        <w:ind w:left="4290" w:hanging="361"/>
      </w:pPr>
      <w:rPr>
        <w:rFonts w:hint="default"/>
        <w:lang w:val="nl-NL" w:eastAsia="en-US" w:bidi="ar-SA"/>
      </w:rPr>
    </w:lvl>
    <w:lvl w:ilvl="7" w:tplc="1B9A3C22">
      <w:numFmt w:val="bullet"/>
      <w:lvlText w:val="•"/>
      <w:lvlJc w:val="left"/>
      <w:pPr>
        <w:ind w:left="4945" w:hanging="361"/>
      </w:pPr>
      <w:rPr>
        <w:rFonts w:hint="default"/>
        <w:lang w:val="nl-NL" w:eastAsia="en-US" w:bidi="ar-SA"/>
      </w:rPr>
    </w:lvl>
    <w:lvl w:ilvl="8" w:tplc="395CEBF4">
      <w:numFmt w:val="bullet"/>
      <w:lvlText w:val="•"/>
      <w:lvlJc w:val="left"/>
      <w:pPr>
        <w:ind w:left="5600" w:hanging="361"/>
      </w:pPr>
      <w:rPr>
        <w:rFonts w:hint="default"/>
        <w:lang w:val="nl-NL" w:eastAsia="en-US" w:bidi="ar-SA"/>
      </w:rPr>
    </w:lvl>
  </w:abstractNum>
  <w:abstractNum w:abstractNumId="13" w15:restartNumberingAfterBreak="0">
    <w:nsid w:val="781A57A6"/>
    <w:multiLevelType w:val="hybridMultilevel"/>
    <w:tmpl w:val="6ACC746A"/>
    <w:lvl w:ilvl="0" w:tplc="970660EE">
      <w:numFmt w:val="bullet"/>
      <w:lvlText w:val=""/>
      <w:lvlJc w:val="left"/>
      <w:pPr>
        <w:ind w:left="719" w:hanging="361"/>
      </w:pPr>
      <w:rPr>
        <w:rFonts w:ascii="Wingdings" w:eastAsia="Wingdings" w:hAnsi="Wingdings" w:cs="Wingdings" w:hint="default"/>
        <w:b w:val="0"/>
        <w:bCs w:val="0"/>
        <w:i w:val="0"/>
        <w:iCs w:val="0"/>
        <w:spacing w:val="0"/>
        <w:w w:val="100"/>
        <w:sz w:val="16"/>
        <w:szCs w:val="16"/>
        <w:lang w:val="nl-NL" w:eastAsia="en-US" w:bidi="ar-SA"/>
      </w:rPr>
    </w:lvl>
    <w:lvl w:ilvl="1" w:tplc="10889206">
      <w:numFmt w:val="bullet"/>
      <w:lvlText w:val="•"/>
      <w:lvlJc w:val="left"/>
      <w:pPr>
        <w:ind w:left="1339" w:hanging="361"/>
      </w:pPr>
      <w:rPr>
        <w:rFonts w:hint="default"/>
        <w:lang w:val="nl-NL" w:eastAsia="en-US" w:bidi="ar-SA"/>
      </w:rPr>
    </w:lvl>
    <w:lvl w:ilvl="2" w:tplc="68E49240">
      <w:numFmt w:val="bullet"/>
      <w:lvlText w:val="•"/>
      <w:lvlJc w:val="left"/>
      <w:pPr>
        <w:ind w:left="1958" w:hanging="361"/>
      </w:pPr>
      <w:rPr>
        <w:rFonts w:hint="default"/>
        <w:lang w:val="nl-NL" w:eastAsia="en-US" w:bidi="ar-SA"/>
      </w:rPr>
    </w:lvl>
    <w:lvl w:ilvl="3" w:tplc="09CC1D56">
      <w:numFmt w:val="bullet"/>
      <w:lvlText w:val="•"/>
      <w:lvlJc w:val="left"/>
      <w:pPr>
        <w:ind w:left="2577" w:hanging="361"/>
      </w:pPr>
      <w:rPr>
        <w:rFonts w:hint="default"/>
        <w:lang w:val="nl-NL" w:eastAsia="en-US" w:bidi="ar-SA"/>
      </w:rPr>
    </w:lvl>
    <w:lvl w:ilvl="4" w:tplc="C89205FE">
      <w:numFmt w:val="bullet"/>
      <w:lvlText w:val="•"/>
      <w:lvlJc w:val="left"/>
      <w:pPr>
        <w:ind w:left="3196" w:hanging="361"/>
      </w:pPr>
      <w:rPr>
        <w:rFonts w:hint="default"/>
        <w:lang w:val="nl-NL" w:eastAsia="en-US" w:bidi="ar-SA"/>
      </w:rPr>
    </w:lvl>
    <w:lvl w:ilvl="5" w:tplc="3BBADA7A">
      <w:numFmt w:val="bullet"/>
      <w:lvlText w:val="•"/>
      <w:lvlJc w:val="left"/>
      <w:pPr>
        <w:ind w:left="3815" w:hanging="361"/>
      </w:pPr>
      <w:rPr>
        <w:rFonts w:hint="default"/>
        <w:lang w:val="nl-NL" w:eastAsia="en-US" w:bidi="ar-SA"/>
      </w:rPr>
    </w:lvl>
    <w:lvl w:ilvl="6" w:tplc="06D68B1C">
      <w:numFmt w:val="bullet"/>
      <w:lvlText w:val="•"/>
      <w:lvlJc w:val="left"/>
      <w:pPr>
        <w:ind w:left="4434" w:hanging="361"/>
      </w:pPr>
      <w:rPr>
        <w:rFonts w:hint="default"/>
        <w:lang w:val="nl-NL" w:eastAsia="en-US" w:bidi="ar-SA"/>
      </w:rPr>
    </w:lvl>
    <w:lvl w:ilvl="7" w:tplc="22BE5EB8">
      <w:numFmt w:val="bullet"/>
      <w:lvlText w:val="•"/>
      <w:lvlJc w:val="left"/>
      <w:pPr>
        <w:ind w:left="5053" w:hanging="361"/>
      </w:pPr>
      <w:rPr>
        <w:rFonts w:hint="default"/>
        <w:lang w:val="nl-NL" w:eastAsia="en-US" w:bidi="ar-SA"/>
      </w:rPr>
    </w:lvl>
    <w:lvl w:ilvl="8" w:tplc="3E6C1716">
      <w:numFmt w:val="bullet"/>
      <w:lvlText w:val="•"/>
      <w:lvlJc w:val="left"/>
      <w:pPr>
        <w:ind w:left="5672" w:hanging="361"/>
      </w:pPr>
      <w:rPr>
        <w:rFonts w:hint="default"/>
        <w:lang w:val="nl-NL" w:eastAsia="en-US" w:bidi="ar-SA"/>
      </w:rPr>
    </w:lvl>
  </w:abstractNum>
  <w:abstractNum w:abstractNumId="14" w15:restartNumberingAfterBreak="0">
    <w:nsid w:val="7C7C6FEB"/>
    <w:multiLevelType w:val="hybridMultilevel"/>
    <w:tmpl w:val="B9FC8982"/>
    <w:lvl w:ilvl="0" w:tplc="A1466F88">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2BC1530">
      <w:numFmt w:val="bullet"/>
      <w:lvlText w:val="•"/>
      <w:lvlJc w:val="left"/>
      <w:pPr>
        <w:ind w:left="1013" w:hanging="360"/>
      </w:pPr>
      <w:rPr>
        <w:rFonts w:hint="default"/>
        <w:lang w:val="nl-NL" w:eastAsia="en-US" w:bidi="ar-SA"/>
      </w:rPr>
    </w:lvl>
    <w:lvl w:ilvl="2" w:tplc="28CA2738">
      <w:numFmt w:val="bullet"/>
      <w:lvlText w:val="•"/>
      <w:lvlJc w:val="left"/>
      <w:pPr>
        <w:ind w:left="1666" w:hanging="360"/>
      </w:pPr>
      <w:rPr>
        <w:rFonts w:hint="default"/>
        <w:lang w:val="nl-NL" w:eastAsia="en-US" w:bidi="ar-SA"/>
      </w:rPr>
    </w:lvl>
    <w:lvl w:ilvl="3" w:tplc="EDBC01F2">
      <w:numFmt w:val="bullet"/>
      <w:lvlText w:val="•"/>
      <w:lvlJc w:val="left"/>
      <w:pPr>
        <w:ind w:left="2319" w:hanging="360"/>
      </w:pPr>
      <w:rPr>
        <w:rFonts w:hint="default"/>
        <w:lang w:val="nl-NL" w:eastAsia="en-US" w:bidi="ar-SA"/>
      </w:rPr>
    </w:lvl>
    <w:lvl w:ilvl="4" w:tplc="23FCC6EA">
      <w:numFmt w:val="bullet"/>
      <w:lvlText w:val="•"/>
      <w:lvlJc w:val="left"/>
      <w:pPr>
        <w:ind w:left="2973" w:hanging="360"/>
      </w:pPr>
      <w:rPr>
        <w:rFonts w:hint="default"/>
        <w:lang w:val="nl-NL" w:eastAsia="en-US" w:bidi="ar-SA"/>
      </w:rPr>
    </w:lvl>
    <w:lvl w:ilvl="5" w:tplc="B0509072">
      <w:numFmt w:val="bullet"/>
      <w:lvlText w:val="•"/>
      <w:lvlJc w:val="left"/>
      <w:pPr>
        <w:ind w:left="3626" w:hanging="360"/>
      </w:pPr>
      <w:rPr>
        <w:rFonts w:hint="default"/>
        <w:lang w:val="nl-NL" w:eastAsia="en-US" w:bidi="ar-SA"/>
      </w:rPr>
    </w:lvl>
    <w:lvl w:ilvl="6" w:tplc="FD040ACC">
      <w:numFmt w:val="bullet"/>
      <w:lvlText w:val="•"/>
      <w:lvlJc w:val="left"/>
      <w:pPr>
        <w:ind w:left="4279" w:hanging="360"/>
      </w:pPr>
      <w:rPr>
        <w:rFonts w:hint="default"/>
        <w:lang w:val="nl-NL" w:eastAsia="en-US" w:bidi="ar-SA"/>
      </w:rPr>
    </w:lvl>
    <w:lvl w:ilvl="7" w:tplc="84622DDA">
      <w:numFmt w:val="bullet"/>
      <w:lvlText w:val="•"/>
      <w:lvlJc w:val="left"/>
      <w:pPr>
        <w:ind w:left="4933" w:hanging="360"/>
      </w:pPr>
      <w:rPr>
        <w:rFonts w:hint="default"/>
        <w:lang w:val="nl-NL" w:eastAsia="en-US" w:bidi="ar-SA"/>
      </w:rPr>
    </w:lvl>
    <w:lvl w:ilvl="8" w:tplc="9168CBF0">
      <w:numFmt w:val="bullet"/>
      <w:lvlText w:val="•"/>
      <w:lvlJc w:val="left"/>
      <w:pPr>
        <w:ind w:left="5586" w:hanging="360"/>
      </w:pPr>
      <w:rPr>
        <w:rFonts w:hint="default"/>
        <w:lang w:val="nl-NL" w:eastAsia="en-US" w:bidi="ar-SA"/>
      </w:rPr>
    </w:lvl>
  </w:abstractNum>
  <w:num w:numId="1" w16cid:durableId="2136556335">
    <w:abstractNumId w:val="5"/>
  </w:num>
  <w:num w:numId="2" w16cid:durableId="1635599099">
    <w:abstractNumId w:val="12"/>
  </w:num>
  <w:num w:numId="3" w16cid:durableId="1088773125">
    <w:abstractNumId w:val="6"/>
  </w:num>
  <w:num w:numId="4" w16cid:durableId="1176917857">
    <w:abstractNumId w:val="14"/>
  </w:num>
  <w:num w:numId="5" w16cid:durableId="1137188411">
    <w:abstractNumId w:val="7"/>
  </w:num>
  <w:num w:numId="6" w16cid:durableId="1589266180">
    <w:abstractNumId w:val="9"/>
  </w:num>
  <w:num w:numId="7" w16cid:durableId="127164559">
    <w:abstractNumId w:val="13"/>
  </w:num>
  <w:num w:numId="8" w16cid:durableId="2025588558">
    <w:abstractNumId w:val="11"/>
  </w:num>
  <w:num w:numId="9" w16cid:durableId="1275208918">
    <w:abstractNumId w:val="10"/>
  </w:num>
  <w:num w:numId="10" w16cid:durableId="1934822018">
    <w:abstractNumId w:val="8"/>
  </w:num>
  <w:num w:numId="11" w16cid:durableId="386686213">
    <w:abstractNumId w:val="4"/>
  </w:num>
  <w:num w:numId="12" w16cid:durableId="1711493556">
    <w:abstractNumId w:val="2"/>
  </w:num>
  <w:num w:numId="13" w16cid:durableId="1149058480">
    <w:abstractNumId w:val="3"/>
  </w:num>
  <w:num w:numId="14" w16cid:durableId="901715245">
    <w:abstractNumId w:val="0"/>
  </w:num>
  <w:num w:numId="15" w16cid:durableId="274214159">
    <w:abstractNumId w:val="0"/>
  </w:num>
  <w:num w:numId="16" w16cid:durableId="143971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45"/>
    <w:rsid w:val="0001636E"/>
    <w:rsid w:val="000302A3"/>
    <w:rsid w:val="00062616"/>
    <w:rsid w:val="000731E9"/>
    <w:rsid w:val="000742F9"/>
    <w:rsid w:val="00080B29"/>
    <w:rsid w:val="000834E9"/>
    <w:rsid w:val="00084C20"/>
    <w:rsid w:val="00095ED4"/>
    <w:rsid w:val="000A5AD8"/>
    <w:rsid w:val="000A687E"/>
    <w:rsid w:val="000C0DE9"/>
    <w:rsid w:val="000C59D2"/>
    <w:rsid w:val="000E1CAB"/>
    <w:rsid w:val="000F67A7"/>
    <w:rsid w:val="00107889"/>
    <w:rsid w:val="00107D98"/>
    <w:rsid w:val="00111A0C"/>
    <w:rsid w:val="001219C8"/>
    <w:rsid w:val="00122C68"/>
    <w:rsid w:val="001500C3"/>
    <w:rsid w:val="0016208D"/>
    <w:rsid w:val="00191925"/>
    <w:rsid w:val="001974BF"/>
    <w:rsid w:val="001C0863"/>
    <w:rsid w:val="001C2798"/>
    <w:rsid w:val="001D0056"/>
    <w:rsid w:val="001D7F33"/>
    <w:rsid w:val="001F49BB"/>
    <w:rsid w:val="002149F7"/>
    <w:rsid w:val="0023232C"/>
    <w:rsid w:val="00242A7D"/>
    <w:rsid w:val="00245D03"/>
    <w:rsid w:val="0025312E"/>
    <w:rsid w:val="002722AD"/>
    <w:rsid w:val="00275258"/>
    <w:rsid w:val="0028122F"/>
    <w:rsid w:val="00295D37"/>
    <w:rsid w:val="002A0F89"/>
    <w:rsid w:val="002B1EE9"/>
    <w:rsid w:val="002C5779"/>
    <w:rsid w:val="002D727F"/>
    <w:rsid w:val="002E153E"/>
    <w:rsid w:val="002E6E1C"/>
    <w:rsid w:val="002F762E"/>
    <w:rsid w:val="00307FA9"/>
    <w:rsid w:val="0031684C"/>
    <w:rsid w:val="00316C5D"/>
    <w:rsid w:val="00344062"/>
    <w:rsid w:val="003445C6"/>
    <w:rsid w:val="0034527C"/>
    <w:rsid w:val="0035116C"/>
    <w:rsid w:val="00355972"/>
    <w:rsid w:val="00377323"/>
    <w:rsid w:val="003A7803"/>
    <w:rsid w:val="003B0AAF"/>
    <w:rsid w:val="003C0727"/>
    <w:rsid w:val="003F09F8"/>
    <w:rsid w:val="003F0A3E"/>
    <w:rsid w:val="003F5B1E"/>
    <w:rsid w:val="00404A5E"/>
    <w:rsid w:val="004138AD"/>
    <w:rsid w:val="00423015"/>
    <w:rsid w:val="00425275"/>
    <w:rsid w:val="004355AB"/>
    <w:rsid w:val="00436574"/>
    <w:rsid w:val="00436F40"/>
    <w:rsid w:val="00450C7B"/>
    <w:rsid w:val="00462611"/>
    <w:rsid w:val="0048522D"/>
    <w:rsid w:val="004A0DA8"/>
    <w:rsid w:val="004A6704"/>
    <w:rsid w:val="004C06E1"/>
    <w:rsid w:val="004D4450"/>
    <w:rsid w:val="004E0283"/>
    <w:rsid w:val="004F0253"/>
    <w:rsid w:val="004F1216"/>
    <w:rsid w:val="00504D4C"/>
    <w:rsid w:val="0051699F"/>
    <w:rsid w:val="005241F0"/>
    <w:rsid w:val="005306BA"/>
    <w:rsid w:val="005373E6"/>
    <w:rsid w:val="00542426"/>
    <w:rsid w:val="00542E5A"/>
    <w:rsid w:val="0054366E"/>
    <w:rsid w:val="005501F7"/>
    <w:rsid w:val="00553F1E"/>
    <w:rsid w:val="0056721A"/>
    <w:rsid w:val="005924EA"/>
    <w:rsid w:val="005A0D19"/>
    <w:rsid w:val="005B4D50"/>
    <w:rsid w:val="005E464A"/>
    <w:rsid w:val="005F1AB3"/>
    <w:rsid w:val="005F5689"/>
    <w:rsid w:val="0060414E"/>
    <w:rsid w:val="00605701"/>
    <w:rsid w:val="00605D04"/>
    <w:rsid w:val="00614200"/>
    <w:rsid w:val="006156B5"/>
    <w:rsid w:val="00630C61"/>
    <w:rsid w:val="006408E2"/>
    <w:rsid w:val="00642419"/>
    <w:rsid w:val="00647E9C"/>
    <w:rsid w:val="00651573"/>
    <w:rsid w:val="00652ADB"/>
    <w:rsid w:val="00665107"/>
    <w:rsid w:val="00673870"/>
    <w:rsid w:val="006905F6"/>
    <w:rsid w:val="00692DCA"/>
    <w:rsid w:val="00695EAD"/>
    <w:rsid w:val="006B500E"/>
    <w:rsid w:val="006B7C72"/>
    <w:rsid w:val="006D4589"/>
    <w:rsid w:val="006D7F21"/>
    <w:rsid w:val="006F69FD"/>
    <w:rsid w:val="00707EB6"/>
    <w:rsid w:val="00727C0A"/>
    <w:rsid w:val="00743EF7"/>
    <w:rsid w:val="0075090B"/>
    <w:rsid w:val="007569AE"/>
    <w:rsid w:val="0076584C"/>
    <w:rsid w:val="00770B23"/>
    <w:rsid w:val="0077516A"/>
    <w:rsid w:val="007821A9"/>
    <w:rsid w:val="00782A62"/>
    <w:rsid w:val="00795C9B"/>
    <w:rsid w:val="007A0809"/>
    <w:rsid w:val="007A7427"/>
    <w:rsid w:val="007B5DEA"/>
    <w:rsid w:val="007C03E4"/>
    <w:rsid w:val="007D4CD7"/>
    <w:rsid w:val="007D5845"/>
    <w:rsid w:val="007D67E5"/>
    <w:rsid w:val="007D6C56"/>
    <w:rsid w:val="007E43D2"/>
    <w:rsid w:val="007E4B05"/>
    <w:rsid w:val="00830D00"/>
    <w:rsid w:val="0083371A"/>
    <w:rsid w:val="00837281"/>
    <w:rsid w:val="008429BE"/>
    <w:rsid w:val="00844AE8"/>
    <w:rsid w:val="0085424E"/>
    <w:rsid w:val="00875425"/>
    <w:rsid w:val="0088629C"/>
    <w:rsid w:val="00896410"/>
    <w:rsid w:val="0089648F"/>
    <w:rsid w:val="008C2EAF"/>
    <w:rsid w:val="008F2EED"/>
    <w:rsid w:val="008F4ECF"/>
    <w:rsid w:val="00901248"/>
    <w:rsid w:val="009048C7"/>
    <w:rsid w:val="00912BDC"/>
    <w:rsid w:val="009138FC"/>
    <w:rsid w:val="00937AF6"/>
    <w:rsid w:val="0095086F"/>
    <w:rsid w:val="0095095A"/>
    <w:rsid w:val="009711C5"/>
    <w:rsid w:val="00984310"/>
    <w:rsid w:val="00987C64"/>
    <w:rsid w:val="009956BB"/>
    <w:rsid w:val="009A3D72"/>
    <w:rsid w:val="009B1C95"/>
    <w:rsid w:val="009C5541"/>
    <w:rsid w:val="009C6784"/>
    <w:rsid w:val="009D736D"/>
    <w:rsid w:val="009E27C3"/>
    <w:rsid w:val="009E7482"/>
    <w:rsid w:val="009F5A5B"/>
    <w:rsid w:val="00A05958"/>
    <w:rsid w:val="00A1139F"/>
    <w:rsid w:val="00A26CF1"/>
    <w:rsid w:val="00A33C08"/>
    <w:rsid w:val="00A44E47"/>
    <w:rsid w:val="00A65395"/>
    <w:rsid w:val="00A77827"/>
    <w:rsid w:val="00AA5149"/>
    <w:rsid w:val="00AB030B"/>
    <w:rsid w:val="00AC17CC"/>
    <w:rsid w:val="00AD00C7"/>
    <w:rsid w:val="00AD0854"/>
    <w:rsid w:val="00AE6C16"/>
    <w:rsid w:val="00B022E5"/>
    <w:rsid w:val="00B16C8E"/>
    <w:rsid w:val="00B2161F"/>
    <w:rsid w:val="00B23295"/>
    <w:rsid w:val="00B25A06"/>
    <w:rsid w:val="00B559ED"/>
    <w:rsid w:val="00B570E5"/>
    <w:rsid w:val="00B57F49"/>
    <w:rsid w:val="00B602C8"/>
    <w:rsid w:val="00B60F78"/>
    <w:rsid w:val="00B63691"/>
    <w:rsid w:val="00B67567"/>
    <w:rsid w:val="00B719A0"/>
    <w:rsid w:val="00B96979"/>
    <w:rsid w:val="00BA1CDC"/>
    <w:rsid w:val="00BB0C80"/>
    <w:rsid w:val="00BB38DD"/>
    <w:rsid w:val="00BB5D8F"/>
    <w:rsid w:val="00BB7441"/>
    <w:rsid w:val="00BD2B47"/>
    <w:rsid w:val="00BD6A4D"/>
    <w:rsid w:val="00BD7FAF"/>
    <w:rsid w:val="00BF02D0"/>
    <w:rsid w:val="00BF0F50"/>
    <w:rsid w:val="00C0218E"/>
    <w:rsid w:val="00C33014"/>
    <w:rsid w:val="00C40BC6"/>
    <w:rsid w:val="00C41E95"/>
    <w:rsid w:val="00C46B9C"/>
    <w:rsid w:val="00C53D02"/>
    <w:rsid w:val="00C625EA"/>
    <w:rsid w:val="00C6472E"/>
    <w:rsid w:val="00C65176"/>
    <w:rsid w:val="00C85DF4"/>
    <w:rsid w:val="00CB19BE"/>
    <w:rsid w:val="00CE2788"/>
    <w:rsid w:val="00D0120F"/>
    <w:rsid w:val="00D03E15"/>
    <w:rsid w:val="00D2774E"/>
    <w:rsid w:val="00D31BF2"/>
    <w:rsid w:val="00D44408"/>
    <w:rsid w:val="00D46395"/>
    <w:rsid w:val="00D55F9F"/>
    <w:rsid w:val="00DA16FA"/>
    <w:rsid w:val="00DC4BD0"/>
    <w:rsid w:val="00DC6067"/>
    <w:rsid w:val="00DC78FD"/>
    <w:rsid w:val="00DC7FBD"/>
    <w:rsid w:val="00DE27BC"/>
    <w:rsid w:val="00DF1AD0"/>
    <w:rsid w:val="00DF4385"/>
    <w:rsid w:val="00DF7766"/>
    <w:rsid w:val="00E038C2"/>
    <w:rsid w:val="00E03A73"/>
    <w:rsid w:val="00E151F7"/>
    <w:rsid w:val="00E1561F"/>
    <w:rsid w:val="00E16AA4"/>
    <w:rsid w:val="00E20851"/>
    <w:rsid w:val="00E71F17"/>
    <w:rsid w:val="00E75054"/>
    <w:rsid w:val="00E76E58"/>
    <w:rsid w:val="00E948DC"/>
    <w:rsid w:val="00EA1C29"/>
    <w:rsid w:val="00EC1FD8"/>
    <w:rsid w:val="00EC6B6B"/>
    <w:rsid w:val="00ED03A1"/>
    <w:rsid w:val="00EE5CCF"/>
    <w:rsid w:val="00F05895"/>
    <w:rsid w:val="00F16AF5"/>
    <w:rsid w:val="00F202C0"/>
    <w:rsid w:val="00F20BAF"/>
    <w:rsid w:val="00F22B2C"/>
    <w:rsid w:val="00F337CF"/>
    <w:rsid w:val="00F40B67"/>
    <w:rsid w:val="00F444F0"/>
    <w:rsid w:val="00F51296"/>
    <w:rsid w:val="00F81B61"/>
    <w:rsid w:val="00F86795"/>
    <w:rsid w:val="00FA1970"/>
    <w:rsid w:val="00FB30AE"/>
    <w:rsid w:val="00FC48D9"/>
    <w:rsid w:val="00FC6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6600"/>
  <w15:docId w15:val="{B03F73A2-E559-420B-A98B-E565CDC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19BE"/>
    <w:rPr>
      <w:sz w:val="16"/>
      <w:szCs w:val="16"/>
    </w:rPr>
  </w:style>
  <w:style w:type="paragraph" w:styleId="CommentText">
    <w:name w:val="annotation text"/>
    <w:basedOn w:val="Normal"/>
    <w:link w:val="CommentTextChar"/>
    <w:uiPriority w:val="99"/>
    <w:unhideWhenUsed/>
    <w:rsid w:val="00CB19BE"/>
    <w:rPr>
      <w:sz w:val="20"/>
      <w:szCs w:val="20"/>
    </w:rPr>
  </w:style>
  <w:style w:type="character" w:customStyle="1" w:styleId="CommentTextChar">
    <w:name w:val="Comment Text Char"/>
    <w:basedOn w:val="DefaultParagraphFont"/>
    <w:link w:val="CommentText"/>
    <w:uiPriority w:val="99"/>
    <w:rsid w:val="00CB19BE"/>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CB19BE"/>
    <w:rPr>
      <w:b/>
      <w:bCs/>
    </w:rPr>
  </w:style>
  <w:style w:type="character" w:customStyle="1" w:styleId="CommentSubjectChar">
    <w:name w:val="Comment Subject Char"/>
    <w:basedOn w:val="CommentTextChar"/>
    <w:link w:val="CommentSubject"/>
    <w:uiPriority w:val="99"/>
    <w:semiHidden/>
    <w:rsid w:val="00CB19BE"/>
    <w:rPr>
      <w:rFonts w:ascii="Calibri" w:eastAsia="Calibri" w:hAnsi="Calibri" w:cs="Calibri"/>
      <w:b/>
      <w:bCs/>
      <w:sz w:val="20"/>
      <w:szCs w:val="20"/>
      <w:lang w:val="nl-NL"/>
    </w:rPr>
  </w:style>
  <w:style w:type="paragraph" w:customStyle="1" w:styleId="Default">
    <w:name w:val="Default"/>
    <w:rsid w:val="00B96979"/>
    <w:pPr>
      <w:widowControl/>
      <w:adjustRightInd w:val="0"/>
    </w:pPr>
    <w:rPr>
      <w:rFonts w:ascii="Calibri" w:hAnsi="Calibri" w:cs="Calibri"/>
      <w:color w:val="000000"/>
      <w:sz w:val="24"/>
      <w:szCs w:val="24"/>
      <w:lang w:val="nl-NL"/>
    </w:rPr>
  </w:style>
  <w:style w:type="paragraph" w:styleId="Revision">
    <w:name w:val="Revision"/>
    <w:hidden/>
    <w:uiPriority w:val="99"/>
    <w:semiHidden/>
    <w:rsid w:val="0048522D"/>
    <w:pPr>
      <w:widowControl/>
      <w:autoSpaceDE/>
      <w:autoSpaceDN/>
    </w:pPr>
    <w:rPr>
      <w:rFonts w:ascii="Calibri" w:eastAsia="Calibri" w:hAnsi="Calibri" w:cs="Calibri"/>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3445C6"/>
    <w:rPr>
      <w:rFonts w:ascii="Calibri" w:eastAsia="Calibri" w:hAnsi="Calibri" w:cs="Calibri"/>
      <w:lang w:val="nl-NL"/>
    </w:rPr>
  </w:style>
  <w:style w:type="character" w:styleId="Hyperlink">
    <w:name w:val="Hyperlink"/>
    <w:basedOn w:val="DefaultParagraphFont"/>
    <w:uiPriority w:val="99"/>
    <w:unhideWhenUsed/>
    <w:rsid w:val="00BF02D0"/>
    <w:rPr>
      <w:color w:val="0000FF"/>
      <w:u w:val="single"/>
    </w:rPr>
  </w:style>
  <w:style w:type="paragraph" w:styleId="FootnoteText">
    <w:name w:val="footnote text"/>
    <w:basedOn w:val="Normal"/>
    <w:link w:val="FootnoteTextChar"/>
    <w:uiPriority w:val="99"/>
    <w:unhideWhenUsed/>
    <w:rsid w:val="00BF02D0"/>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BF02D0"/>
    <w:rPr>
      <w:kern w:val="2"/>
      <w:sz w:val="20"/>
      <w:szCs w:val="20"/>
      <w:lang w:val="nl-NL"/>
      <w14:ligatures w14:val="standardContextual"/>
    </w:rPr>
  </w:style>
  <w:style w:type="character" w:styleId="FootnoteReference">
    <w:name w:val="footnote reference"/>
    <w:basedOn w:val="DefaultParagraphFont"/>
    <w:uiPriority w:val="99"/>
    <w:semiHidden/>
    <w:unhideWhenUsed/>
    <w:rsid w:val="00BF02D0"/>
    <w:rPr>
      <w:vertAlign w:val="superscript"/>
    </w:rPr>
  </w:style>
  <w:style w:type="character" w:customStyle="1" w:styleId="cf01">
    <w:name w:val="cf01"/>
    <w:basedOn w:val="DefaultParagraphFont"/>
    <w:rsid w:val="00BF02D0"/>
    <w:rPr>
      <w:rFonts w:ascii="Segoe UI" w:hAnsi="Segoe UI" w:cs="Segoe UI" w:hint="default"/>
      <w:sz w:val="18"/>
      <w:szCs w:val="18"/>
    </w:rPr>
  </w:style>
  <w:style w:type="paragraph" w:styleId="Header">
    <w:name w:val="header"/>
    <w:basedOn w:val="Normal"/>
    <w:link w:val="HeaderChar"/>
    <w:uiPriority w:val="99"/>
    <w:semiHidden/>
    <w:unhideWhenUsed/>
    <w:rsid w:val="00107D98"/>
    <w:pPr>
      <w:tabs>
        <w:tab w:val="center" w:pos="4680"/>
        <w:tab w:val="right" w:pos="9360"/>
      </w:tabs>
    </w:pPr>
  </w:style>
  <w:style w:type="character" w:customStyle="1" w:styleId="HeaderChar">
    <w:name w:val="Header Char"/>
    <w:basedOn w:val="DefaultParagraphFont"/>
    <w:link w:val="Header"/>
    <w:uiPriority w:val="99"/>
    <w:semiHidden/>
    <w:rsid w:val="00107D98"/>
    <w:rPr>
      <w:rFonts w:ascii="Calibri" w:eastAsia="Calibri" w:hAnsi="Calibri" w:cs="Calibri"/>
      <w:lang w:val="nl-NL"/>
    </w:rPr>
  </w:style>
  <w:style w:type="paragraph" w:styleId="Footer">
    <w:name w:val="footer"/>
    <w:basedOn w:val="Normal"/>
    <w:link w:val="FooterChar"/>
    <w:uiPriority w:val="99"/>
    <w:semiHidden/>
    <w:unhideWhenUsed/>
    <w:rsid w:val="00107D98"/>
    <w:pPr>
      <w:tabs>
        <w:tab w:val="center" w:pos="4680"/>
        <w:tab w:val="right" w:pos="9360"/>
      </w:tabs>
    </w:pPr>
  </w:style>
  <w:style w:type="character" w:customStyle="1" w:styleId="FooterChar">
    <w:name w:val="Footer Char"/>
    <w:basedOn w:val="DefaultParagraphFont"/>
    <w:link w:val="Footer"/>
    <w:uiPriority w:val="99"/>
    <w:semiHidden/>
    <w:rsid w:val="00107D98"/>
    <w:rPr>
      <w:rFonts w:ascii="Calibri" w:eastAsia="Calibri" w:hAnsi="Calibri" w:cs="Calibri"/>
      <w:lang w:val="nl-NL"/>
    </w:rPr>
  </w:style>
  <w:style w:type="character" w:styleId="FollowedHyperlink">
    <w:name w:val="FollowedHyperlink"/>
    <w:basedOn w:val="DefaultParagraphFont"/>
    <w:uiPriority w:val="99"/>
    <w:semiHidden/>
    <w:unhideWhenUsed/>
    <w:rsid w:val="003F0A3E"/>
    <w:rPr>
      <w:color w:val="800080" w:themeColor="followedHyperlink"/>
      <w:u w:val="single"/>
    </w:rPr>
  </w:style>
  <w:style w:type="character" w:styleId="UnresolvedMention">
    <w:name w:val="Unresolved Mention"/>
    <w:basedOn w:val="DefaultParagraphFont"/>
    <w:uiPriority w:val="99"/>
    <w:semiHidden/>
    <w:unhideWhenUsed/>
    <w:rsid w:val="00BD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7953">
      <w:bodyDiv w:val="1"/>
      <w:marLeft w:val="0"/>
      <w:marRight w:val="0"/>
      <w:marTop w:val="0"/>
      <w:marBottom w:val="0"/>
      <w:divBdr>
        <w:top w:val="none" w:sz="0" w:space="0" w:color="auto"/>
        <w:left w:val="none" w:sz="0" w:space="0" w:color="auto"/>
        <w:bottom w:val="none" w:sz="0" w:space="0" w:color="auto"/>
        <w:right w:val="none" w:sz="0" w:space="0" w:color="auto"/>
      </w:divBdr>
    </w:div>
    <w:div w:id="371348314">
      <w:bodyDiv w:val="1"/>
      <w:marLeft w:val="0"/>
      <w:marRight w:val="0"/>
      <w:marTop w:val="0"/>
      <w:marBottom w:val="0"/>
      <w:divBdr>
        <w:top w:val="none" w:sz="0" w:space="0" w:color="auto"/>
        <w:left w:val="none" w:sz="0" w:space="0" w:color="auto"/>
        <w:bottom w:val="none" w:sz="0" w:space="0" w:color="auto"/>
        <w:right w:val="none" w:sz="0" w:space="0" w:color="auto"/>
      </w:divBdr>
    </w:div>
    <w:div w:id="444229910">
      <w:bodyDiv w:val="1"/>
      <w:marLeft w:val="0"/>
      <w:marRight w:val="0"/>
      <w:marTop w:val="0"/>
      <w:marBottom w:val="0"/>
      <w:divBdr>
        <w:top w:val="none" w:sz="0" w:space="0" w:color="auto"/>
        <w:left w:val="none" w:sz="0" w:space="0" w:color="auto"/>
        <w:bottom w:val="none" w:sz="0" w:space="0" w:color="auto"/>
        <w:right w:val="none" w:sz="0" w:space="0" w:color="auto"/>
      </w:divBdr>
    </w:div>
    <w:div w:id="533884212">
      <w:bodyDiv w:val="1"/>
      <w:marLeft w:val="0"/>
      <w:marRight w:val="0"/>
      <w:marTop w:val="0"/>
      <w:marBottom w:val="0"/>
      <w:divBdr>
        <w:top w:val="none" w:sz="0" w:space="0" w:color="auto"/>
        <w:left w:val="none" w:sz="0" w:space="0" w:color="auto"/>
        <w:bottom w:val="none" w:sz="0" w:space="0" w:color="auto"/>
        <w:right w:val="none" w:sz="0" w:space="0" w:color="auto"/>
      </w:divBdr>
    </w:div>
    <w:div w:id="671106562">
      <w:bodyDiv w:val="1"/>
      <w:marLeft w:val="0"/>
      <w:marRight w:val="0"/>
      <w:marTop w:val="0"/>
      <w:marBottom w:val="0"/>
      <w:divBdr>
        <w:top w:val="none" w:sz="0" w:space="0" w:color="auto"/>
        <w:left w:val="none" w:sz="0" w:space="0" w:color="auto"/>
        <w:bottom w:val="none" w:sz="0" w:space="0" w:color="auto"/>
        <w:right w:val="none" w:sz="0" w:space="0" w:color="auto"/>
      </w:divBdr>
    </w:div>
    <w:div w:id="791168956">
      <w:bodyDiv w:val="1"/>
      <w:marLeft w:val="0"/>
      <w:marRight w:val="0"/>
      <w:marTop w:val="0"/>
      <w:marBottom w:val="0"/>
      <w:divBdr>
        <w:top w:val="none" w:sz="0" w:space="0" w:color="auto"/>
        <w:left w:val="none" w:sz="0" w:space="0" w:color="auto"/>
        <w:bottom w:val="none" w:sz="0" w:space="0" w:color="auto"/>
        <w:right w:val="none" w:sz="0" w:space="0" w:color="auto"/>
      </w:divBdr>
    </w:div>
    <w:div w:id="869683115">
      <w:bodyDiv w:val="1"/>
      <w:marLeft w:val="0"/>
      <w:marRight w:val="0"/>
      <w:marTop w:val="0"/>
      <w:marBottom w:val="0"/>
      <w:divBdr>
        <w:top w:val="none" w:sz="0" w:space="0" w:color="auto"/>
        <w:left w:val="none" w:sz="0" w:space="0" w:color="auto"/>
        <w:bottom w:val="none" w:sz="0" w:space="0" w:color="auto"/>
        <w:right w:val="none" w:sz="0" w:space="0" w:color="auto"/>
      </w:divBdr>
    </w:div>
    <w:div w:id="1245651089">
      <w:bodyDiv w:val="1"/>
      <w:marLeft w:val="0"/>
      <w:marRight w:val="0"/>
      <w:marTop w:val="0"/>
      <w:marBottom w:val="0"/>
      <w:divBdr>
        <w:top w:val="none" w:sz="0" w:space="0" w:color="auto"/>
        <w:left w:val="none" w:sz="0" w:space="0" w:color="auto"/>
        <w:bottom w:val="none" w:sz="0" w:space="0" w:color="auto"/>
        <w:right w:val="none" w:sz="0" w:space="0" w:color="auto"/>
      </w:divBdr>
    </w:div>
    <w:div w:id="1569995616">
      <w:bodyDiv w:val="1"/>
      <w:marLeft w:val="0"/>
      <w:marRight w:val="0"/>
      <w:marTop w:val="0"/>
      <w:marBottom w:val="0"/>
      <w:divBdr>
        <w:top w:val="none" w:sz="0" w:space="0" w:color="auto"/>
        <w:left w:val="none" w:sz="0" w:space="0" w:color="auto"/>
        <w:bottom w:val="none" w:sz="0" w:space="0" w:color="auto"/>
        <w:right w:val="none" w:sz="0" w:space="0" w:color="auto"/>
      </w:divBdr>
    </w:div>
    <w:div w:id="1682660919">
      <w:bodyDiv w:val="1"/>
      <w:marLeft w:val="0"/>
      <w:marRight w:val="0"/>
      <w:marTop w:val="0"/>
      <w:marBottom w:val="0"/>
      <w:divBdr>
        <w:top w:val="none" w:sz="0" w:space="0" w:color="auto"/>
        <w:left w:val="none" w:sz="0" w:space="0" w:color="auto"/>
        <w:bottom w:val="none" w:sz="0" w:space="0" w:color="auto"/>
        <w:right w:val="none" w:sz="0" w:space="0" w:color="auto"/>
      </w:divBdr>
    </w:div>
    <w:div w:id="1726486367">
      <w:bodyDiv w:val="1"/>
      <w:marLeft w:val="0"/>
      <w:marRight w:val="0"/>
      <w:marTop w:val="0"/>
      <w:marBottom w:val="0"/>
      <w:divBdr>
        <w:top w:val="none" w:sz="0" w:space="0" w:color="auto"/>
        <w:left w:val="none" w:sz="0" w:space="0" w:color="auto"/>
        <w:bottom w:val="none" w:sz="0" w:space="0" w:color="auto"/>
        <w:right w:val="none" w:sz="0" w:space="0" w:color="auto"/>
      </w:divBdr>
    </w:div>
    <w:div w:id="1922253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ob-evaluatie.nl/publicaties/rapporten/2021/12/15/partners-in-ontwikkeling" TargetMode="External"/><Relationship Id="rId2" Type="http://schemas.openxmlformats.org/officeDocument/2006/relationships/hyperlink" Target="https://www.iob-evaluatie.nl/resultaten/beleidscoherentie-voor-voedselzekerheid-water-klimaat" TargetMode="External"/><Relationship Id="rId1" Type="http://schemas.openxmlformats.org/officeDocument/2006/relationships/hyperlink" Target="https://www.iob-evaluatie.nl/publicaties/rapporten/2021/12/15/partners-in-ontwikkeling" TargetMode="External"/><Relationship Id="rId6" Type="http://schemas.openxmlformats.org/officeDocument/2006/relationships/hyperlink" Target="https://www.iob-evaluatie.nl/publicaties/rapporten/2021/12/15/partners-in-ontwikkeling" TargetMode="External"/><Relationship Id="rId5" Type="http://schemas.openxmlformats.org/officeDocument/2006/relationships/hyperlink" Target="https://www.iob-evaluatie.nl/publicaties/rapporten/2022/02/01/beleidsdoorlichting-bhos-art.-1" TargetMode="External"/><Relationship Id="rId4" Type="http://schemas.openxmlformats.org/officeDocument/2006/relationships/hyperlink" Target="https://www.iob-evaluatie.nl/publicaties/rapporten/2022/02/01/beleidsdoorlichting-bhos-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1510</ap:Words>
  <ap:Characters>8311</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Definitieve intensiveringsvoorstellen 2023 e.v. cfm C.W. 3.1 (DMM-DDE-DSO-IGG-DSH-BIS)</vt:lpstr>
    </vt:vector>
  </ap:TitlesOfParts>
  <ap:LinksUpToDate>false</ap:LinksUpToDate>
  <ap:CharactersWithSpaces>9802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dcterms:created xsi:type="dcterms:W3CDTF">2025-03-12T11:54:00.0000000Z</dcterms:created>
  <dcterms:modified xsi:type="dcterms:W3CDTF">2025-03-12T11:54:00.0000000Z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lassification">
    <vt:lpwstr>4;#UNCLASSIFIED|d92c6340-bc14-4cb2-a9a6-6deda93c493b;#6;#NO MARKING|879e64ec-6597-483b-94db-f5f70afd7299</vt:lpwstr>
  </property>
  <property fmtid="{D5CDD505-2E9C-101B-9397-08002B2CF9AE}" pid="3" name="BZ_Country">
    <vt:lpwstr>2;#Not applicable|ec01d90b-9d0f-4785-8785-e1ea615196bf</vt:lpwstr>
  </property>
  <property fmtid="{D5CDD505-2E9C-101B-9397-08002B2CF9AE}" pid="4" name="BZ_Forum">
    <vt:lpwstr>3;#Not applicable|0049e722-bfb1-4a3f-9d08-af7366a9af40</vt:lpwstr>
  </property>
  <property fmtid="{D5CDD505-2E9C-101B-9397-08002B2CF9AE}" pid="5" name="BZ_Theme">
    <vt:lpwstr>1;#Budget and accountability|72935488-e8d7-4765-95c3-88216b1ea696</vt:lpwstr>
  </property>
  <property fmtid="{D5CDD505-2E9C-101B-9397-08002B2CF9AE}" pid="6" name="ContentTypeId">
    <vt:lpwstr>0x0101009C7CE436063D44E9BE7DC0259EF7C32F006EB9F9836A634AE58B6169785FD3936F003FD5B2F9E986EC4490E3A24B9BD4DE1C</vt:lpwstr>
  </property>
  <property fmtid="{D5CDD505-2E9C-101B-9397-08002B2CF9AE}" pid="7" name="Created">
    <vt:filetime>2022-09-20T00:00:00Z</vt:filetime>
  </property>
  <property fmtid="{D5CDD505-2E9C-101B-9397-08002B2CF9AE}" pid="8" name="Creator">
    <vt:lpwstr>Aspose Ltd.</vt:lpwstr>
  </property>
  <property fmtid="{D5CDD505-2E9C-101B-9397-08002B2CF9AE}" pid="9" name="DepartementDirectie">
    <vt:lpwstr>2;#FEZ|373dcec0-742b-4b0b-82fd-da9f3dd3c25f</vt:lpwstr>
  </property>
  <property fmtid="{D5CDD505-2E9C-101B-9397-08002B2CF9AE}" pid="10" name="LastSaved">
    <vt:filetime>2025-01-20T00:00:00Z</vt:filetime>
  </property>
  <property fmtid="{D5CDD505-2E9C-101B-9397-08002B2CF9AE}" pid="11" name="MSIP_Label_f5339f15-c483-4670-87f9-f365ba551dce_ActionId">
    <vt:lpwstr>571c4808-44bc-49d0-b581-4eaa6501126e</vt:lpwstr>
  </property>
  <property fmtid="{D5CDD505-2E9C-101B-9397-08002B2CF9AE}" pid="12" name="MSIP_Label_f5339f15-c483-4670-87f9-f365ba551dce_ContentBits">
    <vt:lpwstr>0</vt:lpwstr>
  </property>
  <property fmtid="{D5CDD505-2E9C-101B-9397-08002B2CF9AE}" pid="13" name="MSIP_Label_f5339f15-c483-4670-87f9-f365ba551dce_Enabled">
    <vt:lpwstr>true</vt:lpwstr>
  </property>
  <property fmtid="{D5CDD505-2E9C-101B-9397-08002B2CF9AE}" pid="14" name="MSIP_Label_f5339f15-c483-4670-87f9-f365ba551dce_Method">
    <vt:lpwstr>Standard</vt:lpwstr>
  </property>
  <property fmtid="{D5CDD505-2E9C-101B-9397-08002B2CF9AE}" pid="15" name="MSIP_Label_f5339f15-c483-4670-87f9-f365ba551dce_Name">
    <vt:lpwstr>FIN-IRF-Dep. V.</vt:lpwstr>
  </property>
  <property fmtid="{D5CDD505-2E9C-101B-9397-08002B2CF9AE}" pid="16" name="MSIP_Label_f5339f15-c483-4670-87f9-f365ba551dce_SetDate">
    <vt:lpwstr>2022-03-09T15:04:38Z</vt:lpwstr>
  </property>
  <property fmtid="{D5CDD505-2E9C-101B-9397-08002B2CF9AE}" pid="17" name="MSIP_Label_f5339f15-c483-4670-87f9-f365ba551dce_SiteId">
    <vt:lpwstr>84712536-f524-40a0-913b-5d25ba502732</vt:lpwstr>
  </property>
  <property fmtid="{D5CDD505-2E9C-101B-9397-08002B2CF9AE}" pid="18" name="Producer">
    <vt:lpwstr>Aspose.Pdf for .NET 17.9</vt:lpwstr>
  </property>
  <property fmtid="{D5CDD505-2E9C-101B-9397-08002B2CF9AE}" pid="19" name="SourceModified">
    <vt:lpwstr>D:20220920154500</vt:lpwstr>
  </property>
  <property fmtid="{D5CDD505-2E9C-101B-9397-08002B2CF9AE}" pid="20" name="TaxCatchAll">
    <vt:lpwstr>2;#FEZ|373dcec0-742b-4b0b-82fd-da9f3dd3c25f</vt:lpwstr>
  </property>
  <property fmtid="{D5CDD505-2E9C-101B-9397-08002B2CF9AE}" pid="21" name="_dlc_DocIdItemGuid">
    <vt:lpwstr>5f3ca16e-f653-4064-bbb0-0b605b3d1282</vt:lpwstr>
  </property>
  <property fmtid="{D5CDD505-2E9C-101B-9397-08002B2CF9AE}" pid="22" name="_docset_NoMedatataSyncRequired">
    <vt:lpwstr>False</vt:lpwstr>
  </property>
  <property fmtid="{D5CDD505-2E9C-101B-9397-08002B2CF9AE}" pid="23" name="n7e1752c52f54c38a7d7dd6f35c9ddb2">
    <vt:lpwstr>FEZ|373dcec0-742b-4b0b-82fd-da9f3dd3c25f</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BZCountryState">
    <vt:lpwstr>3;#Not applicable|ec01d90b-9d0f-4785-8785-e1ea615196bf</vt:lpwstr>
  </property>
  <property fmtid="{D5CDD505-2E9C-101B-9397-08002B2CF9AE}" pid="27" name="BZMarking">
    <vt:lpwstr>5;#NO MARKING|0a4eb9ae-69eb-4d9e-b573-43ab99ef8592</vt:lpwstr>
  </property>
  <property fmtid="{D5CDD505-2E9C-101B-9397-08002B2CF9AE}" pid="28" name="BZClassification">
    <vt:lpwstr>4;#UNCLASSIFIED (U)|284e6a62-15ab-4017-be27-a1e965f4e940</vt:lpwstr>
  </property>
</Properties>
</file>