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Layout w:type="fixed"/>
        <w:tblCellMar>
          <w:left w:w="0" w:type="dxa"/>
          <w:right w:w="0" w:type="dxa"/>
        </w:tblCellMar>
        <w:tblLook w:val="01E0" w:firstRow="1" w:lastRow="1" w:firstColumn="1" w:lastColumn="1" w:noHBand="0" w:noVBand="0"/>
      </w:tblPr>
      <w:tblGrid>
        <w:gridCol w:w="2143"/>
        <w:gridCol w:w="1276"/>
        <w:gridCol w:w="1587"/>
        <w:gridCol w:w="631"/>
        <w:gridCol w:w="631"/>
        <w:gridCol w:w="633"/>
        <w:gridCol w:w="631"/>
        <w:gridCol w:w="565"/>
        <w:gridCol w:w="699"/>
        <w:gridCol w:w="17"/>
      </w:tblGrid>
      <w:tr w:rsidR="007D5845" w:rsidTr="00B96979" w14:paraId="14339859" w14:textId="77777777">
        <w:trPr>
          <w:trHeight w:val="506"/>
        </w:trPr>
        <w:tc>
          <w:tcPr>
            <w:tcW w:w="8813" w:type="dxa"/>
            <w:gridSpan w:val="10"/>
            <w:shd w:val="clear" w:color="auto" w:fill="39860B"/>
          </w:tcPr>
          <w:p w:rsidRPr="008C409C" w:rsidR="007D5845" w:rsidRDefault="00F51296" w14:paraId="5D670147" w14:textId="1450CCF9">
            <w:pPr>
              <w:pStyle w:val="TableParagraph"/>
              <w:spacing w:before="56"/>
              <w:rPr>
                <w:b/>
                <w:color w:val="FFFFFF"/>
                <w:sz w:val="16"/>
              </w:rPr>
            </w:pPr>
            <w:r>
              <w:rPr>
                <w:b/>
                <w:color w:val="FFFFFF"/>
                <w:sz w:val="16"/>
              </w:rPr>
              <w:t>Bestedingsvoorstel</w:t>
            </w:r>
            <w:r w:rsidR="005A2DD4">
              <w:rPr>
                <w:b/>
                <w:color w:val="FFFFFF"/>
                <w:spacing w:val="-8"/>
                <w:sz w:val="16"/>
              </w:rPr>
              <w:t>:</w:t>
            </w:r>
            <w:r w:rsidR="00C96D17">
              <w:rPr>
                <w:b/>
                <w:color w:val="FFFFFF"/>
                <w:spacing w:val="-8"/>
                <w:sz w:val="16"/>
              </w:rPr>
              <w:t xml:space="preserve"> V</w:t>
            </w:r>
            <w:r w:rsidRPr="008C409C" w:rsidR="00C96D17">
              <w:rPr>
                <w:b/>
                <w:color w:val="FFFFFF"/>
                <w:sz w:val="16"/>
              </w:rPr>
              <w:t xml:space="preserve">eiligheid </w:t>
            </w:r>
            <w:r w:rsidRPr="008C409C" w:rsidR="002A4D8E">
              <w:rPr>
                <w:b/>
                <w:color w:val="FFFFFF"/>
                <w:sz w:val="16"/>
              </w:rPr>
              <w:t xml:space="preserve">en </w:t>
            </w:r>
            <w:r w:rsidR="0083415F">
              <w:rPr>
                <w:b/>
                <w:color w:val="FFFFFF"/>
                <w:sz w:val="16"/>
              </w:rPr>
              <w:t>stabiliteit</w:t>
            </w:r>
            <w:r w:rsidRPr="008C409C" w:rsidR="002A4D8E">
              <w:rPr>
                <w:b/>
                <w:color w:val="FFFFFF"/>
                <w:sz w:val="16"/>
              </w:rPr>
              <w:t xml:space="preserve"> (</w:t>
            </w:r>
            <w:proofErr w:type="spellStart"/>
            <w:r w:rsidRPr="008C409C" w:rsidR="002A4D8E">
              <w:rPr>
                <w:b/>
                <w:color w:val="FFFFFF"/>
                <w:sz w:val="16"/>
              </w:rPr>
              <w:t>subartikel</w:t>
            </w:r>
            <w:proofErr w:type="spellEnd"/>
            <w:r w:rsidRPr="008C409C" w:rsidR="002A4D8E">
              <w:rPr>
                <w:b/>
                <w:color w:val="FFFFFF"/>
                <w:sz w:val="16"/>
              </w:rPr>
              <w:t xml:space="preserve"> 4.3)</w:t>
            </w:r>
          </w:p>
          <w:p w:rsidR="007D5845" w:rsidRDefault="00F51296" w14:paraId="53A8F7B4" w14:textId="77777777">
            <w:pPr>
              <w:pStyle w:val="TableParagraph"/>
              <w:spacing w:before="14"/>
              <w:rPr>
                <w:b/>
                <w:sz w:val="16"/>
              </w:rPr>
            </w:pPr>
            <w:r>
              <w:rPr>
                <w:b/>
                <w:color w:val="FFFFFF"/>
                <w:sz w:val="16"/>
              </w:rPr>
              <w:t>Onderbouwing</w:t>
            </w:r>
            <w:r>
              <w:rPr>
                <w:b/>
                <w:color w:val="FFFFFF"/>
                <w:spacing w:val="-9"/>
                <w:sz w:val="16"/>
              </w:rPr>
              <w:t xml:space="preserve"> </w:t>
            </w:r>
            <w:r>
              <w:rPr>
                <w:b/>
                <w:color w:val="FFFFFF"/>
                <w:sz w:val="16"/>
              </w:rPr>
              <w:t>doeltreffendheid,</w:t>
            </w:r>
            <w:r>
              <w:rPr>
                <w:b/>
                <w:color w:val="FFFFFF"/>
                <w:spacing w:val="-8"/>
                <w:sz w:val="16"/>
              </w:rPr>
              <w:t xml:space="preserve"> </w:t>
            </w:r>
            <w:r>
              <w:rPr>
                <w:b/>
                <w:color w:val="FFFFFF"/>
                <w:sz w:val="16"/>
              </w:rPr>
              <w:t>doelmatigheid</w:t>
            </w:r>
            <w:r>
              <w:rPr>
                <w:b/>
                <w:color w:val="FFFFFF"/>
                <w:spacing w:val="-9"/>
                <w:sz w:val="16"/>
              </w:rPr>
              <w:t xml:space="preserve"> </w:t>
            </w:r>
            <w:r>
              <w:rPr>
                <w:b/>
                <w:color w:val="FFFFFF"/>
                <w:sz w:val="16"/>
              </w:rPr>
              <w:t>en</w:t>
            </w:r>
            <w:r>
              <w:rPr>
                <w:b/>
                <w:color w:val="FFFFFF"/>
                <w:spacing w:val="-8"/>
                <w:sz w:val="16"/>
              </w:rPr>
              <w:t xml:space="preserve"> </w:t>
            </w:r>
            <w:r>
              <w:rPr>
                <w:b/>
                <w:color w:val="FFFFFF"/>
                <w:sz w:val="16"/>
              </w:rPr>
              <w:t>evaluatie</w:t>
            </w:r>
            <w:r>
              <w:rPr>
                <w:b/>
                <w:color w:val="FFFFFF"/>
                <w:spacing w:val="-7"/>
                <w:sz w:val="16"/>
              </w:rPr>
              <w:t xml:space="preserve"> </w:t>
            </w:r>
            <w:r>
              <w:rPr>
                <w:b/>
                <w:color w:val="FFFFFF"/>
                <w:sz w:val="16"/>
              </w:rPr>
              <w:t>(CW</w:t>
            </w:r>
            <w:r>
              <w:rPr>
                <w:b/>
                <w:color w:val="FFFFFF"/>
                <w:spacing w:val="-7"/>
                <w:sz w:val="16"/>
              </w:rPr>
              <w:t xml:space="preserve"> </w:t>
            </w:r>
            <w:r>
              <w:rPr>
                <w:b/>
                <w:color w:val="FFFFFF"/>
                <w:spacing w:val="-4"/>
                <w:sz w:val="16"/>
              </w:rPr>
              <w:t>3.1)</w:t>
            </w:r>
          </w:p>
        </w:tc>
      </w:tr>
      <w:tr w:rsidR="007D5845" w:rsidTr="00385953" w14:paraId="6C96537F" w14:textId="77777777">
        <w:trPr>
          <w:trHeight w:val="1488"/>
        </w:trPr>
        <w:tc>
          <w:tcPr>
            <w:tcW w:w="2143" w:type="dxa"/>
            <w:tcBorders>
              <w:bottom w:val="single" w:color="017AC6" w:sz="8" w:space="0"/>
            </w:tcBorders>
            <w:shd w:val="clear" w:color="auto" w:fill="D5EEF8"/>
          </w:tcPr>
          <w:p w:rsidR="007D5845" w:rsidRDefault="00F51296" w14:paraId="1A684DA6" w14:textId="77777777">
            <w:pPr>
              <w:pStyle w:val="TableParagraph"/>
              <w:spacing w:before="56"/>
              <w:ind w:left="88"/>
              <w:rPr>
                <w:b/>
                <w:sz w:val="16"/>
              </w:rPr>
            </w:pPr>
            <w:r>
              <w:rPr>
                <w:b/>
                <w:sz w:val="16"/>
              </w:rPr>
              <w:t>1.</w:t>
            </w:r>
            <w:r>
              <w:rPr>
                <w:b/>
                <w:spacing w:val="-2"/>
                <w:sz w:val="16"/>
              </w:rPr>
              <w:t xml:space="preserve"> Doel(en)</w:t>
            </w:r>
          </w:p>
        </w:tc>
        <w:tc>
          <w:tcPr>
            <w:tcW w:w="6670" w:type="dxa"/>
            <w:gridSpan w:val="9"/>
            <w:tcBorders>
              <w:bottom w:val="single" w:color="017AC6" w:sz="8" w:space="0"/>
            </w:tcBorders>
          </w:tcPr>
          <w:p w:rsidRPr="00F2154C" w:rsidR="00504CC4" w:rsidP="00504CC4" w:rsidRDefault="00504CC4" w14:paraId="64A9B19E" w14:textId="56EA8F0B">
            <w:pPr>
              <w:rPr>
                <w:b/>
                <w:bCs/>
                <w:sz w:val="16"/>
                <w:szCs w:val="16"/>
              </w:rPr>
            </w:pPr>
            <w:r w:rsidRPr="00F2154C">
              <w:rPr>
                <w:b/>
                <w:bCs/>
                <w:sz w:val="16"/>
                <w:szCs w:val="16"/>
              </w:rPr>
              <w:t>Achtergrond</w:t>
            </w:r>
          </w:p>
          <w:p w:rsidRPr="00504CC4" w:rsidR="00857CA4" w:rsidP="00857CA4" w:rsidRDefault="00857CA4" w14:paraId="23126254" w14:textId="2F2440EE">
            <w:pPr>
              <w:rPr>
                <w:sz w:val="16"/>
                <w:szCs w:val="16"/>
              </w:rPr>
            </w:pPr>
            <w:r>
              <w:rPr>
                <w:sz w:val="16"/>
                <w:szCs w:val="16"/>
              </w:rPr>
              <w:t>U</w:t>
            </w:r>
            <w:r w:rsidRPr="00504CC4">
              <w:rPr>
                <w:sz w:val="16"/>
                <w:szCs w:val="16"/>
              </w:rPr>
              <w:t xml:space="preserve">itzichtloosheid, ongelijke toegang tot </w:t>
            </w:r>
            <w:r>
              <w:rPr>
                <w:sz w:val="16"/>
                <w:szCs w:val="16"/>
              </w:rPr>
              <w:t>basis</w:t>
            </w:r>
            <w:r w:rsidRPr="00504CC4">
              <w:rPr>
                <w:sz w:val="16"/>
                <w:szCs w:val="16"/>
              </w:rPr>
              <w:t xml:space="preserve">voorzieningen en </w:t>
            </w:r>
            <w:r>
              <w:rPr>
                <w:sz w:val="16"/>
                <w:szCs w:val="16"/>
              </w:rPr>
              <w:t xml:space="preserve">een diepgeworteld wantrouwen in de overheid en overheidsinstituties, vormen een voedingsbodem voor conflict. </w:t>
            </w:r>
            <w:r w:rsidRPr="00686092" w:rsidR="00686092">
              <w:rPr>
                <w:sz w:val="16"/>
                <w:szCs w:val="16"/>
              </w:rPr>
              <w:t>Daar hebben wij ook in Nederland last van</w:t>
            </w:r>
            <w:r w:rsidR="00686092">
              <w:rPr>
                <w:sz w:val="16"/>
                <w:szCs w:val="16"/>
              </w:rPr>
              <w:t>, b</w:t>
            </w:r>
            <w:r w:rsidRPr="00686092" w:rsidR="00686092">
              <w:rPr>
                <w:sz w:val="16"/>
                <w:szCs w:val="16"/>
              </w:rPr>
              <w:t>ijvoorbeeld omdat handel wordt verstoord,</w:t>
            </w:r>
            <w:r w:rsidR="00DD30EA">
              <w:rPr>
                <w:sz w:val="16"/>
                <w:szCs w:val="16"/>
              </w:rPr>
              <w:t xml:space="preserve"> </w:t>
            </w:r>
            <w:r w:rsidRPr="00686092" w:rsidR="00686092">
              <w:rPr>
                <w:sz w:val="16"/>
                <w:szCs w:val="16"/>
              </w:rPr>
              <w:t xml:space="preserve">criminelen meer ruimte krijgen of omdat mensen bij ons asiel aanvragen. </w:t>
            </w:r>
            <w:r w:rsidR="00686092">
              <w:rPr>
                <w:sz w:val="16"/>
                <w:szCs w:val="16"/>
              </w:rPr>
              <w:t>Met onze inzet op o</w:t>
            </w:r>
            <w:r w:rsidRPr="00686092" w:rsidR="00686092">
              <w:rPr>
                <w:sz w:val="16"/>
                <w:szCs w:val="16"/>
              </w:rPr>
              <w:t xml:space="preserve">ntwikkelingshulp </w:t>
            </w:r>
            <w:r w:rsidR="00DD30EA">
              <w:rPr>
                <w:sz w:val="16"/>
                <w:szCs w:val="16"/>
              </w:rPr>
              <w:t>kunnen we daar iets aan doen</w:t>
            </w:r>
            <w:r w:rsidRPr="00686092" w:rsidR="00686092">
              <w:rPr>
                <w:sz w:val="16"/>
                <w:szCs w:val="16"/>
              </w:rPr>
              <w:t>.</w:t>
            </w:r>
            <w:r w:rsidR="00686092">
              <w:rPr>
                <w:sz w:val="16"/>
                <w:szCs w:val="16"/>
              </w:rPr>
              <w:t xml:space="preserve"> </w:t>
            </w:r>
          </w:p>
          <w:p w:rsidR="00857CA4" w:rsidP="00857CA4" w:rsidRDefault="00857CA4" w14:paraId="1352FDEB" w14:textId="59CD2A5E">
            <w:pPr>
              <w:rPr>
                <w:sz w:val="16"/>
                <w:szCs w:val="16"/>
              </w:rPr>
            </w:pPr>
            <w:r w:rsidRPr="00504CC4">
              <w:rPr>
                <w:sz w:val="16"/>
                <w:szCs w:val="16"/>
              </w:rPr>
              <w:t xml:space="preserve">We concentreren onze bijdrage op drie nabuurregio’s van Europa, </w:t>
            </w:r>
            <w:r>
              <w:rPr>
                <w:sz w:val="16"/>
                <w:szCs w:val="16"/>
              </w:rPr>
              <w:t xml:space="preserve">waar de meeste conflicten plaatsvinden </w:t>
            </w:r>
            <w:r w:rsidRPr="00504CC4">
              <w:rPr>
                <w:sz w:val="16"/>
                <w:szCs w:val="16"/>
              </w:rPr>
              <w:t>en</w:t>
            </w:r>
            <w:r>
              <w:rPr>
                <w:sz w:val="16"/>
                <w:szCs w:val="16"/>
              </w:rPr>
              <w:t xml:space="preserve"> van waaruit</w:t>
            </w:r>
            <w:r w:rsidRPr="00504CC4">
              <w:rPr>
                <w:sz w:val="16"/>
                <w:szCs w:val="16"/>
              </w:rPr>
              <w:t xml:space="preserve"> drugs- </w:t>
            </w:r>
            <w:r>
              <w:rPr>
                <w:sz w:val="16"/>
                <w:szCs w:val="16"/>
              </w:rPr>
              <w:t xml:space="preserve">en </w:t>
            </w:r>
            <w:r w:rsidRPr="00504CC4">
              <w:rPr>
                <w:sz w:val="16"/>
                <w:szCs w:val="16"/>
              </w:rPr>
              <w:t xml:space="preserve">migratieroutes naar Europa lopen: </w:t>
            </w:r>
            <w:r w:rsidRPr="00504CC4" w:rsidR="00841101">
              <w:rPr>
                <w:sz w:val="16"/>
                <w:szCs w:val="16"/>
              </w:rPr>
              <w:t>West-Afrika</w:t>
            </w:r>
            <w:r w:rsidRPr="00504CC4">
              <w:rPr>
                <w:sz w:val="16"/>
                <w:szCs w:val="16"/>
              </w:rPr>
              <w:t xml:space="preserve"> (vooral de Sahel-regio), </w:t>
            </w:r>
            <w:r w:rsidRPr="00504CC4" w:rsidR="00841101">
              <w:rPr>
                <w:sz w:val="16"/>
                <w:szCs w:val="16"/>
              </w:rPr>
              <w:t>Oost-Afrika</w:t>
            </w:r>
            <w:r w:rsidRPr="00504CC4">
              <w:rPr>
                <w:sz w:val="16"/>
                <w:szCs w:val="16"/>
              </w:rPr>
              <w:t xml:space="preserve"> (Hoorn van Afrika en hieraan gelieerde landen), en het Midden-Oosten en </w:t>
            </w:r>
            <w:r w:rsidRPr="0005550E">
              <w:rPr>
                <w:sz w:val="16"/>
                <w:szCs w:val="16"/>
              </w:rPr>
              <w:t xml:space="preserve">Noord-Afrika (de MENA-regio). </w:t>
            </w:r>
            <w:r w:rsidRPr="0005550E" w:rsidR="0084428D">
              <w:rPr>
                <w:sz w:val="16"/>
                <w:szCs w:val="16"/>
              </w:rPr>
              <w:t>Aandacht voor vrouwen, meisjes en kwetsbare groepen is belangrijk voor effectiviteit van onze programma’s.</w:t>
            </w:r>
          </w:p>
          <w:p w:rsidR="003A267B" w:rsidP="0052362A" w:rsidRDefault="003A267B" w14:paraId="141CC62E" w14:textId="77777777">
            <w:pPr>
              <w:rPr>
                <w:sz w:val="16"/>
                <w:szCs w:val="16"/>
              </w:rPr>
            </w:pPr>
          </w:p>
          <w:p w:rsidRPr="002A4D8E" w:rsidR="003A267B" w:rsidP="0052362A" w:rsidRDefault="003A267B" w14:paraId="49AA6BE7" w14:textId="7CE44D39">
            <w:pPr>
              <w:rPr>
                <w:b/>
                <w:bCs/>
                <w:sz w:val="16"/>
                <w:szCs w:val="16"/>
              </w:rPr>
            </w:pPr>
            <w:r w:rsidRPr="002A4D8E">
              <w:rPr>
                <w:b/>
                <w:bCs/>
                <w:sz w:val="16"/>
                <w:szCs w:val="16"/>
              </w:rPr>
              <w:t>Doel</w:t>
            </w:r>
            <w:r w:rsidR="008C70FD">
              <w:rPr>
                <w:b/>
                <w:bCs/>
                <w:sz w:val="16"/>
                <w:szCs w:val="16"/>
              </w:rPr>
              <w:t>stelling</w:t>
            </w:r>
          </w:p>
          <w:p w:rsidR="00504CC4" w:rsidP="0052362A" w:rsidRDefault="003A267B" w14:paraId="6B57EAC2" w14:textId="41CC167E">
            <w:pPr>
              <w:rPr>
                <w:sz w:val="16"/>
                <w:szCs w:val="16"/>
              </w:rPr>
            </w:pPr>
            <w:r w:rsidRPr="003A267B">
              <w:rPr>
                <w:sz w:val="16"/>
                <w:szCs w:val="16"/>
              </w:rPr>
              <w:t xml:space="preserve">Met het onderliggende bestedingsvoorstel voor de periode </w:t>
            </w:r>
            <w:r w:rsidRPr="00A951F4" w:rsidR="00A951F4">
              <w:rPr>
                <w:sz w:val="16"/>
                <w:szCs w:val="16"/>
              </w:rPr>
              <w:t xml:space="preserve">2026—2030 </w:t>
            </w:r>
            <w:r w:rsidRPr="003A267B">
              <w:rPr>
                <w:sz w:val="16"/>
                <w:szCs w:val="16"/>
              </w:rPr>
              <w:t>beoogt het kabinet een bijdrage te leveren aan</w:t>
            </w:r>
            <w:r>
              <w:t xml:space="preserve"> </w:t>
            </w:r>
            <w:r>
              <w:rPr>
                <w:sz w:val="16"/>
                <w:szCs w:val="16"/>
              </w:rPr>
              <w:t>h</w:t>
            </w:r>
            <w:r w:rsidRPr="003A267B">
              <w:rPr>
                <w:sz w:val="16"/>
                <w:szCs w:val="16"/>
              </w:rPr>
              <w:t>et wegnemen van de oorzaken</w:t>
            </w:r>
            <w:r>
              <w:rPr>
                <w:sz w:val="16"/>
                <w:szCs w:val="16"/>
              </w:rPr>
              <w:t xml:space="preserve"> van conflict</w:t>
            </w:r>
            <w:r w:rsidR="00DD30EA">
              <w:rPr>
                <w:sz w:val="16"/>
                <w:szCs w:val="16"/>
              </w:rPr>
              <w:t xml:space="preserve">. </w:t>
            </w:r>
            <w:r w:rsidR="0005550E">
              <w:rPr>
                <w:sz w:val="16"/>
                <w:szCs w:val="16"/>
              </w:rPr>
              <w:t>Dit</w:t>
            </w:r>
            <w:r w:rsidR="0082362B">
              <w:rPr>
                <w:sz w:val="16"/>
                <w:szCs w:val="16"/>
              </w:rPr>
              <w:t xml:space="preserve"> draagt</w:t>
            </w:r>
            <w:r>
              <w:rPr>
                <w:sz w:val="16"/>
                <w:szCs w:val="16"/>
              </w:rPr>
              <w:t xml:space="preserve"> bij </w:t>
            </w:r>
            <w:r w:rsidRPr="003A267B">
              <w:rPr>
                <w:sz w:val="16"/>
                <w:szCs w:val="16"/>
              </w:rPr>
              <w:t>aan</w:t>
            </w:r>
            <w:r w:rsidR="00DD30EA">
              <w:rPr>
                <w:sz w:val="16"/>
                <w:szCs w:val="16"/>
              </w:rPr>
              <w:t xml:space="preserve"> </w:t>
            </w:r>
            <w:r w:rsidRPr="003A267B">
              <w:rPr>
                <w:sz w:val="16"/>
                <w:szCs w:val="16"/>
              </w:rPr>
              <w:t xml:space="preserve">stabiliteit </w:t>
            </w:r>
            <w:r>
              <w:rPr>
                <w:sz w:val="16"/>
                <w:szCs w:val="16"/>
              </w:rPr>
              <w:t>als</w:t>
            </w:r>
            <w:r w:rsidRPr="003A267B">
              <w:rPr>
                <w:sz w:val="16"/>
                <w:szCs w:val="16"/>
              </w:rPr>
              <w:t xml:space="preserve"> een </w:t>
            </w:r>
            <w:r w:rsidRPr="003A267B" w:rsidR="00841101">
              <w:rPr>
                <w:sz w:val="16"/>
                <w:szCs w:val="16"/>
              </w:rPr>
              <w:t>randvoorwaarde voor</w:t>
            </w:r>
            <w:r w:rsidRPr="003A267B">
              <w:rPr>
                <w:sz w:val="16"/>
                <w:szCs w:val="16"/>
              </w:rPr>
              <w:t xml:space="preserve"> duurzame sociale en economische ontwikkeling.</w:t>
            </w:r>
            <w:r w:rsidR="0082362B">
              <w:rPr>
                <w:sz w:val="16"/>
                <w:szCs w:val="16"/>
              </w:rPr>
              <w:t xml:space="preserve"> En draagt tegelijkertijd bij aan een stabielere wereld om ons heen.</w:t>
            </w:r>
          </w:p>
          <w:p w:rsidR="003A267B" w:rsidP="0052362A" w:rsidRDefault="003A267B" w14:paraId="7E7B1968" w14:textId="77777777">
            <w:pPr>
              <w:rPr>
                <w:sz w:val="16"/>
                <w:szCs w:val="16"/>
              </w:rPr>
            </w:pPr>
          </w:p>
          <w:p w:rsidRPr="00F2154C" w:rsidR="00504CC4" w:rsidP="0052362A" w:rsidRDefault="003A267B" w14:paraId="7B51E6A5" w14:textId="3E947F3A">
            <w:pPr>
              <w:rPr>
                <w:b/>
                <w:bCs/>
                <w:sz w:val="16"/>
                <w:szCs w:val="16"/>
              </w:rPr>
            </w:pPr>
            <w:proofErr w:type="spellStart"/>
            <w:r>
              <w:rPr>
                <w:b/>
                <w:bCs/>
                <w:sz w:val="16"/>
                <w:szCs w:val="16"/>
              </w:rPr>
              <w:t>Sub</w:t>
            </w:r>
            <w:r w:rsidR="005A2DD4">
              <w:rPr>
                <w:b/>
                <w:bCs/>
                <w:sz w:val="16"/>
                <w:szCs w:val="16"/>
              </w:rPr>
              <w:t>-</w:t>
            </w:r>
            <w:r>
              <w:rPr>
                <w:b/>
                <w:bCs/>
                <w:sz w:val="16"/>
                <w:szCs w:val="16"/>
              </w:rPr>
              <w:t>d</w:t>
            </w:r>
            <w:r w:rsidRPr="00F2154C" w:rsidR="009152BC">
              <w:rPr>
                <w:b/>
                <w:bCs/>
                <w:sz w:val="16"/>
                <w:szCs w:val="16"/>
              </w:rPr>
              <w:t>oelen</w:t>
            </w:r>
            <w:proofErr w:type="spellEnd"/>
            <w:r w:rsidRPr="00F2154C" w:rsidR="009152BC">
              <w:rPr>
                <w:b/>
                <w:bCs/>
                <w:sz w:val="16"/>
                <w:szCs w:val="16"/>
              </w:rPr>
              <w:t xml:space="preserve">: </w:t>
            </w:r>
          </w:p>
          <w:p w:rsidR="00C8442E" w:rsidP="00C8442E" w:rsidRDefault="00E16764" w14:paraId="618FE95C" w14:textId="403269DE">
            <w:pPr>
              <w:pStyle w:val="ListParagraph"/>
              <w:numPr>
                <w:ilvl w:val="0"/>
                <w:numId w:val="8"/>
              </w:numPr>
              <w:rPr>
                <w:sz w:val="16"/>
                <w:szCs w:val="16"/>
              </w:rPr>
            </w:pPr>
            <w:r>
              <w:rPr>
                <w:b/>
                <w:bCs/>
                <w:sz w:val="16"/>
                <w:szCs w:val="16"/>
              </w:rPr>
              <w:t>Stabiliteit in de regio</w:t>
            </w:r>
            <w:r w:rsidR="008B69C5">
              <w:rPr>
                <w:b/>
                <w:bCs/>
                <w:sz w:val="16"/>
                <w:szCs w:val="16"/>
              </w:rPr>
              <w:t xml:space="preserve"> </w:t>
            </w:r>
            <w:r w:rsidR="009152BC">
              <w:rPr>
                <w:sz w:val="16"/>
                <w:szCs w:val="16"/>
              </w:rPr>
              <w:t xml:space="preserve"> </w:t>
            </w:r>
          </w:p>
          <w:p w:rsidRPr="00B8605F" w:rsidR="00857CA4" w:rsidP="00857CA4" w:rsidRDefault="00D10413" w14:paraId="7A6B32A7" w14:textId="46A6F05A">
            <w:pPr>
              <w:pStyle w:val="ListParagraph"/>
              <w:ind w:left="720"/>
              <w:rPr>
                <w:sz w:val="16"/>
                <w:szCs w:val="16"/>
              </w:rPr>
            </w:pPr>
            <w:r>
              <w:rPr>
                <w:sz w:val="16"/>
                <w:szCs w:val="16"/>
              </w:rPr>
              <w:t>Als onderdeel van het bredere buitenlandse beleid v</w:t>
            </w:r>
            <w:r w:rsidR="00857CA4">
              <w:rPr>
                <w:sz w:val="16"/>
                <w:szCs w:val="16"/>
              </w:rPr>
              <w:t xml:space="preserve">ersterken onze inzet op regionale stabiliteit, door te zorgen voor meer </w:t>
            </w:r>
            <w:r w:rsidRPr="00B8605F" w:rsidR="00857CA4">
              <w:rPr>
                <w:sz w:val="16"/>
                <w:szCs w:val="16"/>
              </w:rPr>
              <w:t>integrale en regionale programmering</w:t>
            </w:r>
            <w:r w:rsidR="00DD30EA">
              <w:rPr>
                <w:sz w:val="16"/>
                <w:szCs w:val="16"/>
              </w:rPr>
              <w:t xml:space="preserve">. Omdat in verschillende regio’s verschillende problemen spelen, doen we dit op </w:t>
            </w:r>
            <w:r w:rsidRPr="00B8605F" w:rsidR="00857CA4">
              <w:rPr>
                <w:sz w:val="16"/>
                <w:szCs w:val="16"/>
              </w:rPr>
              <w:t xml:space="preserve">basis van een </w:t>
            </w:r>
            <w:r w:rsidR="0082362B">
              <w:rPr>
                <w:sz w:val="16"/>
                <w:szCs w:val="16"/>
              </w:rPr>
              <w:t xml:space="preserve">lokale </w:t>
            </w:r>
            <w:r w:rsidRPr="00B8605F" w:rsidR="00857CA4">
              <w:rPr>
                <w:sz w:val="16"/>
                <w:szCs w:val="16"/>
              </w:rPr>
              <w:t>conflictanalyse</w:t>
            </w:r>
            <w:r w:rsidR="00857CA4">
              <w:rPr>
                <w:sz w:val="16"/>
                <w:szCs w:val="16"/>
              </w:rPr>
              <w:t xml:space="preserve">. We </w:t>
            </w:r>
            <w:r w:rsidR="0082362B">
              <w:rPr>
                <w:sz w:val="16"/>
                <w:szCs w:val="16"/>
              </w:rPr>
              <w:t xml:space="preserve">vergroten </w:t>
            </w:r>
            <w:r w:rsidR="00841101">
              <w:rPr>
                <w:sz w:val="16"/>
                <w:szCs w:val="16"/>
              </w:rPr>
              <w:t xml:space="preserve">enerzijds </w:t>
            </w:r>
            <w:r w:rsidRPr="00B8605F" w:rsidR="00841101">
              <w:rPr>
                <w:sz w:val="16"/>
                <w:szCs w:val="16"/>
              </w:rPr>
              <w:t>de</w:t>
            </w:r>
            <w:r w:rsidRPr="00B8605F" w:rsidR="00857CA4">
              <w:rPr>
                <w:sz w:val="16"/>
                <w:szCs w:val="16"/>
              </w:rPr>
              <w:t xml:space="preserve"> samenhang tussen humanitaire hulp, ontwikkelingshulp en vredesopbouw (de zogenaamde ‘HDP Nexus’)</w:t>
            </w:r>
            <w:r w:rsidR="002F5913">
              <w:rPr>
                <w:sz w:val="16"/>
                <w:szCs w:val="16"/>
              </w:rPr>
              <w:t>. A</w:t>
            </w:r>
            <w:r w:rsidRPr="00B8605F" w:rsidR="00857CA4">
              <w:rPr>
                <w:sz w:val="16"/>
                <w:szCs w:val="16"/>
              </w:rPr>
              <w:t xml:space="preserve">nderzijds </w:t>
            </w:r>
            <w:r w:rsidR="002F5913">
              <w:rPr>
                <w:sz w:val="16"/>
                <w:szCs w:val="16"/>
              </w:rPr>
              <w:t xml:space="preserve">versterken we </w:t>
            </w:r>
            <w:r w:rsidRPr="00B8605F" w:rsidR="00857CA4">
              <w:rPr>
                <w:sz w:val="16"/>
                <w:szCs w:val="16"/>
              </w:rPr>
              <w:t xml:space="preserve">de samenhang met </w:t>
            </w:r>
            <w:r w:rsidR="00857CA4">
              <w:rPr>
                <w:sz w:val="16"/>
                <w:szCs w:val="16"/>
              </w:rPr>
              <w:t xml:space="preserve">de inzet </w:t>
            </w:r>
            <w:r w:rsidR="00C928F2">
              <w:rPr>
                <w:sz w:val="16"/>
                <w:szCs w:val="16"/>
              </w:rPr>
              <w:t xml:space="preserve">op het terrein van </w:t>
            </w:r>
            <w:r w:rsidR="00BE1622">
              <w:rPr>
                <w:sz w:val="16"/>
                <w:szCs w:val="16"/>
              </w:rPr>
              <w:t xml:space="preserve">diplomatie, </w:t>
            </w:r>
            <w:r w:rsidR="00C928F2">
              <w:rPr>
                <w:sz w:val="16"/>
                <w:szCs w:val="16"/>
              </w:rPr>
              <w:t xml:space="preserve">defensie, justitie en </w:t>
            </w:r>
            <w:r w:rsidR="00841101">
              <w:rPr>
                <w:sz w:val="16"/>
                <w:szCs w:val="16"/>
              </w:rPr>
              <w:t>migratie.</w:t>
            </w:r>
            <w:r w:rsidR="00857CA4">
              <w:rPr>
                <w:sz w:val="16"/>
                <w:szCs w:val="16"/>
              </w:rPr>
              <w:t xml:space="preserve"> Hierdoor kunnen zowel grondoorzaken voor een conflict, als directe veiligheidsbelangen zoals radicalisering, </w:t>
            </w:r>
            <w:r w:rsidR="002F5913">
              <w:rPr>
                <w:sz w:val="16"/>
                <w:szCs w:val="16"/>
              </w:rPr>
              <w:t xml:space="preserve">effectiever </w:t>
            </w:r>
            <w:r w:rsidR="00857CA4">
              <w:rPr>
                <w:sz w:val="16"/>
                <w:szCs w:val="16"/>
              </w:rPr>
              <w:t xml:space="preserve">worden aangepakt. </w:t>
            </w:r>
            <w:r w:rsidRPr="00B8605F" w:rsidR="00857CA4">
              <w:rPr>
                <w:sz w:val="16"/>
                <w:szCs w:val="16"/>
              </w:rPr>
              <w:t>Ook</w:t>
            </w:r>
            <w:r w:rsidR="002F5913">
              <w:rPr>
                <w:sz w:val="16"/>
                <w:szCs w:val="16"/>
              </w:rPr>
              <w:t xml:space="preserve"> eerlijke toegang tot basisdiensten zoals </w:t>
            </w:r>
            <w:r w:rsidRPr="00B8605F" w:rsidR="00857CA4">
              <w:rPr>
                <w:sz w:val="16"/>
                <w:szCs w:val="16"/>
              </w:rPr>
              <w:t>water, voedsel</w:t>
            </w:r>
            <w:r w:rsidR="002F5913">
              <w:rPr>
                <w:sz w:val="16"/>
                <w:szCs w:val="16"/>
              </w:rPr>
              <w:t xml:space="preserve"> en </w:t>
            </w:r>
            <w:r w:rsidRPr="00B8605F" w:rsidR="00857CA4">
              <w:rPr>
                <w:sz w:val="16"/>
                <w:szCs w:val="16"/>
              </w:rPr>
              <w:t>gezondheid</w:t>
            </w:r>
            <w:r w:rsidR="002F5913">
              <w:rPr>
                <w:sz w:val="16"/>
                <w:szCs w:val="16"/>
              </w:rPr>
              <w:t xml:space="preserve"> draagt </w:t>
            </w:r>
            <w:r w:rsidR="00841101">
              <w:rPr>
                <w:sz w:val="16"/>
                <w:szCs w:val="16"/>
              </w:rPr>
              <w:t>hieraan</w:t>
            </w:r>
            <w:r w:rsidR="002F5913">
              <w:rPr>
                <w:sz w:val="16"/>
                <w:szCs w:val="16"/>
              </w:rPr>
              <w:t xml:space="preserve"> bij en word dus in de regionale programmering</w:t>
            </w:r>
            <w:r w:rsidRPr="00B8605F" w:rsidR="00857CA4">
              <w:rPr>
                <w:sz w:val="16"/>
                <w:szCs w:val="16"/>
              </w:rPr>
              <w:t xml:space="preserve"> meegenomen. Dit maakt het mogelijk problemen zowel geografisch </w:t>
            </w:r>
            <w:r w:rsidR="00857CA4">
              <w:rPr>
                <w:sz w:val="16"/>
                <w:szCs w:val="16"/>
              </w:rPr>
              <w:t>als</w:t>
            </w:r>
            <w:r w:rsidRPr="00B8605F" w:rsidR="00857CA4">
              <w:rPr>
                <w:sz w:val="16"/>
                <w:szCs w:val="16"/>
              </w:rPr>
              <w:t xml:space="preserve"> </w:t>
            </w:r>
            <w:r w:rsidR="00857CA4">
              <w:rPr>
                <w:sz w:val="16"/>
                <w:szCs w:val="16"/>
              </w:rPr>
              <w:t xml:space="preserve">beleidsmatig </w:t>
            </w:r>
            <w:r>
              <w:rPr>
                <w:sz w:val="16"/>
                <w:szCs w:val="16"/>
              </w:rPr>
              <w:t>in samenhang</w:t>
            </w:r>
            <w:r w:rsidRPr="00B8605F" w:rsidR="00857CA4">
              <w:rPr>
                <w:sz w:val="16"/>
                <w:szCs w:val="16"/>
              </w:rPr>
              <w:t xml:space="preserve"> aan te pakken. </w:t>
            </w:r>
            <w:r w:rsidR="00857CA4">
              <w:rPr>
                <w:sz w:val="16"/>
                <w:szCs w:val="16"/>
              </w:rPr>
              <w:t xml:space="preserve"> </w:t>
            </w:r>
            <w:r w:rsidRPr="00505EE5" w:rsidR="00857CA4">
              <w:rPr>
                <w:sz w:val="16"/>
                <w:szCs w:val="16"/>
              </w:rPr>
              <w:t>Waar mogelijk zal aansluiting worden gezocht bij andere bilaterale of internationale (EU)-initiatieven.</w:t>
            </w:r>
          </w:p>
          <w:p w:rsidRPr="00C8442E" w:rsidR="00C8442E" w:rsidP="00C8442E" w:rsidRDefault="00C8442E" w14:paraId="01CA9143" w14:textId="77777777">
            <w:pPr>
              <w:rPr>
                <w:sz w:val="16"/>
                <w:szCs w:val="16"/>
              </w:rPr>
            </w:pPr>
          </w:p>
          <w:p w:rsidRPr="00E16764" w:rsidR="00E16764" w:rsidP="0052362A" w:rsidRDefault="00E16764" w14:paraId="26084163" w14:textId="7A118318">
            <w:pPr>
              <w:pStyle w:val="ListParagraph"/>
              <w:numPr>
                <w:ilvl w:val="0"/>
                <w:numId w:val="8"/>
              </w:numPr>
              <w:rPr>
                <w:sz w:val="16"/>
                <w:szCs w:val="16"/>
              </w:rPr>
            </w:pPr>
            <w:r>
              <w:rPr>
                <w:b/>
                <w:bCs/>
                <w:sz w:val="16"/>
                <w:szCs w:val="16"/>
              </w:rPr>
              <w:t>Opbouw en wederopbouw van</w:t>
            </w:r>
            <w:r w:rsidR="00EE5E60">
              <w:rPr>
                <w:b/>
                <w:bCs/>
                <w:sz w:val="16"/>
                <w:szCs w:val="16"/>
              </w:rPr>
              <w:t xml:space="preserve"> staat en samenleving</w:t>
            </w:r>
          </w:p>
          <w:p w:rsidR="00857CA4" w:rsidP="00857CA4" w:rsidRDefault="00857CA4" w14:paraId="71F59911" w14:textId="7A90839A">
            <w:pPr>
              <w:pStyle w:val="ListParagraph"/>
              <w:ind w:left="720"/>
              <w:rPr>
                <w:sz w:val="16"/>
                <w:szCs w:val="16"/>
              </w:rPr>
            </w:pPr>
            <w:r>
              <w:rPr>
                <w:sz w:val="16"/>
                <w:szCs w:val="16"/>
              </w:rPr>
              <w:t xml:space="preserve">We </w:t>
            </w:r>
            <w:r w:rsidR="00D10413">
              <w:rPr>
                <w:sz w:val="16"/>
                <w:szCs w:val="16"/>
              </w:rPr>
              <w:t xml:space="preserve">dragen er met ons beleid en onze programma’s aan bij </w:t>
            </w:r>
            <w:r>
              <w:rPr>
                <w:sz w:val="16"/>
                <w:szCs w:val="16"/>
              </w:rPr>
              <w:t>dat mensen zich weer veilig voelen door burgers te beschermen, straffeloosheid tegen te gaan en te zorgen dat er meer vertrouwen is in formele en informele instanties. Dit gaat migratie tegen, maakt afbouw van (langdurige) humanitaire hulp mogelijk en draagt bij aan terugkeer na een conflict. Met goe</w:t>
            </w:r>
            <w:r w:rsidRPr="00B8605F">
              <w:rPr>
                <w:sz w:val="16"/>
                <w:szCs w:val="16"/>
              </w:rPr>
              <w:t>de regelgeving</w:t>
            </w:r>
            <w:r w:rsidRPr="0005550E">
              <w:rPr>
                <w:sz w:val="16"/>
                <w:szCs w:val="16"/>
              </w:rPr>
              <w:t xml:space="preserve">, </w:t>
            </w:r>
            <w:r w:rsidRPr="0005550E" w:rsidR="00E739C6">
              <w:rPr>
                <w:sz w:val="16"/>
                <w:szCs w:val="16"/>
              </w:rPr>
              <w:t xml:space="preserve">bescherming van mensenrechten en </w:t>
            </w:r>
            <w:r w:rsidRPr="0005550E" w:rsidR="0005550E">
              <w:rPr>
                <w:sz w:val="16"/>
                <w:szCs w:val="16"/>
              </w:rPr>
              <w:t>rechtsstatelijkheid</w:t>
            </w:r>
            <w:r w:rsidRPr="0005550E" w:rsidR="00E739C6">
              <w:rPr>
                <w:sz w:val="16"/>
                <w:szCs w:val="16"/>
              </w:rPr>
              <w:t>,</w:t>
            </w:r>
            <w:r w:rsidR="00E739C6">
              <w:rPr>
                <w:sz w:val="16"/>
                <w:szCs w:val="16"/>
              </w:rPr>
              <w:t xml:space="preserve"> </w:t>
            </w:r>
            <w:r w:rsidRPr="00B8605F">
              <w:rPr>
                <w:sz w:val="16"/>
                <w:szCs w:val="16"/>
              </w:rPr>
              <w:t xml:space="preserve">handhaving </w:t>
            </w:r>
            <w:r>
              <w:rPr>
                <w:sz w:val="16"/>
                <w:szCs w:val="16"/>
              </w:rPr>
              <w:t xml:space="preserve">en de mogelijkheid voor burgers of </w:t>
            </w:r>
            <w:r w:rsidR="00C928F2">
              <w:rPr>
                <w:sz w:val="16"/>
                <w:szCs w:val="16"/>
              </w:rPr>
              <w:t>bedrijven</w:t>
            </w:r>
            <w:r>
              <w:rPr>
                <w:sz w:val="16"/>
                <w:szCs w:val="16"/>
              </w:rPr>
              <w:t xml:space="preserve"> om klachten aan te kaarten</w:t>
            </w:r>
            <w:r w:rsidRPr="00B8605F">
              <w:rPr>
                <w:sz w:val="16"/>
                <w:szCs w:val="16"/>
              </w:rPr>
              <w:t xml:space="preserve">, lossen conflicten op en </w:t>
            </w:r>
            <w:r>
              <w:rPr>
                <w:sz w:val="16"/>
                <w:szCs w:val="16"/>
              </w:rPr>
              <w:t xml:space="preserve">kan </w:t>
            </w:r>
            <w:r w:rsidRPr="00B8605F">
              <w:rPr>
                <w:sz w:val="16"/>
                <w:szCs w:val="16"/>
              </w:rPr>
              <w:t>crimineel gedrag</w:t>
            </w:r>
            <w:r>
              <w:rPr>
                <w:sz w:val="16"/>
                <w:szCs w:val="16"/>
              </w:rPr>
              <w:t xml:space="preserve"> worden bestraft</w:t>
            </w:r>
            <w:r w:rsidRPr="00B8605F">
              <w:rPr>
                <w:sz w:val="16"/>
                <w:szCs w:val="16"/>
              </w:rPr>
              <w:t>.</w:t>
            </w:r>
            <w:r>
              <w:rPr>
                <w:sz w:val="16"/>
                <w:szCs w:val="16"/>
              </w:rPr>
              <w:t xml:space="preserve"> We zorgen dat </w:t>
            </w:r>
            <w:r w:rsidRPr="00B8605F">
              <w:rPr>
                <w:sz w:val="16"/>
                <w:szCs w:val="16"/>
              </w:rPr>
              <w:t xml:space="preserve">politie en het justitieel apparaat </w:t>
            </w:r>
            <w:r>
              <w:rPr>
                <w:sz w:val="16"/>
                <w:szCs w:val="16"/>
              </w:rPr>
              <w:t xml:space="preserve">beter </w:t>
            </w:r>
            <w:r w:rsidRPr="00B8605F">
              <w:rPr>
                <w:sz w:val="16"/>
                <w:szCs w:val="16"/>
              </w:rPr>
              <w:t>ten dienste van mensen staan</w:t>
            </w:r>
            <w:r>
              <w:rPr>
                <w:sz w:val="16"/>
                <w:szCs w:val="16"/>
              </w:rPr>
              <w:t>, ongeacht hun positie in de samenleving</w:t>
            </w:r>
            <w:r w:rsidRPr="00B8605F">
              <w:rPr>
                <w:sz w:val="16"/>
                <w:szCs w:val="16"/>
              </w:rPr>
              <w:t xml:space="preserve">. </w:t>
            </w:r>
            <w:r>
              <w:rPr>
                <w:sz w:val="16"/>
                <w:szCs w:val="16"/>
              </w:rPr>
              <w:t xml:space="preserve">We doen dit op </w:t>
            </w:r>
            <w:r w:rsidRPr="009152BC">
              <w:rPr>
                <w:sz w:val="16"/>
                <w:szCs w:val="16"/>
              </w:rPr>
              <w:t xml:space="preserve">regionaal en lokaal niveau, zowel met het informele als formele </w:t>
            </w:r>
            <w:r>
              <w:rPr>
                <w:sz w:val="16"/>
                <w:szCs w:val="16"/>
              </w:rPr>
              <w:t>sy</w:t>
            </w:r>
            <w:r w:rsidRPr="009152BC">
              <w:rPr>
                <w:sz w:val="16"/>
                <w:szCs w:val="16"/>
              </w:rPr>
              <w:t>stem</w:t>
            </w:r>
            <w:r>
              <w:rPr>
                <w:sz w:val="16"/>
                <w:szCs w:val="16"/>
              </w:rPr>
              <w:t>en</w:t>
            </w:r>
            <w:r w:rsidRPr="009152BC">
              <w:rPr>
                <w:sz w:val="16"/>
                <w:szCs w:val="16"/>
              </w:rPr>
              <w:t>. Ten slotte is ook vertrouwen in openbaar bestuur een voorwaarde voor stabiliteit</w:t>
            </w:r>
            <w:r w:rsidR="00C928F2">
              <w:rPr>
                <w:sz w:val="16"/>
                <w:szCs w:val="16"/>
              </w:rPr>
              <w:t xml:space="preserve"> en een </w:t>
            </w:r>
            <w:r w:rsidR="00841101">
              <w:rPr>
                <w:sz w:val="16"/>
                <w:szCs w:val="16"/>
              </w:rPr>
              <w:t>gunstig investeringsklimaat</w:t>
            </w:r>
            <w:r w:rsidRPr="009152BC">
              <w:rPr>
                <w:sz w:val="16"/>
                <w:szCs w:val="16"/>
              </w:rPr>
              <w:t>. Dit vergt niet alleen een investering in de capaciteit van instituties maar ook in die van de politiek.</w:t>
            </w:r>
          </w:p>
          <w:p w:rsidR="00B8605F" w:rsidP="00B8605F" w:rsidRDefault="00B8605F" w14:paraId="62414ABA" w14:textId="77777777">
            <w:pPr>
              <w:pStyle w:val="ListParagraph"/>
              <w:ind w:left="720"/>
              <w:rPr>
                <w:sz w:val="16"/>
                <w:szCs w:val="16"/>
              </w:rPr>
            </w:pPr>
          </w:p>
          <w:p w:rsidR="00E16764" w:rsidP="0052362A" w:rsidRDefault="00E16764" w14:paraId="035BD022" w14:textId="02385629">
            <w:pPr>
              <w:pStyle w:val="ListParagraph"/>
              <w:numPr>
                <w:ilvl w:val="0"/>
                <w:numId w:val="8"/>
              </w:numPr>
              <w:rPr>
                <w:sz w:val="16"/>
                <w:szCs w:val="16"/>
              </w:rPr>
            </w:pPr>
            <w:r>
              <w:rPr>
                <w:b/>
                <w:bCs/>
                <w:sz w:val="16"/>
                <w:szCs w:val="16"/>
              </w:rPr>
              <w:t xml:space="preserve">Versterkte </w:t>
            </w:r>
            <w:r w:rsidR="00EE5E60">
              <w:rPr>
                <w:b/>
                <w:bCs/>
                <w:sz w:val="16"/>
                <w:szCs w:val="16"/>
              </w:rPr>
              <w:t xml:space="preserve">samenwerking met partners </w:t>
            </w:r>
            <w:r w:rsidR="002A4D8E">
              <w:rPr>
                <w:b/>
                <w:bCs/>
                <w:sz w:val="16"/>
                <w:szCs w:val="16"/>
              </w:rPr>
              <w:t>op</w:t>
            </w:r>
            <w:r>
              <w:rPr>
                <w:b/>
                <w:bCs/>
                <w:sz w:val="16"/>
                <w:szCs w:val="16"/>
              </w:rPr>
              <w:t xml:space="preserve"> </w:t>
            </w:r>
            <w:r w:rsidRPr="009152BC" w:rsidR="0052362A">
              <w:rPr>
                <w:b/>
                <w:bCs/>
                <w:sz w:val="16"/>
                <w:szCs w:val="16"/>
              </w:rPr>
              <w:t>conflictbemiddeling</w:t>
            </w:r>
          </w:p>
          <w:p w:rsidRPr="0052362A" w:rsidR="00B96979" w:rsidP="005A2DD4" w:rsidRDefault="00857CA4" w14:paraId="765D1909" w14:textId="3CC8AD87">
            <w:pPr>
              <w:pStyle w:val="ListParagraph"/>
              <w:ind w:left="720"/>
              <w:rPr>
                <w:sz w:val="16"/>
                <w:szCs w:val="16"/>
              </w:rPr>
            </w:pPr>
            <w:r>
              <w:rPr>
                <w:sz w:val="16"/>
                <w:szCs w:val="16"/>
              </w:rPr>
              <w:t>Door bij te dragen aan het v</w:t>
            </w:r>
            <w:r w:rsidRPr="009152BC">
              <w:rPr>
                <w:sz w:val="16"/>
                <w:szCs w:val="16"/>
              </w:rPr>
              <w:t>erminderen van spanningen en geweld en aan het realiseren van (lokale) vredesakkoorden</w:t>
            </w:r>
            <w:r>
              <w:rPr>
                <w:sz w:val="16"/>
                <w:szCs w:val="16"/>
              </w:rPr>
              <w:t xml:space="preserve">, vormen we de basis </w:t>
            </w:r>
            <w:r w:rsidRPr="009152BC">
              <w:rPr>
                <w:sz w:val="16"/>
                <w:szCs w:val="16"/>
              </w:rPr>
              <w:t xml:space="preserve">voor terugkeer van ontheemden en de </w:t>
            </w:r>
            <w:r>
              <w:rPr>
                <w:sz w:val="16"/>
                <w:szCs w:val="16"/>
              </w:rPr>
              <w:t>weder</w:t>
            </w:r>
            <w:r w:rsidRPr="009152BC">
              <w:rPr>
                <w:sz w:val="16"/>
                <w:szCs w:val="16"/>
              </w:rPr>
              <w:t>opbouw van een samenleving.</w:t>
            </w:r>
            <w:r>
              <w:rPr>
                <w:sz w:val="16"/>
                <w:szCs w:val="16"/>
              </w:rPr>
              <w:t xml:space="preserve"> Nederland heeft internationaal een positie</w:t>
            </w:r>
            <w:r w:rsidR="00EE5E60">
              <w:rPr>
                <w:sz w:val="16"/>
                <w:szCs w:val="16"/>
              </w:rPr>
              <w:t xml:space="preserve"> op het terrein van vrede en recht (</w:t>
            </w:r>
            <w:r>
              <w:rPr>
                <w:sz w:val="16"/>
                <w:szCs w:val="16"/>
              </w:rPr>
              <w:t xml:space="preserve">ICC, Vredespaleis, OPCW) en </w:t>
            </w:r>
            <w:r w:rsidR="00EE5E60">
              <w:rPr>
                <w:sz w:val="16"/>
                <w:szCs w:val="16"/>
              </w:rPr>
              <w:t xml:space="preserve">heeft </w:t>
            </w:r>
            <w:r>
              <w:rPr>
                <w:sz w:val="16"/>
                <w:szCs w:val="16"/>
              </w:rPr>
              <w:t>een goed netwerk van professionele onderhandelaars en organisaties. Samen met onze</w:t>
            </w:r>
            <w:r w:rsidRPr="0031305E">
              <w:rPr>
                <w:sz w:val="16"/>
                <w:szCs w:val="16"/>
              </w:rPr>
              <w:t xml:space="preserve"> diplomatieke expertise</w:t>
            </w:r>
            <w:r>
              <w:rPr>
                <w:sz w:val="16"/>
                <w:szCs w:val="16"/>
              </w:rPr>
              <w:t>, en met speciale aandacht voor de rol van vrouwen in vrede en veiligheid,</w:t>
            </w:r>
            <w:r w:rsidRPr="0031305E">
              <w:rPr>
                <w:sz w:val="16"/>
                <w:szCs w:val="16"/>
              </w:rPr>
              <w:t xml:space="preserve"> versterken </w:t>
            </w:r>
            <w:r>
              <w:rPr>
                <w:sz w:val="16"/>
                <w:szCs w:val="16"/>
              </w:rPr>
              <w:t xml:space="preserve">we </w:t>
            </w:r>
            <w:r w:rsidRPr="0031305E">
              <w:rPr>
                <w:sz w:val="16"/>
                <w:szCs w:val="16"/>
              </w:rPr>
              <w:t>onze inzet op</w:t>
            </w:r>
            <w:r>
              <w:rPr>
                <w:sz w:val="16"/>
                <w:szCs w:val="16"/>
              </w:rPr>
              <w:t xml:space="preserve"> bemiddeling en op verzoening en gerechtigheid in transities.</w:t>
            </w:r>
          </w:p>
        </w:tc>
      </w:tr>
      <w:tr w:rsidR="007D5845" w:rsidTr="00385953" w14:paraId="7EA5A1E4" w14:textId="77777777">
        <w:trPr>
          <w:trHeight w:val="1106"/>
        </w:trPr>
        <w:tc>
          <w:tcPr>
            <w:tcW w:w="2143" w:type="dxa"/>
            <w:tcBorders>
              <w:top w:val="single" w:color="017AC6" w:sz="8" w:space="0"/>
              <w:bottom w:val="single" w:color="017AC6" w:sz="8" w:space="0"/>
            </w:tcBorders>
            <w:shd w:val="clear" w:color="auto" w:fill="D5EEF8"/>
          </w:tcPr>
          <w:p w:rsidR="007D5845" w:rsidRDefault="00F51296" w14:paraId="5E0E1842" w14:textId="77777777">
            <w:pPr>
              <w:pStyle w:val="TableParagraph"/>
              <w:spacing w:before="51"/>
              <w:ind w:left="88"/>
              <w:rPr>
                <w:b/>
                <w:sz w:val="16"/>
              </w:rPr>
            </w:pPr>
            <w:r>
              <w:rPr>
                <w:b/>
                <w:sz w:val="16"/>
              </w:rPr>
              <w:t xml:space="preserve">2. </w:t>
            </w:r>
            <w:r>
              <w:rPr>
                <w:b/>
                <w:spacing w:val="-2"/>
                <w:sz w:val="16"/>
              </w:rPr>
              <w:t>Beleidsinstrument(en)</w:t>
            </w:r>
          </w:p>
        </w:tc>
        <w:tc>
          <w:tcPr>
            <w:tcW w:w="6670" w:type="dxa"/>
            <w:gridSpan w:val="9"/>
            <w:tcBorders>
              <w:top w:val="single" w:color="017AC6" w:sz="8" w:space="0"/>
              <w:bottom w:val="single" w:color="017AC6" w:sz="8" w:space="0"/>
            </w:tcBorders>
          </w:tcPr>
          <w:p w:rsidRPr="008C409C" w:rsidR="00C8442E" w:rsidP="008C409C" w:rsidRDefault="00FA762D" w14:paraId="762D32C3" w14:textId="36BA0C79">
            <w:pPr>
              <w:rPr>
                <w:sz w:val="16"/>
                <w:szCs w:val="16"/>
              </w:rPr>
            </w:pPr>
            <w:r w:rsidRPr="008C409C">
              <w:rPr>
                <w:sz w:val="16"/>
                <w:szCs w:val="16"/>
              </w:rPr>
              <w:t xml:space="preserve">In </w:t>
            </w:r>
            <w:r w:rsidRPr="008C409C" w:rsidR="0031305E">
              <w:rPr>
                <w:sz w:val="16"/>
                <w:szCs w:val="16"/>
              </w:rPr>
              <w:t xml:space="preserve">2025 </w:t>
            </w:r>
            <w:r w:rsidRPr="008C409C">
              <w:rPr>
                <w:sz w:val="16"/>
                <w:szCs w:val="16"/>
              </w:rPr>
              <w:t xml:space="preserve">worden </w:t>
            </w:r>
            <w:r w:rsidRPr="008C409C" w:rsidR="00165AFE">
              <w:rPr>
                <w:sz w:val="16"/>
                <w:szCs w:val="16"/>
              </w:rPr>
              <w:t xml:space="preserve">samen met de ambassades, regiodirecties en kennisinstituten, </w:t>
            </w:r>
            <w:r w:rsidRPr="008C409C" w:rsidR="0031305E">
              <w:rPr>
                <w:sz w:val="16"/>
                <w:szCs w:val="16"/>
              </w:rPr>
              <w:t xml:space="preserve">drie </w:t>
            </w:r>
            <w:r w:rsidRPr="008C409C" w:rsidR="00C8442E">
              <w:rPr>
                <w:sz w:val="16"/>
                <w:szCs w:val="16"/>
              </w:rPr>
              <w:t>regio</w:t>
            </w:r>
            <w:r w:rsidRPr="008C409C">
              <w:rPr>
                <w:sz w:val="16"/>
                <w:szCs w:val="16"/>
              </w:rPr>
              <w:t>nale veiligheidsstrategieën</w:t>
            </w:r>
            <w:r w:rsidRPr="008C409C" w:rsidR="0031305E">
              <w:rPr>
                <w:sz w:val="16"/>
                <w:szCs w:val="16"/>
              </w:rPr>
              <w:t xml:space="preserve"> ontwikkeld die de basis vormen voor verdere </w:t>
            </w:r>
            <w:r w:rsidRPr="008C409C" w:rsidR="00015D76">
              <w:rPr>
                <w:sz w:val="16"/>
                <w:szCs w:val="16"/>
              </w:rPr>
              <w:t xml:space="preserve">conflictsensitieve </w:t>
            </w:r>
            <w:r w:rsidRPr="008C409C" w:rsidR="0031305E">
              <w:rPr>
                <w:sz w:val="16"/>
                <w:szCs w:val="16"/>
              </w:rPr>
              <w:t xml:space="preserve">programmering in deze regio’s. </w:t>
            </w:r>
            <w:r w:rsidRPr="008C409C" w:rsidR="00316D9C">
              <w:rPr>
                <w:sz w:val="16"/>
                <w:szCs w:val="16"/>
              </w:rPr>
              <w:t xml:space="preserve">Daarnaast zal Nederland de diplomatieke inzet, onder meer via het lidmaatschap van de </w:t>
            </w:r>
            <w:r w:rsidRPr="008C409C">
              <w:rPr>
                <w:sz w:val="16"/>
                <w:szCs w:val="16"/>
              </w:rPr>
              <w:t xml:space="preserve">VN </w:t>
            </w:r>
            <w:r w:rsidRPr="008C409C" w:rsidR="00316D9C">
              <w:rPr>
                <w:sz w:val="16"/>
                <w:szCs w:val="16"/>
              </w:rPr>
              <w:t>Peacebuilding Commission (2025-2026), inzetten om internationaal meer aandacht te krijgen voor nationaal- en lokaal geleide vredesopbouw waarbij Nederlandse expertise op het v</w:t>
            </w:r>
            <w:r w:rsidRPr="008C409C">
              <w:rPr>
                <w:sz w:val="16"/>
                <w:szCs w:val="16"/>
              </w:rPr>
              <w:t>l</w:t>
            </w:r>
            <w:r w:rsidRPr="008C409C" w:rsidR="00316D9C">
              <w:rPr>
                <w:sz w:val="16"/>
                <w:szCs w:val="16"/>
              </w:rPr>
              <w:t xml:space="preserve">ak van water, </w:t>
            </w:r>
            <w:r w:rsidRPr="008C409C" w:rsidR="00015D76">
              <w:rPr>
                <w:sz w:val="16"/>
                <w:szCs w:val="16"/>
              </w:rPr>
              <w:t xml:space="preserve">voedselzekerheid, </w:t>
            </w:r>
            <w:r w:rsidRPr="008C409C" w:rsidR="00316D9C">
              <w:rPr>
                <w:sz w:val="16"/>
                <w:szCs w:val="16"/>
              </w:rPr>
              <w:t xml:space="preserve">vrede en veiligheid worden gekoppeld aan landen en regio’s waar dit van waarde is. Ook zal NL zich inzetten voor een versterkte </w:t>
            </w:r>
            <w:r w:rsidRPr="008C409C" w:rsidR="00015D76">
              <w:rPr>
                <w:sz w:val="16"/>
                <w:szCs w:val="16"/>
              </w:rPr>
              <w:t xml:space="preserve">internationale </w:t>
            </w:r>
            <w:r w:rsidRPr="008C409C" w:rsidR="00316D9C">
              <w:rPr>
                <w:sz w:val="16"/>
                <w:szCs w:val="16"/>
              </w:rPr>
              <w:t xml:space="preserve">samenhang tussen sectoren zoals veiligheid en ontwikkelingshulp, inclusief de rol van de Internationale </w:t>
            </w:r>
            <w:r w:rsidRPr="008C409C">
              <w:rPr>
                <w:sz w:val="16"/>
                <w:szCs w:val="16"/>
              </w:rPr>
              <w:t>Financiële</w:t>
            </w:r>
            <w:r w:rsidRPr="008C409C" w:rsidR="00316D9C">
              <w:rPr>
                <w:sz w:val="16"/>
                <w:szCs w:val="16"/>
              </w:rPr>
              <w:t xml:space="preserve"> Instellingen</w:t>
            </w:r>
            <w:r w:rsidRPr="008C409C" w:rsidR="0069577D">
              <w:rPr>
                <w:sz w:val="16"/>
                <w:szCs w:val="16"/>
              </w:rPr>
              <w:t xml:space="preserve"> en de private sector</w:t>
            </w:r>
            <w:r w:rsidRPr="008C409C" w:rsidR="00316D9C">
              <w:rPr>
                <w:sz w:val="16"/>
                <w:szCs w:val="16"/>
              </w:rPr>
              <w:t>.</w:t>
            </w:r>
          </w:p>
          <w:p w:rsidRPr="008C1CD3" w:rsidR="00B96979" w:rsidP="00651573" w:rsidRDefault="00B96979" w14:paraId="400B3FE5" w14:textId="77777777">
            <w:pPr>
              <w:pStyle w:val="TableParagraph"/>
              <w:spacing w:before="2" w:line="175" w:lineRule="exact"/>
              <w:rPr>
                <w:iCs/>
                <w:sz w:val="16"/>
              </w:rPr>
            </w:pPr>
          </w:p>
          <w:p w:rsidRPr="008C70FD" w:rsidR="0031305E" w:rsidP="0031305E" w:rsidRDefault="00FA762D" w14:paraId="1958ADCF" w14:textId="135ACBE1">
            <w:pPr>
              <w:pStyle w:val="TableParagraph"/>
              <w:spacing w:before="2" w:line="175" w:lineRule="exact"/>
              <w:rPr>
                <w:iCs/>
                <w:sz w:val="16"/>
              </w:rPr>
            </w:pPr>
            <w:r w:rsidRPr="008C70FD">
              <w:rPr>
                <w:iCs/>
                <w:sz w:val="16"/>
              </w:rPr>
              <w:t>Financieringsinstrumenten</w:t>
            </w:r>
          </w:p>
          <w:p w:rsidR="008C70FD" w:rsidP="008C70FD" w:rsidRDefault="00165AFE" w14:paraId="4D1E89C2" w14:textId="77777777">
            <w:pPr>
              <w:pStyle w:val="TableParagraph"/>
              <w:numPr>
                <w:ilvl w:val="0"/>
                <w:numId w:val="13"/>
              </w:numPr>
              <w:spacing w:before="2" w:line="175" w:lineRule="exact"/>
              <w:rPr>
                <w:iCs/>
                <w:sz w:val="16"/>
              </w:rPr>
            </w:pPr>
            <w:r>
              <w:rPr>
                <w:iCs/>
                <w:sz w:val="16"/>
              </w:rPr>
              <w:t>In elk van de 3 regio’s komen</w:t>
            </w:r>
            <w:r w:rsidRPr="00FC0779" w:rsidR="008C1CD3">
              <w:rPr>
                <w:iCs/>
                <w:sz w:val="16"/>
              </w:rPr>
              <w:t xml:space="preserve"> nieuw op te zetten meerjarige</w:t>
            </w:r>
            <w:r w:rsidR="00EE5E60">
              <w:rPr>
                <w:iCs/>
                <w:sz w:val="16"/>
              </w:rPr>
              <w:t xml:space="preserve"> conflictsensitieve en op de regio toegesneden</w:t>
            </w:r>
            <w:r w:rsidRPr="00FC0779" w:rsidR="008C1CD3">
              <w:rPr>
                <w:iCs/>
                <w:sz w:val="16"/>
              </w:rPr>
              <w:t xml:space="preserve"> partnerschappen met o.a. </w:t>
            </w:r>
            <w:r w:rsidR="00FA762D">
              <w:rPr>
                <w:iCs/>
                <w:sz w:val="16"/>
              </w:rPr>
              <w:t>intergouvernementele-</w:t>
            </w:r>
            <w:r w:rsidRPr="00FC0779" w:rsidR="008C1CD3">
              <w:rPr>
                <w:iCs/>
                <w:sz w:val="16"/>
              </w:rPr>
              <w:t>organisaties</w:t>
            </w:r>
            <w:r w:rsidR="00FA762D">
              <w:rPr>
                <w:iCs/>
                <w:sz w:val="16"/>
              </w:rPr>
              <w:t xml:space="preserve"> (inclusief VN)</w:t>
            </w:r>
            <w:r w:rsidRPr="00FC0779" w:rsidR="008C1CD3">
              <w:rPr>
                <w:iCs/>
                <w:sz w:val="16"/>
              </w:rPr>
              <w:t xml:space="preserve">, internationale </w:t>
            </w:r>
            <w:r w:rsidR="00D251CB">
              <w:rPr>
                <w:iCs/>
                <w:sz w:val="16"/>
              </w:rPr>
              <w:t>f</w:t>
            </w:r>
            <w:r w:rsidRPr="00FC0779" w:rsidR="008C1CD3">
              <w:rPr>
                <w:iCs/>
                <w:sz w:val="16"/>
              </w:rPr>
              <w:t xml:space="preserve">inanciële instellingen en internationale </w:t>
            </w:r>
            <w:r w:rsidR="0043702E">
              <w:rPr>
                <w:iCs/>
                <w:sz w:val="16"/>
              </w:rPr>
              <w:t xml:space="preserve">en Nederlandse </w:t>
            </w:r>
            <w:r w:rsidRPr="00FC0779" w:rsidR="008C1CD3">
              <w:rPr>
                <w:iCs/>
                <w:sz w:val="16"/>
              </w:rPr>
              <w:t>NGO</w:t>
            </w:r>
            <w:r w:rsidR="0043702E">
              <w:rPr>
                <w:iCs/>
                <w:sz w:val="16"/>
              </w:rPr>
              <w:t xml:space="preserve">s. Deze partners werken </w:t>
            </w:r>
            <w:r>
              <w:rPr>
                <w:iCs/>
                <w:sz w:val="16"/>
              </w:rPr>
              <w:t>complementair en</w:t>
            </w:r>
            <w:r w:rsidRPr="00FC0779" w:rsidR="008C1CD3">
              <w:rPr>
                <w:iCs/>
                <w:sz w:val="16"/>
              </w:rPr>
              <w:t xml:space="preserve"> gericht </w:t>
            </w:r>
            <w:r>
              <w:rPr>
                <w:iCs/>
                <w:sz w:val="16"/>
              </w:rPr>
              <w:t xml:space="preserve">werken aan </w:t>
            </w:r>
            <w:r w:rsidRPr="00FC0779" w:rsidR="008C1CD3">
              <w:rPr>
                <w:iCs/>
                <w:sz w:val="16"/>
              </w:rPr>
              <w:t>regionale stabiliteit</w:t>
            </w:r>
            <w:r w:rsidR="00FA762D">
              <w:rPr>
                <w:iCs/>
                <w:sz w:val="16"/>
              </w:rPr>
              <w:t xml:space="preserve"> en veiligheid</w:t>
            </w:r>
            <w:r w:rsidRPr="00FC0779" w:rsidR="008C1CD3">
              <w:rPr>
                <w:iCs/>
                <w:sz w:val="16"/>
              </w:rPr>
              <w:t xml:space="preserve">. </w:t>
            </w:r>
            <w:r w:rsidR="00FC0779">
              <w:rPr>
                <w:iCs/>
                <w:sz w:val="16"/>
              </w:rPr>
              <w:lastRenderedPageBreak/>
              <w:t>Bovendien kan de interactie met specifieke progra</w:t>
            </w:r>
            <w:r w:rsidR="00FA762D">
              <w:rPr>
                <w:iCs/>
                <w:sz w:val="16"/>
              </w:rPr>
              <w:t>m</w:t>
            </w:r>
            <w:r w:rsidR="00FC0779">
              <w:rPr>
                <w:iCs/>
                <w:sz w:val="16"/>
              </w:rPr>
              <w:t xml:space="preserve">ma’s op het terrein van water, voedselzekerheid en gezondheid worden versterkt, opdat deze thematische inzet directer bijdraagt aan </w:t>
            </w:r>
            <w:r w:rsidR="0043702E">
              <w:rPr>
                <w:iCs/>
                <w:sz w:val="16"/>
              </w:rPr>
              <w:t xml:space="preserve">het wegnemen van oorzaken van conflict (denk aan toegang tot waterbronnen) en </w:t>
            </w:r>
            <w:r w:rsidR="00032D06">
              <w:rPr>
                <w:iCs/>
                <w:sz w:val="16"/>
              </w:rPr>
              <w:t xml:space="preserve">een versterkt vertrouwen tussen burger en overheid en (dus) </w:t>
            </w:r>
            <w:r w:rsidR="00FC0779">
              <w:rPr>
                <w:iCs/>
                <w:sz w:val="16"/>
              </w:rPr>
              <w:t>stabiliteit in genoemde regio</w:t>
            </w:r>
            <w:r w:rsidR="00FA762D">
              <w:rPr>
                <w:iCs/>
                <w:sz w:val="16"/>
              </w:rPr>
              <w:t>’s</w:t>
            </w:r>
            <w:r w:rsidR="0043702E">
              <w:rPr>
                <w:iCs/>
                <w:sz w:val="16"/>
              </w:rPr>
              <w:t xml:space="preserve"> (denk aan landrechten)</w:t>
            </w:r>
            <w:r w:rsidR="00FC0779">
              <w:rPr>
                <w:iCs/>
                <w:sz w:val="16"/>
              </w:rPr>
              <w:t xml:space="preserve">. </w:t>
            </w:r>
            <w:r w:rsidR="00154ECC">
              <w:rPr>
                <w:iCs/>
                <w:sz w:val="16"/>
              </w:rPr>
              <w:t>Waar mogelijk zoeken we aansluiting bij Europese initiatieven om de impact nog verder te vergroten.</w:t>
            </w:r>
          </w:p>
          <w:p w:rsidR="008C70FD" w:rsidP="008C70FD" w:rsidRDefault="00D251CB" w14:paraId="336E3C03" w14:textId="45CD0A1D">
            <w:pPr>
              <w:pStyle w:val="TableParagraph"/>
              <w:numPr>
                <w:ilvl w:val="0"/>
                <w:numId w:val="13"/>
              </w:numPr>
              <w:spacing w:before="2" w:line="175" w:lineRule="exact"/>
              <w:rPr>
                <w:iCs/>
                <w:sz w:val="16"/>
              </w:rPr>
            </w:pPr>
            <w:r w:rsidRPr="008C70FD">
              <w:rPr>
                <w:iCs/>
                <w:sz w:val="16"/>
              </w:rPr>
              <w:t xml:space="preserve">We herpakken </w:t>
            </w:r>
            <w:r w:rsidRPr="008C70FD" w:rsidR="00ED2A07">
              <w:rPr>
                <w:iCs/>
                <w:sz w:val="16"/>
              </w:rPr>
              <w:t xml:space="preserve">de eerder afgeslankte rol </w:t>
            </w:r>
            <w:r w:rsidRPr="008C70FD" w:rsidR="00FC0779">
              <w:rPr>
                <w:iCs/>
                <w:sz w:val="16"/>
              </w:rPr>
              <w:t>op het gebied van</w:t>
            </w:r>
            <w:r w:rsidRPr="008C70FD" w:rsidR="0038739F">
              <w:rPr>
                <w:iCs/>
                <w:sz w:val="16"/>
              </w:rPr>
              <w:t xml:space="preserve"> veiligheid </w:t>
            </w:r>
            <w:r w:rsidRPr="008C70FD" w:rsidR="00ED2A07">
              <w:rPr>
                <w:iCs/>
                <w:sz w:val="16"/>
              </w:rPr>
              <w:t xml:space="preserve">en inclusieve stabiliteit, </w:t>
            </w:r>
            <w:r w:rsidRPr="008C70FD" w:rsidR="00FC0779">
              <w:rPr>
                <w:iCs/>
                <w:sz w:val="16"/>
              </w:rPr>
              <w:t xml:space="preserve">o.a. </w:t>
            </w:r>
            <w:r w:rsidRPr="008C70FD" w:rsidR="00ED2A07">
              <w:rPr>
                <w:iCs/>
                <w:sz w:val="16"/>
              </w:rPr>
              <w:t xml:space="preserve">door regionaal en lokaal in te zetten op openbare veiligheid en </w:t>
            </w:r>
            <w:r w:rsidRPr="008C70FD" w:rsidR="00ED2A07">
              <w:rPr>
                <w:i/>
                <w:sz w:val="16"/>
              </w:rPr>
              <w:t>security sector reform</w:t>
            </w:r>
            <w:r w:rsidRPr="008C70FD" w:rsidR="00ED2A07">
              <w:rPr>
                <w:iCs/>
                <w:sz w:val="16"/>
              </w:rPr>
              <w:t xml:space="preserve"> </w:t>
            </w:r>
            <w:r w:rsidRPr="008C70FD" w:rsidR="00FC0779">
              <w:rPr>
                <w:iCs/>
                <w:sz w:val="16"/>
              </w:rPr>
              <w:t>(politie, justitie)</w:t>
            </w:r>
            <w:r w:rsidRPr="008C70FD" w:rsidR="0038739F">
              <w:rPr>
                <w:iCs/>
                <w:sz w:val="16"/>
              </w:rPr>
              <w:t>,</w:t>
            </w:r>
            <w:r w:rsidRPr="008C70FD" w:rsidR="00FC0779">
              <w:rPr>
                <w:iCs/>
                <w:sz w:val="16"/>
              </w:rPr>
              <w:t xml:space="preserve"> </w:t>
            </w:r>
            <w:r w:rsidRPr="008C70FD" w:rsidR="00ED2A07">
              <w:rPr>
                <w:iCs/>
                <w:sz w:val="16"/>
              </w:rPr>
              <w:t xml:space="preserve">toegang tot rechtspraak (waaronder door digitalisering en informele rechtspraak) en het </w:t>
            </w:r>
            <w:r w:rsidRPr="008C70FD" w:rsidR="004C6D4A">
              <w:rPr>
                <w:iCs/>
                <w:sz w:val="16"/>
              </w:rPr>
              <w:t>versterken</w:t>
            </w:r>
            <w:r w:rsidRPr="008C70FD" w:rsidR="00FC0779">
              <w:rPr>
                <w:iCs/>
                <w:sz w:val="16"/>
              </w:rPr>
              <w:t xml:space="preserve"> </w:t>
            </w:r>
            <w:r w:rsidRPr="008C70FD" w:rsidR="004C6D4A">
              <w:rPr>
                <w:iCs/>
                <w:sz w:val="16"/>
              </w:rPr>
              <w:t xml:space="preserve">van </w:t>
            </w:r>
            <w:r w:rsidRPr="008C70FD" w:rsidR="00FC0779">
              <w:rPr>
                <w:iCs/>
                <w:sz w:val="16"/>
              </w:rPr>
              <w:t>lokale politiek en bestuur</w:t>
            </w:r>
            <w:r w:rsidRPr="008C70FD" w:rsidR="00ED2A07">
              <w:rPr>
                <w:iCs/>
                <w:sz w:val="16"/>
              </w:rPr>
              <w:t xml:space="preserve">. </w:t>
            </w:r>
            <w:r w:rsidRPr="008C70FD" w:rsidR="0043702E">
              <w:rPr>
                <w:iCs/>
                <w:sz w:val="16"/>
              </w:rPr>
              <w:t>Er is veel vraag naar deze Nederlandse ondersteuning en vormt vaak een goed aanknopingspunt voor politieke dialoog overheden.</w:t>
            </w:r>
            <w:r w:rsidRPr="008C70FD" w:rsidR="002A4D8E">
              <w:rPr>
                <w:iCs/>
                <w:sz w:val="16"/>
              </w:rPr>
              <w:t xml:space="preserve"> </w:t>
            </w:r>
            <w:r w:rsidRPr="008C70FD" w:rsidR="00ED2A07">
              <w:rPr>
                <w:iCs/>
                <w:sz w:val="16"/>
              </w:rPr>
              <w:t>We doen dit door</w:t>
            </w:r>
            <w:r w:rsidRPr="008C70FD" w:rsidR="00154ECC">
              <w:rPr>
                <w:iCs/>
                <w:sz w:val="16"/>
              </w:rPr>
              <w:t xml:space="preserve"> </w:t>
            </w:r>
            <w:r w:rsidRPr="008C70FD" w:rsidR="00ED2A07">
              <w:rPr>
                <w:iCs/>
                <w:sz w:val="16"/>
              </w:rPr>
              <w:t>recent opgestarte activiteiten</w:t>
            </w:r>
            <w:r w:rsidRPr="008C70FD" w:rsidR="00594F11">
              <w:rPr>
                <w:iCs/>
                <w:sz w:val="16"/>
              </w:rPr>
              <w:t xml:space="preserve"> op te schalen (</w:t>
            </w:r>
            <w:r w:rsidRPr="008C70FD" w:rsidR="0043702E">
              <w:rPr>
                <w:iCs/>
                <w:sz w:val="16"/>
              </w:rPr>
              <w:t>o.a.</w:t>
            </w:r>
            <w:r w:rsidRPr="008C70FD" w:rsidR="00594F11">
              <w:rPr>
                <w:iCs/>
                <w:sz w:val="16"/>
              </w:rPr>
              <w:t xml:space="preserve"> </w:t>
            </w:r>
            <w:r w:rsidRPr="008C70FD" w:rsidR="00E00769">
              <w:rPr>
                <w:iCs/>
                <w:sz w:val="16"/>
              </w:rPr>
              <w:t xml:space="preserve">via </w:t>
            </w:r>
            <w:r w:rsidRPr="008C70FD" w:rsidR="00594F11">
              <w:rPr>
                <w:iCs/>
                <w:sz w:val="16"/>
              </w:rPr>
              <w:t>het programma</w:t>
            </w:r>
            <w:r w:rsidRPr="008C70FD" w:rsidR="00ED2A07">
              <w:rPr>
                <w:iCs/>
                <w:sz w:val="16"/>
              </w:rPr>
              <w:t xml:space="preserve"> </w:t>
            </w:r>
            <w:r w:rsidRPr="008C70FD" w:rsidR="00ED2A07">
              <w:rPr>
                <w:i/>
                <w:sz w:val="16"/>
              </w:rPr>
              <w:t xml:space="preserve">Contributing to Peaceful and Safe </w:t>
            </w:r>
            <w:proofErr w:type="spellStart"/>
            <w:r w:rsidRPr="008C70FD" w:rsidR="00841101">
              <w:rPr>
                <w:i/>
                <w:sz w:val="16"/>
              </w:rPr>
              <w:t>Societies</w:t>
            </w:r>
            <w:proofErr w:type="spellEnd"/>
            <w:r w:rsidRPr="008C70FD" w:rsidR="00841101">
              <w:rPr>
                <w:i/>
                <w:sz w:val="16"/>
              </w:rPr>
              <w:t xml:space="preserve"> (</w:t>
            </w:r>
            <w:r w:rsidRPr="008C70FD" w:rsidR="008C409C">
              <w:rPr>
                <w:i/>
                <w:sz w:val="16"/>
              </w:rPr>
              <w:t>CPSS)</w:t>
            </w:r>
            <w:r w:rsidRPr="008C70FD" w:rsidR="00ED2A07">
              <w:rPr>
                <w:iCs/>
                <w:sz w:val="16"/>
              </w:rPr>
              <w:t xml:space="preserve">), </w:t>
            </w:r>
            <w:r w:rsidRPr="008C70FD" w:rsidR="00E00769">
              <w:rPr>
                <w:iCs/>
                <w:sz w:val="16"/>
              </w:rPr>
              <w:t xml:space="preserve">samen te werken met </w:t>
            </w:r>
            <w:r w:rsidRPr="008C70FD" w:rsidR="00841101">
              <w:rPr>
                <w:iCs/>
                <w:sz w:val="16"/>
              </w:rPr>
              <w:t>het ministerie</w:t>
            </w:r>
            <w:r w:rsidRPr="008C70FD" w:rsidR="00C928F2">
              <w:rPr>
                <w:iCs/>
                <w:sz w:val="16"/>
              </w:rPr>
              <w:t xml:space="preserve"> van </w:t>
            </w:r>
            <w:r w:rsidRPr="008C70FD" w:rsidR="00E00769">
              <w:rPr>
                <w:iCs/>
                <w:sz w:val="16"/>
              </w:rPr>
              <w:t>Justiti</w:t>
            </w:r>
            <w:r w:rsidRPr="008C70FD" w:rsidR="00C928F2">
              <w:rPr>
                <w:iCs/>
                <w:sz w:val="16"/>
              </w:rPr>
              <w:t>e</w:t>
            </w:r>
            <w:r w:rsidRPr="008C70FD" w:rsidR="0043702E">
              <w:rPr>
                <w:iCs/>
                <w:sz w:val="16"/>
              </w:rPr>
              <w:t xml:space="preserve"> </w:t>
            </w:r>
            <w:r w:rsidRPr="008C70FD" w:rsidR="00C928F2">
              <w:rPr>
                <w:iCs/>
                <w:sz w:val="16"/>
              </w:rPr>
              <w:t>&amp; Veiligheid</w:t>
            </w:r>
            <w:r w:rsidRPr="008C70FD" w:rsidR="00E00769">
              <w:rPr>
                <w:iCs/>
                <w:sz w:val="16"/>
              </w:rPr>
              <w:t xml:space="preserve"> en Defensie op het terrein van civiele veiligheid </w:t>
            </w:r>
            <w:r w:rsidRPr="008C70FD" w:rsidR="00594F11">
              <w:rPr>
                <w:iCs/>
                <w:sz w:val="16"/>
              </w:rPr>
              <w:t xml:space="preserve">en een </w:t>
            </w:r>
            <w:r w:rsidRPr="008C70FD" w:rsidR="00ED2A07">
              <w:rPr>
                <w:iCs/>
                <w:sz w:val="16"/>
              </w:rPr>
              <w:t xml:space="preserve">flexibel inzetbaar </w:t>
            </w:r>
            <w:r w:rsidRPr="008C70FD" w:rsidR="00594F11">
              <w:rPr>
                <w:iCs/>
                <w:sz w:val="16"/>
              </w:rPr>
              <w:t xml:space="preserve">financieringskader </w:t>
            </w:r>
            <w:r w:rsidRPr="008C70FD" w:rsidR="00E00769">
              <w:rPr>
                <w:iCs/>
                <w:sz w:val="16"/>
              </w:rPr>
              <w:t xml:space="preserve">te ontwikkelen </w:t>
            </w:r>
            <w:r w:rsidRPr="008C70FD" w:rsidR="00594F11">
              <w:rPr>
                <w:iCs/>
                <w:sz w:val="16"/>
              </w:rPr>
              <w:t xml:space="preserve">voor </w:t>
            </w:r>
            <w:r w:rsidRPr="008C70FD" w:rsidR="007A4408">
              <w:rPr>
                <w:iCs/>
                <w:sz w:val="16"/>
              </w:rPr>
              <w:t>(</w:t>
            </w:r>
            <w:r w:rsidRPr="008C70FD" w:rsidR="00594F11">
              <w:rPr>
                <w:iCs/>
                <w:sz w:val="16"/>
              </w:rPr>
              <w:t>niet-infrastructure</w:t>
            </w:r>
            <w:r w:rsidRPr="008C70FD" w:rsidR="007A4408">
              <w:rPr>
                <w:iCs/>
                <w:sz w:val="16"/>
              </w:rPr>
              <w:t>el) herstel en</w:t>
            </w:r>
            <w:r w:rsidRPr="008C70FD" w:rsidR="00594F11">
              <w:rPr>
                <w:iCs/>
                <w:sz w:val="16"/>
              </w:rPr>
              <w:t xml:space="preserve"> wederopbouw</w:t>
            </w:r>
            <w:r w:rsidRPr="008C70FD" w:rsidR="00154ECC">
              <w:rPr>
                <w:iCs/>
                <w:sz w:val="16"/>
              </w:rPr>
              <w:t xml:space="preserve"> inclusief ontmijning</w:t>
            </w:r>
            <w:r w:rsidRPr="008C70FD" w:rsidR="00594F11">
              <w:rPr>
                <w:iCs/>
                <w:sz w:val="16"/>
              </w:rPr>
              <w:t>.</w:t>
            </w:r>
          </w:p>
          <w:p w:rsidRPr="008C70FD" w:rsidR="00B96979" w:rsidP="008C70FD" w:rsidRDefault="00E00769" w14:paraId="0971BE8D" w14:textId="6E043B92">
            <w:pPr>
              <w:pStyle w:val="TableParagraph"/>
              <w:numPr>
                <w:ilvl w:val="0"/>
                <w:numId w:val="13"/>
              </w:numPr>
              <w:spacing w:before="2" w:line="175" w:lineRule="exact"/>
              <w:rPr>
                <w:iCs/>
                <w:sz w:val="16"/>
              </w:rPr>
            </w:pPr>
            <w:r w:rsidRPr="008C70FD">
              <w:rPr>
                <w:iCs/>
                <w:sz w:val="16"/>
              </w:rPr>
              <w:t xml:space="preserve">We ontwikkelen een platform voor </w:t>
            </w:r>
            <w:r w:rsidRPr="008C70FD" w:rsidR="004C6D4A">
              <w:rPr>
                <w:iCs/>
                <w:sz w:val="16"/>
              </w:rPr>
              <w:t>conflictbemiddeling</w:t>
            </w:r>
            <w:r w:rsidRPr="008C70FD">
              <w:rPr>
                <w:iCs/>
                <w:sz w:val="16"/>
              </w:rPr>
              <w:t xml:space="preserve"> en vredesopbouw</w:t>
            </w:r>
            <w:r w:rsidRPr="008C70FD" w:rsidR="004C6D4A">
              <w:rPr>
                <w:iCs/>
                <w:sz w:val="16"/>
              </w:rPr>
              <w:t xml:space="preserve"> waar</w:t>
            </w:r>
            <w:r w:rsidRPr="008C70FD" w:rsidR="00FA762D">
              <w:rPr>
                <w:iCs/>
                <w:sz w:val="16"/>
              </w:rPr>
              <w:t xml:space="preserve"> we </w:t>
            </w:r>
            <w:r w:rsidRPr="008C70FD" w:rsidR="00154ECC">
              <w:rPr>
                <w:iCs/>
                <w:sz w:val="16"/>
              </w:rPr>
              <w:t xml:space="preserve">professionele en diplomatieke inzet </w:t>
            </w:r>
            <w:proofErr w:type="spellStart"/>
            <w:r w:rsidRPr="008C70FD" w:rsidR="004C6D4A">
              <w:rPr>
                <w:iCs/>
                <w:sz w:val="16"/>
              </w:rPr>
              <w:t>vraaggestuurd</w:t>
            </w:r>
            <w:proofErr w:type="spellEnd"/>
            <w:r w:rsidRPr="008C70FD" w:rsidR="004C6D4A">
              <w:rPr>
                <w:iCs/>
                <w:sz w:val="16"/>
              </w:rPr>
              <w:t xml:space="preserve"> en flexibel </w:t>
            </w:r>
            <w:r w:rsidRPr="008C70FD" w:rsidR="00154ECC">
              <w:rPr>
                <w:iCs/>
                <w:sz w:val="16"/>
              </w:rPr>
              <w:t xml:space="preserve">op elkaar kunnen afstemmen. </w:t>
            </w:r>
            <w:r w:rsidRPr="008C70FD" w:rsidR="0043702E">
              <w:rPr>
                <w:iCs/>
                <w:sz w:val="16"/>
              </w:rPr>
              <w:t xml:space="preserve">Hierbij </w:t>
            </w:r>
            <w:r w:rsidRPr="008C70FD" w:rsidR="00154ECC">
              <w:rPr>
                <w:iCs/>
                <w:sz w:val="16"/>
              </w:rPr>
              <w:t>werken</w:t>
            </w:r>
            <w:r w:rsidRPr="008C70FD" w:rsidR="0043702E">
              <w:rPr>
                <w:iCs/>
                <w:sz w:val="16"/>
              </w:rPr>
              <w:t xml:space="preserve"> we complementa</w:t>
            </w:r>
            <w:r w:rsidRPr="008C70FD" w:rsidR="00154ECC">
              <w:rPr>
                <w:iCs/>
                <w:sz w:val="16"/>
              </w:rPr>
              <w:t xml:space="preserve">ir aan landen die al een leidende rol op conflictbemiddeling of vredesopbouw hebben. </w:t>
            </w:r>
          </w:p>
          <w:p w:rsidR="008F4EF7" w:rsidP="007A4408" w:rsidRDefault="008F4EF7" w14:paraId="4DA1AD28" w14:textId="77777777">
            <w:pPr>
              <w:pStyle w:val="TableParagraph"/>
              <w:spacing w:before="2" w:line="175" w:lineRule="exact"/>
              <w:rPr>
                <w:iCs/>
                <w:sz w:val="16"/>
              </w:rPr>
            </w:pPr>
          </w:p>
          <w:p w:rsidRPr="00154ECC" w:rsidR="00154ECC" w:rsidP="008C70FD" w:rsidRDefault="007A4408" w14:paraId="12C730BE" w14:textId="5F11C5F9">
            <w:pPr>
              <w:pStyle w:val="TableParagraph"/>
              <w:spacing w:before="2" w:line="175" w:lineRule="exact"/>
              <w:rPr>
                <w:iCs/>
                <w:sz w:val="16"/>
              </w:rPr>
            </w:pPr>
            <w:r>
              <w:rPr>
                <w:iCs/>
                <w:sz w:val="16"/>
              </w:rPr>
              <w:t xml:space="preserve">Bovengenoemde financieringsinstrumenten worden nieuw ontwikkeld, in aanvulling op bestaande subsidiekadersvoor meerjarige programmering (waaronder het </w:t>
            </w:r>
            <w:r w:rsidR="00841101">
              <w:rPr>
                <w:iCs/>
                <w:sz w:val="16"/>
              </w:rPr>
              <w:t>eerdergenoemde</w:t>
            </w:r>
            <w:r>
              <w:rPr>
                <w:iCs/>
                <w:sz w:val="16"/>
              </w:rPr>
              <w:t xml:space="preserve"> CPSS en voor ontmijning) en het beleidskader voor </w:t>
            </w:r>
            <w:r w:rsidR="00841101">
              <w:rPr>
                <w:iCs/>
                <w:sz w:val="16"/>
              </w:rPr>
              <w:t>geïntegreerde</w:t>
            </w:r>
            <w:r>
              <w:rPr>
                <w:iCs/>
                <w:sz w:val="16"/>
              </w:rPr>
              <w:t xml:space="preserve"> inzet op stabilisering (Stabilisatiefonds, BZ-begroting). </w:t>
            </w:r>
          </w:p>
        </w:tc>
      </w:tr>
      <w:tr w:rsidR="00B96979" w:rsidTr="00385953" w14:paraId="156704F2"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91"/>
        </w:trPr>
        <w:tc>
          <w:tcPr>
            <w:tcW w:w="2143" w:type="dxa"/>
            <w:vMerge w:val="restart"/>
            <w:tcBorders>
              <w:left w:val="nil"/>
              <w:right w:val="nil"/>
            </w:tcBorders>
            <w:shd w:val="clear" w:color="auto" w:fill="D5EEF8"/>
          </w:tcPr>
          <w:p w:rsidR="00B96979" w:rsidP="003B57A7" w:rsidRDefault="00B96979" w14:paraId="0BB71229" w14:textId="77777777">
            <w:pPr>
              <w:pStyle w:val="TableParagraph"/>
              <w:spacing w:before="51"/>
              <w:ind w:left="93"/>
              <w:rPr>
                <w:b/>
                <w:sz w:val="16"/>
              </w:rPr>
            </w:pPr>
            <w:r>
              <w:rPr>
                <w:b/>
                <w:spacing w:val="-5"/>
                <w:sz w:val="16"/>
              </w:rPr>
              <w:lastRenderedPageBreak/>
              <w:t>3.</w:t>
            </w:r>
          </w:p>
          <w:p w:rsidR="00B96979" w:rsidP="003B57A7" w:rsidRDefault="00B96979" w14:paraId="094055B6" w14:textId="6667F913">
            <w:pPr>
              <w:pStyle w:val="TableParagraph"/>
              <w:spacing w:before="61" w:line="249" w:lineRule="auto"/>
              <w:ind w:left="93" w:right="57"/>
              <w:rPr>
                <w:b/>
                <w:sz w:val="16"/>
              </w:rPr>
            </w:pPr>
            <w:r>
              <w:rPr>
                <w:b/>
                <w:sz w:val="16"/>
              </w:rPr>
              <w:t>A.</w:t>
            </w:r>
            <w:r>
              <w:rPr>
                <w:b/>
                <w:spacing w:val="-10"/>
                <w:sz w:val="16"/>
              </w:rPr>
              <w:t xml:space="preserve"> </w:t>
            </w:r>
            <w:r>
              <w:rPr>
                <w:b/>
                <w:sz w:val="16"/>
              </w:rPr>
              <w:t>Financiële</w:t>
            </w:r>
            <w:r>
              <w:rPr>
                <w:b/>
                <w:spacing w:val="-9"/>
                <w:sz w:val="16"/>
              </w:rPr>
              <w:t xml:space="preserve"> </w:t>
            </w:r>
            <w:r>
              <w:rPr>
                <w:b/>
                <w:sz w:val="16"/>
              </w:rPr>
              <w:t>gevolgen</w:t>
            </w:r>
            <w:r>
              <w:rPr>
                <w:b/>
                <w:spacing w:val="40"/>
                <w:sz w:val="16"/>
              </w:rPr>
              <w:t xml:space="preserve"> </w:t>
            </w:r>
            <w:r>
              <w:rPr>
                <w:b/>
                <w:sz w:val="16"/>
              </w:rPr>
              <w:t>voor het Rij</w:t>
            </w:r>
            <w:r w:rsidR="008C409C">
              <w:rPr>
                <w:b/>
                <w:sz w:val="16"/>
              </w:rPr>
              <w:t xml:space="preserve">k </w:t>
            </w:r>
          </w:p>
        </w:tc>
        <w:tc>
          <w:tcPr>
            <w:tcW w:w="6653" w:type="dxa"/>
            <w:gridSpan w:val="8"/>
            <w:tcBorders>
              <w:left w:val="nil"/>
              <w:bottom w:val="single" w:color="000000" w:sz="4" w:space="0"/>
              <w:right w:val="nil"/>
            </w:tcBorders>
          </w:tcPr>
          <w:p w:rsidRPr="008C70FD" w:rsidR="00DF3275" w:rsidP="008C70FD" w:rsidRDefault="00B96979" w14:paraId="0424DE0B" w14:textId="4ED97628">
            <w:pPr>
              <w:pStyle w:val="TableParagraph"/>
              <w:spacing w:line="171" w:lineRule="exact"/>
              <w:ind w:left="-5"/>
              <w:rPr>
                <w:spacing w:val="-2"/>
                <w:sz w:val="16"/>
              </w:rPr>
            </w:pPr>
            <w:r>
              <w:rPr>
                <w:sz w:val="16"/>
              </w:rPr>
              <w:t>Bedrag</w:t>
            </w:r>
            <w:r>
              <w:rPr>
                <w:spacing w:val="-3"/>
                <w:sz w:val="16"/>
              </w:rPr>
              <w:t xml:space="preserve"> </w:t>
            </w:r>
            <w:r>
              <w:rPr>
                <w:sz w:val="16"/>
              </w:rPr>
              <w:t>x</w:t>
            </w:r>
            <w:r>
              <w:rPr>
                <w:spacing w:val="-3"/>
                <w:sz w:val="16"/>
              </w:rPr>
              <w:t xml:space="preserve"> </w:t>
            </w:r>
            <w:r>
              <w:rPr>
                <w:sz w:val="16"/>
              </w:rPr>
              <w:t>EUR</w:t>
            </w:r>
            <w:r>
              <w:rPr>
                <w:spacing w:val="-3"/>
                <w:sz w:val="16"/>
              </w:rPr>
              <w:t xml:space="preserve"> </w:t>
            </w:r>
            <w:r>
              <w:rPr>
                <w:spacing w:val="-2"/>
                <w:sz w:val="16"/>
              </w:rPr>
              <w:t>miljoen</w:t>
            </w:r>
          </w:p>
        </w:tc>
      </w:tr>
      <w:tr w:rsidR="00510AEA" w:rsidTr="00510AEA" w14:paraId="4B7F2748"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2"/>
          <w:wAfter w:w="716" w:type="dxa"/>
          <w:trHeight w:val="231"/>
        </w:trPr>
        <w:tc>
          <w:tcPr>
            <w:tcW w:w="2143" w:type="dxa"/>
            <w:vMerge/>
            <w:tcBorders>
              <w:top w:val="nil"/>
              <w:left w:val="nil"/>
              <w:right w:val="nil"/>
            </w:tcBorders>
            <w:shd w:val="clear" w:color="auto" w:fill="D5EEF8"/>
          </w:tcPr>
          <w:p w:rsidR="00510AEA" w:rsidP="00FC0131" w:rsidRDefault="00510AEA" w14:paraId="2C356D31" w14:textId="77777777">
            <w:pPr>
              <w:rPr>
                <w:sz w:val="2"/>
                <w:szCs w:val="2"/>
              </w:rPr>
            </w:pPr>
          </w:p>
        </w:tc>
        <w:tc>
          <w:tcPr>
            <w:tcW w:w="1276" w:type="dxa"/>
            <w:tcBorders>
              <w:top w:val="single" w:color="000000" w:sz="4" w:space="0"/>
              <w:left w:val="single" w:color="000000" w:sz="4" w:space="0"/>
              <w:bottom w:val="single" w:color="000000" w:sz="4" w:space="0"/>
              <w:right w:val="single" w:color="000000" w:sz="4" w:space="0"/>
            </w:tcBorders>
          </w:tcPr>
          <w:p w:rsidR="00510AEA" w:rsidP="00FC0131" w:rsidRDefault="00510AEA" w14:paraId="18AAA9E6" w14:textId="77777777">
            <w:pPr>
              <w:pStyle w:val="TableParagraph"/>
              <w:rPr>
                <w:rFonts w:ascii="Times New Roman"/>
                <w:sz w:val="16"/>
              </w:rPr>
            </w:pPr>
          </w:p>
        </w:tc>
        <w:tc>
          <w:tcPr>
            <w:tcW w:w="1587"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66449FC3" w14:textId="77777777">
            <w:pPr>
              <w:pStyle w:val="TableParagraph"/>
              <w:rPr>
                <w:rFonts w:ascii="Times New Roman"/>
                <w:sz w:val="16"/>
                <w:szCs w:val="16"/>
              </w:rPr>
            </w:pPr>
          </w:p>
        </w:tc>
        <w:tc>
          <w:tcPr>
            <w:tcW w:w="631"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71B1F96B" w14:textId="68B9B1D8">
            <w:pPr>
              <w:pStyle w:val="TableParagraph"/>
              <w:spacing w:before="17" w:line="194" w:lineRule="exact"/>
              <w:ind w:left="41"/>
              <w:rPr>
                <w:b/>
                <w:sz w:val="16"/>
                <w:szCs w:val="16"/>
              </w:rPr>
            </w:pPr>
            <w:r w:rsidRPr="0052362A">
              <w:rPr>
                <w:sz w:val="16"/>
                <w:szCs w:val="16"/>
              </w:rPr>
              <w:t>2026</w:t>
            </w:r>
          </w:p>
        </w:tc>
        <w:tc>
          <w:tcPr>
            <w:tcW w:w="631"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53BA6832" w14:textId="12DE8766">
            <w:pPr>
              <w:pStyle w:val="TableParagraph"/>
              <w:spacing w:before="17" w:line="194" w:lineRule="exact"/>
              <w:ind w:left="70"/>
              <w:rPr>
                <w:b/>
                <w:sz w:val="16"/>
                <w:szCs w:val="16"/>
              </w:rPr>
            </w:pPr>
            <w:r w:rsidRPr="0052362A">
              <w:rPr>
                <w:sz w:val="16"/>
                <w:szCs w:val="16"/>
              </w:rPr>
              <w:t>2027</w:t>
            </w:r>
          </w:p>
        </w:tc>
        <w:tc>
          <w:tcPr>
            <w:tcW w:w="633"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313C166A" w14:textId="6F6A1A53">
            <w:pPr>
              <w:pStyle w:val="TableParagraph"/>
              <w:spacing w:before="17" w:line="194" w:lineRule="exact"/>
              <w:ind w:left="72"/>
              <w:rPr>
                <w:b/>
                <w:sz w:val="16"/>
                <w:szCs w:val="16"/>
              </w:rPr>
            </w:pPr>
            <w:r w:rsidRPr="0052362A">
              <w:rPr>
                <w:sz w:val="16"/>
                <w:szCs w:val="16"/>
              </w:rPr>
              <w:t>2028</w:t>
            </w:r>
          </w:p>
        </w:tc>
        <w:tc>
          <w:tcPr>
            <w:tcW w:w="631"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6934A896" w14:textId="6EC09714">
            <w:pPr>
              <w:pStyle w:val="TableParagraph"/>
              <w:spacing w:before="17" w:line="194" w:lineRule="exact"/>
              <w:ind w:left="70"/>
              <w:rPr>
                <w:b/>
                <w:sz w:val="16"/>
                <w:szCs w:val="16"/>
              </w:rPr>
            </w:pPr>
            <w:r w:rsidRPr="0052362A">
              <w:rPr>
                <w:sz w:val="16"/>
                <w:szCs w:val="16"/>
              </w:rPr>
              <w:t>2029</w:t>
            </w:r>
          </w:p>
        </w:tc>
        <w:tc>
          <w:tcPr>
            <w:tcW w:w="565" w:type="dxa"/>
            <w:tcBorders>
              <w:top w:val="single" w:color="000000" w:sz="4" w:space="0"/>
              <w:left w:val="single" w:color="000000" w:sz="4" w:space="0"/>
              <w:bottom w:val="single" w:color="000000" w:sz="4" w:space="0"/>
              <w:right w:val="single" w:color="000000" w:sz="4" w:space="0"/>
            </w:tcBorders>
          </w:tcPr>
          <w:p w:rsidRPr="0052362A" w:rsidR="00510AEA" w:rsidP="00FC0131" w:rsidRDefault="00510AEA" w14:paraId="243478A8" w14:textId="1DBC1C72">
            <w:pPr>
              <w:pStyle w:val="TableParagraph"/>
              <w:spacing w:before="17" w:line="194" w:lineRule="exact"/>
              <w:ind w:left="71"/>
              <w:rPr>
                <w:b/>
                <w:sz w:val="16"/>
                <w:szCs w:val="16"/>
              </w:rPr>
            </w:pPr>
            <w:r w:rsidRPr="0052362A">
              <w:rPr>
                <w:sz w:val="16"/>
                <w:szCs w:val="16"/>
              </w:rPr>
              <w:t>2030</w:t>
            </w:r>
          </w:p>
        </w:tc>
      </w:tr>
      <w:tr w:rsidR="00510AEA" w:rsidTr="00510AEA" w14:paraId="7545C1CB"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2"/>
          <w:wAfter w:w="716" w:type="dxa"/>
          <w:trHeight w:val="234"/>
        </w:trPr>
        <w:tc>
          <w:tcPr>
            <w:tcW w:w="2143" w:type="dxa"/>
            <w:vMerge/>
            <w:tcBorders>
              <w:top w:val="nil"/>
              <w:left w:val="nil"/>
              <w:right w:val="nil"/>
            </w:tcBorders>
            <w:shd w:val="clear" w:color="auto" w:fill="D5EEF8"/>
          </w:tcPr>
          <w:p w:rsidR="00510AEA" w:rsidP="00FC0131" w:rsidRDefault="00510AEA" w14:paraId="6812DDE7" w14:textId="77777777">
            <w:pPr>
              <w:rPr>
                <w:sz w:val="2"/>
                <w:szCs w:val="2"/>
              </w:rPr>
            </w:pPr>
          </w:p>
        </w:tc>
        <w:tc>
          <w:tcPr>
            <w:tcW w:w="1276" w:type="dxa"/>
            <w:tcBorders>
              <w:top w:val="single" w:color="000000" w:sz="4" w:space="0"/>
              <w:left w:val="single" w:color="000000" w:sz="4" w:space="0"/>
              <w:bottom w:val="single" w:color="000000" w:sz="4" w:space="0"/>
              <w:right w:val="single" w:color="000000" w:sz="4" w:space="0"/>
            </w:tcBorders>
          </w:tcPr>
          <w:p w:rsidR="00510AEA" w:rsidP="00FC0131" w:rsidRDefault="00510AEA" w14:paraId="36D7E493" w14:textId="53FF5E92">
            <w:pPr>
              <w:pStyle w:val="TableParagraph"/>
              <w:spacing w:before="20" w:line="194" w:lineRule="exact"/>
              <w:rPr>
                <w:b/>
                <w:sz w:val="16"/>
              </w:rPr>
            </w:pPr>
            <w:r>
              <w:rPr>
                <w:b/>
                <w:spacing w:val="-2"/>
                <w:sz w:val="16"/>
              </w:rPr>
              <w:t>Artikelonderdeel</w:t>
            </w:r>
          </w:p>
        </w:tc>
        <w:tc>
          <w:tcPr>
            <w:tcW w:w="1587" w:type="dxa"/>
            <w:tcBorders>
              <w:top w:val="single" w:color="000000" w:sz="4" w:space="0"/>
              <w:left w:val="single" w:color="000000" w:sz="4" w:space="0"/>
              <w:bottom w:val="single" w:color="000000" w:sz="4" w:space="0"/>
              <w:right w:val="single" w:color="000000" w:sz="4" w:space="0"/>
            </w:tcBorders>
          </w:tcPr>
          <w:p w:rsidRPr="0083415F" w:rsidR="00510AEA" w:rsidP="00FC0131" w:rsidRDefault="00510AEA" w14:paraId="1368A655" w14:textId="74A2D729">
            <w:pPr>
              <w:pStyle w:val="TableParagraph"/>
              <w:rPr>
                <w:rFonts w:ascii="Times New Roman"/>
                <w:b/>
                <w:bCs/>
                <w:sz w:val="16"/>
                <w:szCs w:val="16"/>
              </w:rPr>
            </w:pPr>
            <w:r w:rsidRPr="0083415F">
              <w:rPr>
                <w:b/>
                <w:bCs/>
                <w:sz w:val="16"/>
                <w:szCs w:val="16"/>
              </w:rPr>
              <w:t xml:space="preserve">Veiligheid en </w:t>
            </w:r>
            <w:r w:rsidRPr="0083415F" w:rsidR="0083415F">
              <w:rPr>
                <w:b/>
                <w:bCs/>
                <w:sz w:val="16"/>
                <w:szCs w:val="16"/>
              </w:rPr>
              <w:t>stabiliteit</w:t>
            </w:r>
          </w:p>
        </w:tc>
        <w:tc>
          <w:tcPr>
            <w:tcW w:w="631" w:type="dxa"/>
            <w:tcBorders>
              <w:top w:val="single" w:color="000000" w:sz="4" w:space="0"/>
              <w:left w:val="single" w:color="000000" w:sz="4" w:space="0"/>
              <w:bottom w:val="single" w:color="000000" w:sz="4" w:space="0"/>
              <w:right w:val="single" w:color="000000" w:sz="4" w:space="0"/>
            </w:tcBorders>
          </w:tcPr>
          <w:p w:rsidRPr="00F90FDB" w:rsidR="00510AEA" w:rsidP="00FC0131" w:rsidRDefault="00510AEA" w14:paraId="30C1D6EF" w14:textId="2B9AC42C">
            <w:pPr>
              <w:pStyle w:val="TableParagraph"/>
              <w:rPr>
                <w:rFonts w:ascii="Times New Roman"/>
                <w:b/>
                <w:bCs/>
                <w:sz w:val="16"/>
                <w:szCs w:val="16"/>
              </w:rPr>
            </w:pPr>
            <w:r w:rsidRPr="00F90FDB">
              <w:rPr>
                <w:b/>
                <w:bCs/>
                <w:sz w:val="16"/>
                <w:szCs w:val="16"/>
              </w:rPr>
              <w:t xml:space="preserve">205 </w:t>
            </w:r>
          </w:p>
        </w:tc>
        <w:tc>
          <w:tcPr>
            <w:tcW w:w="631" w:type="dxa"/>
            <w:tcBorders>
              <w:top w:val="single" w:color="000000" w:sz="4" w:space="0"/>
              <w:left w:val="single" w:color="000000" w:sz="4" w:space="0"/>
              <w:bottom w:val="single" w:color="000000" w:sz="4" w:space="0"/>
              <w:right w:val="single" w:color="000000" w:sz="4" w:space="0"/>
            </w:tcBorders>
          </w:tcPr>
          <w:p w:rsidRPr="00F90FDB" w:rsidR="00510AEA" w:rsidP="00FC0131" w:rsidRDefault="00510AEA" w14:paraId="175F5050" w14:textId="03767FA8">
            <w:pPr>
              <w:pStyle w:val="TableParagraph"/>
              <w:rPr>
                <w:rFonts w:ascii="Times New Roman"/>
                <w:b/>
                <w:bCs/>
                <w:sz w:val="16"/>
                <w:szCs w:val="16"/>
              </w:rPr>
            </w:pPr>
            <w:r w:rsidRPr="00F90FDB">
              <w:rPr>
                <w:b/>
                <w:bCs/>
                <w:sz w:val="16"/>
                <w:szCs w:val="16"/>
              </w:rPr>
              <w:t>221</w:t>
            </w:r>
          </w:p>
        </w:tc>
        <w:tc>
          <w:tcPr>
            <w:tcW w:w="633" w:type="dxa"/>
            <w:tcBorders>
              <w:top w:val="single" w:color="000000" w:sz="4" w:space="0"/>
              <w:left w:val="single" w:color="000000" w:sz="4" w:space="0"/>
              <w:bottom w:val="single" w:color="000000" w:sz="4" w:space="0"/>
              <w:right w:val="single" w:color="000000" w:sz="4" w:space="0"/>
            </w:tcBorders>
          </w:tcPr>
          <w:p w:rsidRPr="00F90FDB" w:rsidR="00510AEA" w:rsidP="00FC0131" w:rsidRDefault="00510AEA" w14:paraId="3E98DD76" w14:textId="780C6D52">
            <w:pPr>
              <w:pStyle w:val="TableParagraph"/>
              <w:rPr>
                <w:rFonts w:ascii="Times New Roman"/>
                <w:b/>
                <w:bCs/>
                <w:sz w:val="16"/>
                <w:szCs w:val="16"/>
              </w:rPr>
            </w:pPr>
            <w:r w:rsidRPr="00F90FDB">
              <w:rPr>
                <w:b/>
                <w:bCs/>
                <w:sz w:val="16"/>
                <w:szCs w:val="16"/>
              </w:rPr>
              <w:t>255</w:t>
            </w:r>
          </w:p>
        </w:tc>
        <w:tc>
          <w:tcPr>
            <w:tcW w:w="631" w:type="dxa"/>
            <w:tcBorders>
              <w:top w:val="single" w:color="000000" w:sz="4" w:space="0"/>
              <w:left w:val="single" w:color="000000" w:sz="4" w:space="0"/>
              <w:bottom w:val="single" w:color="000000" w:sz="4" w:space="0"/>
              <w:right w:val="single" w:color="000000" w:sz="4" w:space="0"/>
            </w:tcBorders>
          </w:tcPr>
          <w:p w:rsidRPr="00F90FDB" w:rsidR="00510AEA" w:rsidP="00FC0131" w:rsidRDefault="00510AEA" w14:paraId="0974CDE3" w14:textId="36814EF6">
            <w:pPr>
              <w:pStyle w:val="TableParagraph"/>
              <w:rPr>
                <w:rFonts w:ascii="Times New Roman"/>
                <w:b/>
                <w:bCs/>
                <w:sz w:val="16"/>
                <w:szCs w:val="16"/>
              </w:rPr>
            </w:pPr>
            <w:r w:rsidRPr="00F90FDB">
              <w:rPr>
                <w:b/>
                <w:bCs/>
                <w:sz w:val="16"/>
                <w:szCs w:val="16"/>
              </w:rPr>
              <w:t>281</w:t>
            </w:r>
          </w:p>
        </w:tc>
        <w:tc>
          <w:tcPr>
            <w:tcW w:w="565" w:type="dxa"/>
            <w:tcBorders>
              <w:top w:val="single" w:color="000000" w:sz="4" w:space="0"/>
              <w:left w:val="single" w:color="000000" w:sz="4" w:space="0"/>
              <w:bottom w:val="single" w:color="000000" w:sz="4" w:space="0"/>
              <w:right w:val="single" w:color="000000" w:sz="4" w:space="0"/>
            </w:tcBorders>
          </w:tcPr>
          <w:p w:rsidRPr="00F90FDB" w:rsidR="00510AEA" w:rsidP="00FC0131" w:rsidRDefault="00510AEA" w14:paraId="610B4505" w14:textId="5538548C">
            <w:pPr>
              <w:pStyle w:val="TableParagraph"/>
              <w:rPr>
                <w:rFonts w:ascii="Times New Roman"/>
                <w:b/>
                <w:bCs/>
                <w:sz w:val="16"/>
                <w:szCs w:val="16"/>
              </w:rPr>
            </w:pPr>
            <w:r w:rsidRPr="00F90FDB">
              <w:rPr>
                <w:b/>
                <w:bCs/>
                <w:sz w:val="16"/>
                <w:szCs w:val="16"/>
              </w:rPr>
              <w:t>281</w:t>
            </w:r>
          </w:p>
        </w:tc>
      </w:tr>
      <w:tr w:rsidR="00154ECC" w:rsidTr="00510AEA" w14:paraId="4283B60F"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9"/>
          <w:wAfter w:w="6670" w:type="dxa"/>
          <w:trHeight w:val="234"/>
        </w:trPr>
        <w:tc>
          <w:tcPr>
            <w:tcW w:w="2143" w:type="dxa"/>
            <w:vMerge/>
            <w:tcBorders>
              <w:top w:val="nil"/>
              <w:left w:val="nil"/>
              <w:right w:val="nil"/>
            </w:tcBorders>
            <w:shd w:val="clear" w:color="auto" w:fill="D5EEF8"/>
          </w:tcPr>
          <w:p w:rsidR="00154ECC" w:rsidP="00DF3275" w:rsidRDefault="00154ECC" w14:paraId="166892DB" w14:textId="77777777">
            <w:pPr>
              <w:rPr>
                <w:sz w:val="2"/>
                <w:szCs w:val="2"/>
              </w:rPr>
            </w:pPr>
          </w:p>
        </w:tc>
      </w:tr>
      <w:tr w:rsidR="00B96979" w:rsidTr="00385953" w14:paraId="5F20A53F"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263"/>
        </w:trPr>
        <w:tc>
          <w:tcPr>
            <w:tcW w:w="2143" w:type="dxa"/>
            <w:vMerge/>
            <w:tcBorders>
              <w:top w:val="nil"/>
              <w:left w:val="nil"/>
              <w:right w:val="nil"/>
            </w:tcBorders>
            <w:shd w:val="clear" w:color="auto" w:fill="D5EEF8"/>
          </w:tcPr>
          <w:p w:rsidR="00B96979" w:rsidP="003B57A7" w:rsidRDefault="00B96979" w14:paraId="3433EB6F" w14:textId="77777777">
            <w:pPr>
              <w:rPr>
                <w:sz w:val="2"/>
                <w:szCs w:val="2"/>
              </w:rPr>
            </w:pPr>
          </w:p>
        </w:tc>
        <w:tc>
          <w:tcPr>
            <w:tcW w:w="6653" w:type="dxa"/>
            <w:gridSpan w:val="8"/>
            <w:tcBorders>
              <w:top w:val="single" w:color="000000" w:sz="4" w:space="0"/>
              <w:left w:val="nil"/>
              <w:right w:val="nil"/>
            </w:tcBorders>
          </w:tcPr>
          <w:p w:rsidRPr="008C70FD" w:rsidR="007E4A65" w:rsidP="008C70FD" w:rsidRDefault="008C409C" w14:paraId="78548FE1" w14:textId="098781F2">
            <w:pPr>
              <w:pStyle w:val="TableParagraph"/>
              <w:spacing w:line="189" w:lineRule="exact"/>
              <w:rPr>
                <w:color w:val="FF0000"/>
                <w:sz w:val="16"/>
              </w:rPr>
            </w:pPr>
            <w:r>
              <w:rPr>
                <w:spacing w:val="-4"/>
                <w:sz w:val="16"/>
              </w:rPr>
              <w:t>D</w:t>
            </w:r>
            <w:r w:rsidRPr="007E4A65" w:rsidR="007E4A65">
              <w:rPr>
                <w:sz w:val="16"/>
              </w:rPr>
              <w:t>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r w:rsidR="008C70FD">
              <w:rPr>
                <w:sz w:val="16"/>
              </w:rPr>
              <w:t>.</w:t>
            </w:r>
          </w:p>
        </w:tc>
      </w:tr>
      <w:tr w:rsidR="00B96979" w:rsidTr="00385953" w14:paraId="68F34B9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637"/>
        </w:trPr>
        <w:tc>
          <w:tcPr>
            <w:tcW w:w="2143" w:type="dxa"/>
            <w:tcBorders>
              <w:left w:val="nil"/>
              <w:right w:val="nil"/>
            </w:tcBorders>
            <w:shd w:val="clear" w:color="auto" w:fill="D5EEF8"/>
          </w:tcPr>
          <w:p w:rsidR="00B96979" w:rsidP="003B57A7" w:rsidRDefault="00B96979" w14:paraId="02703B21" w14:textId="6DFAE60C">
            <w:pPr>
              <w:pStyle w:val="TableParagraph"/>
              <w:spacing w:before="51"/>
              <w:ind w:left="117" w:right="30"/>
              <w:rPr>
                <w:b/>
                <w:sz w:val="16"/>
              </w:rPr>
            </w:pPr>
            <w:r>
              <w:rPr>
                <w:b/>
                <w:sz w:val="16"/>
              </w:rPr>
              <w:t>B.</w:t>
            </w:r>
            <w:r>
              <w:rPr>
                <w:b/>
                <w:spacing w:val="-2"/>
                <w:sz w:val="16"/>
              </w:rPr>
              <w:t xml:space="preserve"> </w:t>
            </w:r>
            <w:r>
              <w:rPr>
                <w:b/>
                <w:sz w:val="16"/>
              </w:rPr>
              <w:t>Financiële</w:t>
            </w:r>
            <w:r>
              <w:rPr>
                <w:b/>
                <w:spacing w:val="-2"/>
                <w:sz w:val="16"/>
              </w:rPr>
              <w:t xml:space="preserve"> </w:t>
            </w:r>
            <w:r>
              <w:rPr>
                <w:b/>
                <w:sz w:val="16"/>
              </w:rPr>
              <w:t>gevolgen</w:t>
            </w:r>
            <w:r w:rsidR="00385953">
              <w:rPr>
                <w:b/>
                <w:sz w:val="16"/>
              </w:rPr>
              <w:t xml:space="preserve"> </w:t>
            </w:r>
            <w:r>
              <w:rPr>
                <w:b/>
                <w:sz w:val="16"/>
              </w:rPr>
              <w:t>voor</w:t>
            </w:r>
            <w:r>
              <w:rPr>
                <w:b/>
                <w:spacing w:val="-5"/>
                <w:sz w:val="16"/>
              </w:rPr>
              <w:t xml:space="preserve"> </w:t>
            </w:r>
            <w:r>
              <w:rPr>
                <w:b/>
                <w:spacing w:val="-2"/>
                <w:sz w:val="16"/>
              </w:rPr>
              <w:t>maatschappelijke</w:t>
            </w:r>
          </w:p>
          <w:p w:rsidR="00B96979" w:rsidP="003B57A7" w:rsidRDefault="00B96979" w14:paraId="26992147" w14:textId="77777777">
            <w:pPr>
              <w:pStyle w:val="TableParagraph"/>
              <w:spacing w:before="1" w:line="175" w:lineRule="exact"/>
              <w:ind w:left="117"/>
              <w:rPr>
                <w:b/>
                <w:sz w:val="16"/>
              </w:rPr>
            </w:pPr>
            <w:r>
              <w:rPr>
                <w:b/>
                <w:spacing w:val="-2"/>
                <w:sz w:val="16"/>
              </w:rPr>
              <w:t>sectoren</w:t>
            </w:r>
          </w:p>
        </w:tc>
        <w:tc>
          <w:tcPr>
            <w:tcW w:w="6653" w:type="dxa"/>
            <w:gridSpan w:val="8"/>
            <w:tcBorders>
              <w:left w:val="nil"/>
              <w:right w:val="nil"/>
            </w:tcBorders>
          </w:tcPr>
          <w:p w:rsidR="00B96979" w:rsidP="003B57A7" w:rsidRDefault="00B96979" w14:paraId="57731896" w14:textId="77777777">
            <w:pPr>
              <w:pStyle w:val="TableParagraph"/>
              <w:tabs>
                <w:tab w:val="left" w:pos="355"/>
              </w:tabs>
              <w:spacing w:line="194" w:lineRule="exact"/>
              <w:rPr>
                <w:sz w:val="16"/>
              </w:rPr>
            </w:pPr>
          </w:p>
          <w:p w:rsidR="00B96979" w:rsidP="003B57A7" w:rsidRDefault="004C6D4A" w14:paraId="405D2077" w14:textId="367CBECF">
            <w:pPr>
              <w:pStyle w:val="TableParagraph"/>
              <w:tabs>
                <w:tab w:val="left" w:pos="355"/>
              </w:tabs>
              <w:spacing w:line="194" w:lineRule="exact"/>
              <w:rPr>
                <w:sz w:val="16"/>
              </w:rPr>
            </w:pPr>
            <w:r>
              <w:rPr>
                <w:sz w:val="16"/>
              </w:rPr>
              <w:t>N.v.t.</w:t>
            </w:r>
          </w:p>
          <w:p w:rsidR="00B96979" w:rsidP="003B57A7" w:rsidRDefault="00B96979" w14:paraId="5B9E74CA" w14:textId="77777777">
            <w:pPr>
              <w:pStyle w:val="TableParagraph"/>
              <w:tabs>
                <w:tab w:val="left" w:pos="355"/>
              </w:tabs>
              <w:spacing w:line="194" w:lineRule="exact"/>
              <w:rPr>
                <w:sz w:val="16"/>
              </w:rPr>
            </w:pPr>
          </w:p>
        </w:tc>
      </w:tr>
      <w:tr w:rsidR="00B96979" w:rsidTr="008C70FD" w14:paraId="74D02A6C"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406"/>
        </w:trPr>
        <w:tc>
          <w:tcPr>
            <w:tcW w:w="2143" w:type="dxa"/>
            <w:tcBorders>
              <w:left w:val="nil"/>
              <w:right w:val="nil"/>
            </w:tcBorders>
            <w:shd w:val="clear" w:color="auto" w:fill="D5EEF8"/>
          </w:tcPr>
          <w:p w:rsidR="00B96979" w:rsidP="003B57A7" w:rsidRDefault="00B96979" w14:paraId="58A8A4E5" w14:textId="77777777">
            <w:pPr>
              <w:pStyle w:val="TableParagraph"/>
              <w:spacing w:before="51" w:line="249" w:lineRule="auto"/>
              <w:ind w:left="93" w:right="30"/>
              <w:rPr>
                <w:b/>
                <w:sz w:val="16"/>
              </w:rPr>
            </w:pPr>
            <w:r>
              <w:rPr>
                <w:b/>
                <w:sz w:val="16"/>
              </w:rPr>
              <w:t>4.</w:t>
            </w:r>
            <w:r>
              <w:rPr>
                <w:b/>
                <w:spacing w:val="-5"/>
                <w:sz w:val="16"/>
              </w:rPr>
              <w:t xml:space="preserve"> </w:t>
            </w:r>
            <w:r>
              <w:rPr>
                <w:b/>
                <w:sz w:val="16"/>
              </w:rPr>
              <w:t>Nagestreefde</w:t>
            </w:r>
            <w:r>
              <w:rPr>
                <w:b/>
                <w:spacing w:val="40"/>
                <w:sz w:val="16"/>
              </w:rPr>
              <w:t xml:space="preserve"> </w:t>
            </w:r>
            <w:r>
              <w:rPr>
                <w:b/>
                <w:spacing w:val="-2"/>
                <w:sz w:val="16"/>
              </w:rPr>
              <w:t>doeltreffendheid</w:t>
            </w:r>
          </w:p>
        </w:tc>
        <w:tc>
          <w:tcPr>
            <w:tcW w:w="6653" w:type="dxa"/>
            <w:gridSpan w:val="8"/>
            <w:tcBorders>
              <w:left w:val="nil"/>
              <w:right w:val="nil"/>
            </w:tcBorders>
          </w:tcPr>
          <w:p w:rsidRPr="008050BA" w:rsidR="005101C3" w:rsidP="005101C3" w:rsidRDefault="005101C3" w14:paraId="1659AA97" w14:textId="216B9326">
            <w:pPr>
              <w:pStyle w:val="Default"/>
              <w:rPr>
                <w:sz w:val="16"/>
                <w:szCs w:val="16"/>
              </w:rPr>
            </w:pPr>
            <w:r w:rsidRPr="008050BA">
              <w:rPr>
                <w:sz w:val="16"/>
                <w:szCs w:val="16"/>
              </w:rPr>
              <w:t>De relatie tussen doelstellingen en programmatische instrumenten is direct: via de bovengenoemde programmatische instrumenten worden programma’s gefinancierd die burgers in genoemde regio’s direct informatie en toegang tot recht geven</w:t>
            </w:r>
            <w:r w:rsidRPr="008050BA" w:rsidR="00706774">
              <w:rPr>
                <w:sz w:val="16"/>
                <w:szCs w:val="16"/>
              </w:rPr>
              <w:t xml:space="preserve"> en</w:t>
            </w:r>
            <w:r w:rsidRPr="008050BA">
              <w:rPr>
                <w:sz w:val="16"/>
                <w:szCs w:val="16"/>
              </w:rPr>
              <w:t xml:space="preserve"> worden politie en </w:t>
            </w:r>
            <w:r w:rsidRPr="008050BA" w:rsidR="00706774">
              <w:rPr>
                <w:sz w:val="16"/>
                <w:szCs w:val="16"/>
              </w:rPr>
              <w:t>justitiediensten</w:t>
            </w:r>
            <w:r w:rsidRPr="008050BA">
              <w:rPr>
                <w:sz w:val="16"/>
                <w:szCs w:val="16"/>
              </w:rPr>
              <w:t xml:space="preserve"> en lokale overheden getraind. Ook worden personen en organisaties ondersteund die zich direct bezighouden met </w:t>
            </w:r>
            <w:r w:rsidRPr="008050BA" w:rsidR="00706774">
              <w:rPr>
                <w:i/>
                <w:iCs/>
                <w:sz w:val="16"/>
                <w:szCs w:val="16"/>
              </w:rPr>
              <w:t>conflictbemiddeling</w:t>
            </w:r>
            <w:r w:rsidRPr="008050BA" w:rsidR="00706774">
              <w:rPr>
                <w:sz w:val="16"/>
                <w:szCs w:val="16"/>
              </w:rPr>
              <w:t xml:space="preserve"> </w:t>
            </w:r>
            <w:r w:rsidRPr="008050BA">
              <w:rPr>
                <w:sz w:val="16"/>
                <w:szCs w:val="16"/>
              </w:rPr>
              <w:t xml:space="preserve">en met het herstellen van onderling vertrouwen op gemeenschapsniveau. </w:t>
            </w:r>
          </w:p>
          <w:p w:rsidRPr="008050BA" w:rsidR="005101C3" w:rsidP="00505EE5" w:rsidRDefault="005101C3" w14:paraId="426D2E41" w14:textId="5ECE9451">
            <w:pPr>
              <w:pStyle w:val="Default"/>
              <w:rPr>
                <w:sz w:val="16"/>
                <w:szCs w:val="16"/>
              </w:rPr>
            </w:pPr>
            <w:r w:rsidRPr="008050BA">
              <w:rPr>
                <w:sz w:val="16"/>
                <w:szCs w:val="16"/>
              </w:rPr>
              <w:t xml:space="preserve">Door dit te combineren met een aanbod van basisdiensten (valt niet onder dit beleidsartikel), draagt dit bij aan weerbaarheid van burgers en vergroot dit het vertrouwen tussen burgers en overheid, wat een bewezen basis vormt voor het voorkomen van (nieuw) conflict. </w:t>
            </w:r>
            <w:r w:rsidRPr="008050BA" w:rsidR="00505EE5">
              <w:rPr>
                <w:sz w:val="16"/>
                <w:szCs w:val="16"/>
              </w:rPr>
              <w:t xml:space="preserve"> </w:t>
            </w:r>
          </w:p>
          <w:p w:rsidRPr="008050BA" w:rsidR="005101C3" w:rsidP="003B57A7" w:rsidRDefault="005101C3" w14:paraId="3366889E" w14:textId="0B1A7DC1">
            <w:pPr>
              <w:pStyle w:val="TableParagraph"/>
              <w:spacing w:line="175" w:lineRule="exact"/>
              <w:rPr>
                <w:sz w:val="16"/>
                <w:szCs w:val="16"/>
              </w:rPr>
            </w:pPr>
          </w:p>
          <w:p w:rsidRPr="008050BA" w:rsidR="00FC0779" w:rsidP="008050BA" w:rsidRDefault="00505EE5" w14:paraId="61A056D2" w14:textId="06F69DCD">
            <w:pPr>
              <w:rPr>
                <w:sz w:val="16"/>
                <w:szCs w:val="16"/>
              </w:rPr>
            </w:pPr>
            <w:r w:rsidRPr="008050BA">
              <w:rPr>
                <w:sz w:val="16"/>
                <w:szCs w:val="16"/>
              </w:rPr>
              <w:t>Werken in conflictlanden is per definitie moeilijk. De directie Internationaal Onderzoek en Beleidsevaluatie (BZ) heeft</w:t>
            </w:r>
            <w:r w:rsidRPr="008050BA" w:rsidR="00F218F1">
              <w:rPr>
                <w:sz w:val="16"/>
                <w:szCs w:val="16"/>
              </w:rPr>
              <w:t xml:space="preserve"> </w:t>
            </w:r>
            <w:r w:rsidRPr="008050BA">
              <w:rPr>
                <w:sz w:val="16"/>
                <w:szCs w:val="16"/>
              </w:rPr>
              <w:t xml:space="preserve">over programmering op dit beleidsterrein dan ook gesteld </w:t>
            </w:r>
            <w:r w:rsidRPr="008050BA">
              <w:rPr>
                <w:rStyle w:val="FootnoteReference"/>
                <w:sz w:val="16"/>
                <w:szCs w:val="16"/>
              </w:rPr>
              <w:footnoteReference w:id="2"/>
            </w:r>
            <w:r w:rsidRPr="008050BA">
              <w:rPr>
                <w:sz w:val="16"/>
                <w:szCs w:val="16"/>
              </w:rPr>
              <w:t xml:space="preserve"> dat het belangrijk is om r</w:t>
            </w:r>
            <w:r w:rsidRPr="008050BA" w:rsidR="00016EFF">
              <w:rPr>
                <w:sz w:val="16"/>
                <w:szCs w:val="16"/>
              </w:rPr>
              <w:t>ealistisch</w:t>
            </w:r>
            <w:r w:rsidRPr="008050BA">
              <w:rPr>
                <w:sz w:val="16"/>
                <w:szCs w:val="16"/>
              </w:rPr>
              <w:t xml:space="preserve"> zijn voor wat betreft blijvende impact</w:t>
            </w:r>
            <w:r w:rsidRPr="008050BA" w:rsidR="000A0056">
              <w:rPr>
                <w:sz w:val="16"/>
                <w:szCs w:val="16"/>
              </w:rPr>
              <w:t xml:space="preserve"> op nationaal en regionaal niveau</w:t>
            </w:r>
            <w:r w:rsidRPr="008050BA">
              <w:rPr>
                <w:sz w:val="16"/>
                <w:szCs w:val="16"/>
              </w:rPr>
              <w:t>. Dit kan alleen maar behaal</w:t>
            </w:r>
            <w:r w:rsidRPr="008050BA" w:rsidR="00706774">
              <w:rPr>
                <w:sz w:val="16"/>
                <w:szCs w:val="16"/>
              </w:rPr>
              <w:t>d</w:t>
            </w:r>
            <w:r w:rsidRPr="008050BA">
              <w:rPr>
                <w:sz w:val="16"/>
                <w:szCs w:val="16"/>
              </w:rPr>
              <w:t xml:space="preserve"> worden als er langdurig, </w:t>
            </w:r>
            <w:r w:rsidRPr="008050BA" w:rsidR="00016EFF">
              <w:rPr>
                <w:sz w:val="16"/>
                <w:szCs w:val="16"/>
              </w:rPr>
              <w:t>conflict</w:t>
            </w:r>
            <w:r w:rsidRPr="008050BA">
              <w:rPr>
                <w:sz w:val="16"/>
                <w:szCs w:val="16"/>
              </w:rPr>
              <w:t>-</w:t>
            </w:r>
            <w:r w:rsidRPr="008050BA" w:rsidR="00016EFF">
              <w:rPr>
                <w:sz w:val="16"/>
                <w:szCs w:val="16"/>
              </w:rPr>
              <w:t>sensitief</w:t>
            </w:r>
            <w:r w:rsidRPr="008050BA" w:rsidR="00F218F1">
              <w:rPr>
                <w:sz w:val="16"/>
                <w:szCs w:val="16"/>
              </w:rPr>
              <w:t xml:space="preserve"> en </w:t>
            </w:r>
            <w:r w:rsidRPr="008050BA" w:rsidR="00016EFF">
              <w:rPr>
                <w:sz w:val="16"/>
                <w:szCs w:val="16"/>
              </w:rPr>
              <w:t xml:space="preserve">met integrale inzet (dus ook </w:t>
            </w:r>
            <w:r w:rsidRPr="008050BA">
              <w:rPr>
                <w:sz w:val="16"/>
                <w:szCs w:val="16"/>
              </w:rPr>
              <w:t xml:space="preserve">in goede samenhang met militaire, </w:t>
            </w:r>
            <w:r w:rsidRPr="008050BA" w:rsidR="00016EFF">
              <w:rPr>
                <w:sz w:val="16"/>
                <w:szCs w:val="16"/>
              </w:rPr>
              <w:t>diplo</w:t>
            </w:r>
            <w:r w:rsidRPr="008050BA">
              <w:rPr>
                <w:sz w:val="16"/>
                <w:szCs w:val="16"/>
              </w:rPr>
              <w:t>matieke en politieke inzet) wordt gewerkt. Ook kan Nederland dit niet alleen realiseren en zal dus goed moeten worden samengewerkt met andere landen en de internationale gemeenschap, waaronder de EU. Dit zullen dan ook belangrijke uitgangspunten zijn bij voorgestelde beleidsinzet.</w:t>
            </w:r>
          </w:p>
          <w:p w:rsidRPr="008050BA" w:rsidR="00F218F1" w:rsidP="008050BA" w:rsidRDefault="00F218F1" w14:paraId="54F29AC9" w14:textId="77777777">
            <w:pPr>
              <w:rPr>
                <w:sz w:val="16"/>
                <w:szCs w:val="16"/>
              </w:rPr>
            </w:pPr>
          </w:p>
          <w:p w:rsidR="00F218F1" w:rsidP="008050BA" w:rsidRDefault="00FA4800" w14:paraId="2B6EA5F6" w14:textId="242AA145">
            <w:pPr>
              <w:rPr>
                <w:sz w:val="16"/>
                <w:szCs w:val="16"/>
              </w:rPr>
            </w:pPr>
            <w:r w:rsidRPr="008050BA">
              <w:rPr>
                <w:sz w:val="16"/>
                <w:szCs w:val="16"/>
              </w:rPr>
              <w:t>Ook</w:t>
            </w:r>
            <w:r w:rsidRPr="008050BA" w:rsidR="00F218F1">
              <w:rPr>
                <w:sz w:val="16"/>
                <w:szCs w:val="16"/>
              </w:rPr>
              <w:t xml:space="preserve"> wordt, ook in lijn met het advies van de IOB, waar mogelijk meer direct samengewerkt met lokale organisaties in </w:t>
            </w:r>
            <w:r w:rsidRPr="008050BA" w:rsidR="008050BA">
              <w:rPr>
                <w:sz w:val="16"/>
                <w:szCs w:val="16"/>
              </w:rPr>
              <w:t xml:space="preserve">het </w:t>
            </w:r>
            <w:r w:rsidRPr="008050BA" w:rsidR="00F218F1">
              <w:rPr>
                <w:sz w:val="16"/>
                <w:szCs w:val="16"/>
              </w:rPr>
              <w:t xml:space="preserve">ontwerp, </w:t>
            </w:r>
            <w:r w:rsidRPr="008050BA" w:rsidR="008050BA">
              <w:rPr>
                <w:sz w:val="16"/>
                <w:szCs w:val="16"/>
              </w:rPr>
              <w:t xml:space="preserve">de </w:t>
            </w:r>
            <w:r w:rsidRPr="008050BA" w:rsidR="00F218F1">
              <w:rPr>
                <w:sz w:val="16"/>
                <w:szCs w:val="16"/>
              </w:rPr>
              <w:t xml:space="preserve">uitvoering en </w:t>
            </w:r>
            <w:r w:rsidRPr="008050BA" w:rsidR="008050BA">
              <w:rPr>
                <w:sz w:val="16"/>
                <w:szCs w:val="16"/>
              </w:rPr>
              <w:t xml:space="preserve">de </w:t>
            </w:r>
            <w:r w:rsidRPr="008050BA" w:rsidR="00F218F1">
              <w:rPr>
                <w:sz w:val="16"/>
                <w:szCs w:val="16"/>
              </w:rPr>
              <w:t xml:space="preserve">verantwoording van programma’s. Zij weten immers het best hoe in complexe en veranderlijke </w:t>
            </w:r>
            <w:r w:rsidRPr="008050BA" w:rsidR="00E02472">
              <w:rPr>
                <w:sz w:val="16"/>
                <w:szCs w:val="16"/>
              </w:rPr>
              <w:t xml:space="preserve">situaties </w:t>
            </w:r>
            <w:r w:rsidRPr="008050BA" w:rsidR="00F218F1">
              <w:rPr>
                <w:sz w:val="16"/>
                <w:szCs w:val="16"/>
              </w:rPr>
              <w:t xml:space="preserve">te werken. Lokaal geleide </w:t>
            </w:r>
            <w:r w:rsidRPr="0005550E" w:rsidR="00F218F1">
              <w:rPr>
                <w:sz w:val="16"/>
                <w:szCs w:val="16"/>
              </w:rPr>
              <w:t>hulp</w:t>
            </w:r>
            <w:r w:rsidRPr="0005550E" w:rsidR="00E739C6">
              <w:rPr>
                <w:sz w:val="16"/>
                <w:szCs w:val="16"/>
              </w:rPr>
              <w:t>, inclusief door lokaal bestuur,</w:t>
            </w:r>
            <w:r w:rsidRPr="0005550E" w:rsidR="00F218F1">
              <w:rPr>
                <w:sz w:val="16"/>
                <w:szCs w:val="16"/>
              </w:rPr>
              <w:t xml:space="preserve"> leidt</w:t>
            </w:r>
            <w:r w:rsidRPr="008050BA" w:rsidR="00F218F1">
              <w:rPr>
                <w:sz w:val="16"/>
                <w:szCs w:val="16"/>
              </w:rPr>
              <w:t xml:space="preserve"> </w:t>
            </w:r>
            <w:r w:rsidRPr="008050BA" w:rsidR="00841101">
              <w:rPr>
                <w:sz w:val="16"/>
                <w:szCs w:val="16"/>
              </w:rPr>
              <w:t>ertoe</w:t>
            </w:r>
            <w:r w:rsidRPr="008050BA" w:rsidR="00F218F1">
              <w:rPr>
                <w:sz w:val="16"/>
                <w:szCs w:val="16"/>
              </w:rPr>
              <w:t xml:space="preserve"> dat met onze inzet niet alleen de Nederlandse belangen worden gediend, maar </w:t>
            </w:r>
            <w:r w:rsidRPr="008050BA" w:rsidR="002B58E4">
              <w:rPr>
                <w:sz w:val="16"/>
                <w:szCs w:val="16"/>
              </w:rPr>
              <w:t xml:space="preserve">ook </w:t>
            </w:r>
            <w:r w:rsidRPr="008050BA" w:rsidR="00F218F1">
              <w:rPr>
                <w:sz w:val="16"/>
                <w:szCs w:val="16"/>
              </w:rPr>
              <w:t>wordt bijgedragen aan de problemen in de landen zelf.</w:t>
            </w:r>
          </w:p>
          <w:p w:rsidRPr="008050BA" w:rsidR="008C70FD" w:rsidP="008050BA" w:rsidRDefault="008C70FD" w14:paraId="3F93C182" w14:textId="77777777">
            <w:pPr>
              <w:rPr>
                <w:sz w:val="16"/>
                <w:szCs w:val="16"/>
              </w:rPr>
            </w:pPr>
          </w:p>
          <w:p w:rsidRPr="008050BA" w:rsidR="00505EE5" w:rsidP="008C70FD" w:rsidRDefault="00FA4800" w14:paraId="58CABD61" w14:textId="77179E68">
            <w:pPr>
              <w:rPr>
                <w:sz w:val="16"/>
                <w:szCs w:val="16"/>
              </w:rPr>
            </w:pPr>
            <w:r w:rsidRPr="008050BA">
              <w:rPr>
                <w:sz w:val="16"/>
                <w:szCs w:val="16"/>
              </w:rPr>
              <w:t xml:space="preserve">Tegelijkertijd zal in conflictlanden, vanwege operationale uitdagingen, meer centraal worden geprogrammeerd. Dit brengt uitdagingen met zich mee ten aanzien van bovengenoemde lokaal geleide hulp en vergt </w:t>
            </w:r>
            <w:r w:rsidRPr="008050BA" w:rsidR="00C928F2">
              <w:rPr>
                <w:sz w:val="16"/>
                <w:szCs w:val="16"/>
              </w:rPr>
              <w:t xml:space="preserve">zorgvuldige afbouw en </w:t>
            </w:r>
            <w:r w:rsidRPr="008050BA">
              <w:rPr>
                <w:sz w:val="16"/>
                <w:szCs w:val="16"/>
              </w:rPr>
              <w:t>blijvende deskundigheid in genoemde regio’s om te zorgen voor goede aansluiting tussen vraag en aanbod</w:t>
            </w:r>
            <w:r w:rsidRPr="008050BA" w:rsidR="00C928F2">
              <w:rPr>
                <w:sz w:val="16"/>
                <w:szCs w:val="16"/>
              </w:rPr>
              <w:t xml:space="preserve"> en tussen programmering en diplomatieke inzet</w:t>
            </w:r>
            <w:r w:rsidRPr="008050BA">
              <w:rPr>
                <w:sz w:val="16"/>
                <w:szCs w:val="16"/>
              </w:rPr>
              <w:t xml:space="preserve">. </w:t>
            </w:r>
          </w:p>
        </w:tc>
      </w:tr>
      <w:tr w:rsidR="00B96979" w:rsidTr="00385953" w14:paraId="0A48393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2143" w:type="dxa"/>
            <w:tcBorders>
              <w:left w:val="nil"/>
              <w:right w:val="nil"/>
            </w:tcBorders>
            <w:shd w:val="clear" w:color="auto" w:fill="D5EEF8"/>
          </w:tcPr>
          <w:p w:rsidR="00B96979" w:rsidP="003B57A7" w:rsidRDefault="00B96979" w14:paraId="70F8588F" w14:textId="77777777">
            <w:pPr>
              <w:pStyle w:val="TableParagraph"/>
              <w:spacing w:before="51" w:line="254" w:lineRule="auto"/>
              <w:ind w:left="93" w:right="744"/>
              <w:rPr>
                <w:b/>
                <w:sz w:val="16"/>
              </w:rPr>
            </w:pPr>
            <w:r>
              <w:rPr>
                <w:b/>
                <w:sz w:val="16"/>
              </w:rPr>
              <w:t>5.</w:t>
            </w:r>
            <w:r>
              <w:rPr>
                <w:b/>
                <w:spacing w:val="-10"/>
                <w:sz w:val="16"/>
              </w:rPr>
              <w:t xml:space="preserve"> </w:t>
            </w:r>
            <w:r>
              <w:rPr>
                <w:b/>
                <w:sz w:val="16"/>
              </w:rPr>
              <w:t>Nagestreefde</w:t>
            </w:r>
            <w:r>
              <w:rPr>
                <w:b/>
                <w:spacing w:val="40"/>
                <w:sz w:val="16"/>
              </w:rPr>
              <w:t xml:space="preserve"> </w:t>
            </w:r>
            <w:r>
              <w:rPr>
                <w:b/>
                <w:spacing w:val="-2"/>
                <w:sz w:val="16"/>
              </w:rPr>
              <w:t>doelmatigheid</w:t>
            </w:r>
          </w:p>
        </w:tc>
        <w:tc>
          <w:tcPr>
            <w:tcW w:w="6653" w:type="dxa"/>
            <w:gridSpan w:val="8"/>
            <w:tcBorders>
              <w:left w:val="nil"/>
              <w:right w:val="nil"/>
            </w:tcBorders>
          </w:tcPr>
          <w:p w:rsidRPr="008C70FD" w:rsidR="00FC0131" w:rsidP="00FC0131" w:rsidRDefault="00FC0131" w14:paraId="7B0E0232" w14:textId="402D4D4C">
            <w:pPr>
              <w:rPr>
                <w:sz w:val="16"/>
              </w:rPr>
            </w:pPr>
            <w:r>
              <w:rPr>
                <w:sz w:val="16"/>
              </w:rPr>
              <w:t xml:space="preserve">Bovengenoemd instrumentarium draagt op basis van ervaring en bewijs bij aan conflictpreventie (doeltreffend). Conflictpreventie levert volgens een recente studie van het IMF </w:t>
            </w:r>
            <w:r w:rsidRPr="00C9173D">
              <w:rPr>
                <w:sz w:val="16"/>
              </w:rPr>
              <w:t>een enorm economisch rendement op.</w:t>
            </w:r>
            <w:r w:rsidRPr="00C9173D">
              <w:rPr>
                <w:sz w:val="16"/>
                <w:vertAlign w:val="superscript"/>
                <w:lang w:val="en-US"/>
              </w:rPr>
              <w:footnoteReference w:id="3"/>
            </w:r>
            <w:r>
              <w:rPr>
                <w:sz w:val="16"/>
              </w:rPr>
              <w:t xml:space="preserve"> Door activiteiten geografisch en inhoudelijk te bundelen </w:t>
            </w:r>
            <w:r w:rsidR="00FA4800">
              <w:rPr>
                <w:sz w:val="16"/>
              </w:rPr>
              <w:t xml:space="preserve">en meer centraal te programmeren, </w:t>
            </w:r>
            <w:r>
              <w:rPr>
                <w:sz w:val="16"/>
              </w:rPr>
              <w:t xml:space="preserve">treden </w:t>
            </w:r>
            <w:r w:rsidRPr="008C70FD">
              <w:rPr>
                <w:sz w:val="16"/>
              </w:rPr>
              <w:t xml:space="preserve">daarnaast ook inhoudelijke </w:t>
            </w:r>
            <w:r w:rsidR="00841101">
              <w:rPr>
                <w:sz w:val="16"/>
              </w:rPr>
              <w:t>doelmatigheden</w:t>
            </w:r>
            <w:r w:rsidRPr="008C70FD">
              <w:rPr>
                <w:sz w:val="16"/>
              </w:rPr>
              <w:t xml:space="preserve"> op. </w:t>
            </w:r>
          </w:p>
          <w:p w:rsidRPr="008C70FD" w:rsidR="00FC0131" w:rsidP="00FC0131" w:rsidRDefault="00FC0131" w14:paraId="6F3325E5" w14:textId="37B46EE2">
            <w:pPr>
              <w:rPr>
                <w:sz w:val="16"/>
              </w:rPr>
            </w:pPr>
            <w:r w:rsidRPr="008C70FD">
              <w:rPr>
                <w:sz w:val="16"/>
              </w:rPr>
              <w:t xml:space="preserve">Hoewel er kosten verbonden zijn aan het werken via internationale organisaties zoals de VN, hebben deze organisaties in de regel beter toegang tot landen en overheden dan NGOs of bilaterale </w:t>
            </w:r>
            <w:r w:rsidRPr="008C70FD">
              <w:rPr>
                <w:sz w:val="16"/>
              </w:rPr>
              <w:lastRenderedPageBreak/>
              <w:t>organisaties. Bovendien kunnen partnerschappen met internationale organisaties werken als hefboom: het maakt aanvullende inzet vanuit andere (bijvoorbeeld bilaterale) partners</w:t>
            </w:r>
            <w:r w:rsidRPr="008C70FD" w:rsidR="008050BA">
              <w:rPr>
                <w:sz w:val="16"/>
              </w:rPr>
              <w:t xml:space="preserve"> of EU</w:t>
            </w:r>
            <w:r w:rsidRPr="008C70FD">
              <w:rPr>
                <w:sz w:val="16"/>
              </w:rPr>
              <w:t xml:space="preserve"> makkelijker, wat de directe impact van partnerschappen vergroot. Ook kan Nederland via dergelijke partnerschappen makkelijker het internationale beleid beïnvloeden, wat kan leiden tot indirecte impact in andere landen en regio’s. De uiteindelijke impact zal aanzienlijk worden vergroot als (ook door internationale organisaties) meer met lokale organisaties werken en als lokale organisaties betere capaciteit hebben. Immers, lokaal geleide activiteiten dragen bij aan het verduurzamen van ontwikkelingshulp.  </w:t>
            </w:r>
          </w:p>
          <w:p w:rsidRPr="008C70FD" w:rsidR="00FC0131" w:rsidP="00FC0131" w:rsidRDefault="00FC0131" w14:paraId="1841C3D2" w14:textId="77777777">
            <w:pPr>
              <w:rPr>
                <w:sz w:val="16"/>
              </w:rPr>
            </w:pPr>
            <w:r w:rsidRPr="008C70FD">
              <w:rPr>
                <w:sz w:val="16"/>
              </w:rPr>
              <w:t>Omdat conflicten niet statisch zijn, is het belangrijk flexibiliteit in te bouwen en zowel expertise als financiële ruimte te houden om de inzet te kunnen aanpassen aan politieke of economische ontwikkelingen.</w:t>
            </w:r>
          </w:p>
          <w:p w:rsidRPr="00DA0E7F" w:rsidR="00FC0131" w:rsidP="00FC0131" w:rsidRDefault="00FC0131" w14:paraId="2E020C0F" w14:textId="77777777">
            <w:pPr>
              <w:pStyle w:val="Default"/>
              <w:rPr>
                <w:rFonts w:eastAsia="Calibri"/>
                <w:color w:val="auto"/>
                <w:sz w:val="16"/>
                <w:szCs w:val="22"/>
              </w:rPr>
            </w:pPr>
            <w:r>
              <w:rPr>
                <w:rFonts w:eastAsia="Calibri"/>
                <w:color w:val="auto"/>
                <w:sz w:val="16"/>
                <w:szCs w:val="22"/>
              </w:rPr>
              <w:t>D</w:t>
            </w:r>
            <w:r w:rsidRPr="00DA0E7F">
              <w:rPr>
                <w:rFonts w:eastAsia="Calibri"/>
                <w:color w:val="auto"/>
                <w:sz w:val="16"/>
                <w:szCs w:val="22"/>
              </w:rPr>
              <w:t xml:space="preserve">e doelmatigheid van de door ons ingezette mensen en middelen </w:t>
            </w:r>
            <w:r>
              <w:rPr>
                <w:rFonts w:eastAsia="Calibri"/>
                <w:color w:val="auto"/>
                <w:sz w:val="16"/>
                <w:szCs w:val="22"/>
              </w:rPr>
              <w:t>wordt verder vergroot door</w:t>
            </w:r>
          </w:p>
          <w:p w:rsidRPr="00DA0E7F" w:rsidR="00FC0131" w:rsidP="00FC0131" w:rsidRDefault="00841101" w14:paraId="1F955AD7" w14:textId="566D80D4">
            <w:pPr>
              <w:pStyle w:val="Default"/>
              <w:numPr>
                <w:ilvl w:val="0"/>
                <w:numId w:val="12"/>
              </w:numPr>
              <w:rPr>
                <w:rFonts w:eastAsia="Calibri"/>
                <w:color w:val="auto"/>
                <w:sz w:val="16"/>
                <w:szCs w:val="22"/>
              </w:rPr>
            </w:pPr>
            <w:r>
              <w:rPr>
                <w:rFonts w:eastAsia="Calibri"/>
                <w:color w:val="auto"/>
                <w:sz w:val="16"/>
                <w:szCs w:val="22"/>
              </w:rPr>
              <w:t xml:space="preserve">het </w:t>
            </w:r>
            <w:r w:rsidRPr="00DA0E7F" w:rsidR="00FC0131">
              <w:rPr>
                <w:rFonts w:eastAsia="Calibri"/>
                <w:color w:val="auto"/>
                <w:sz w:val="16"/>
                <w:szCs w:val="22"/>
              </w:rPr>
              <w:t>programmeren (op advies van IOB) voor een langere looptijd</w:t>
            </w:r>
            <w:r w:rsidR="00FC0131">
              <w:rPr>
                <w:rFonts w:eastAsia="Calibri"/>
                <w:color w:val="auto"/>
                <w:sz w:val="16"/>
                <w:szCs w:val="22"/>
              </w:rPr>
              <w:t>, omdat de meeste impact wordt behaald na meerjarige inzet;</w:t>
            </w:r>
          </w:p>
          <w:p w:rsidRPr="00DA0E7F" w:rsidR="00FC0131" w:rsidP="00FC0131" w:rsidRDefault="00FC0131" w14:paraId="3FCAB735" w14:textId="77777777">
            <w:pPr>
              <w:pStyle w:val="Default"/>
              <w:numPr>
                <w:ilvl w:val="0"/>
                <w:numId w:val="12"/>
              </w:numPr>
              <w:rPr>
                <w:rFonts w:eastAsia="Calibri"/>
                <w:color w:val="auto"/>
                <w:sz w:val="16"/>
                <w:szCs w:val="22"/>
              </w:rPr>
            </w:pPr>
            <w:r>
              <w:rPr>
                <w:rFonts w:eastAsia="Calibri"/>
                <w:color w:val="auto"/>
                <w:sz w:val="16"/>
                <w:szCs w:val="22"/>
              </w:rPr>
              <w:t>(waar nodig en mogelijk) te pr</w:t>
            </w:r>
            <w:r w:rsidRPr="00DA0E7F">
              <w:rPr>
                <w:rFonts w:eastAsia="Calibri"/>
                <w:color w:val="auto"/>
                <w:sz w:val="16"/>
                <w:szCs w:val="22"/>
              </w:rPr>
              <w:t>ogrammeren via een subsidietender onder een subsidiebeleidskader</w:t>
            </w:r>
            <w:r>
              <w:rPr>
                <w:rFonts w:eastAsia="Calibri"/>
                <w:color w:val="auto"/>
                <w:sz w:val="16"/>
                <w:szCs w:val="22"/>
              </w:rPr>
              <w:t xml:space="preserve">, </w:t>
            </w:r>
            <w:r w:rsidRPr="00DA0E7F">
              <w:rPr>
                <w:rFonts w:eastAsia="Calibri"/>
                <w:color w:val="auto"/>
                <w:sz w:val="16"/>
                <w:szCs w:val="22"/>
              </w:rPr>
              <w:t xml:space="preserve">wat </w:t>
            </w:r>
            <w:r>
              <w:rPr>
                <w:rFonts w:eastAsia="Calibri"/>
                <w:color w:val="auto"/>
                <w:sz w:val="16"/>
                <w:szCs w:val="22"/>
              </w:rPr>
              <w:t>selectie op basis van doelmatigheid en doeltreffendheid mogelijk maakt;</w:t>
            </w:r>
          </w:p>
          <w:p w:rsidRPr="00DA0E7F" w:rsidR="00FC0131" w:rsidP="00FC0131" w:rsidRDefault="00FC0131" w14:paraId="5EE34292" w14:textId="77777777">
            <w:pPr>
              <w:pStyle w:val="Default"/>
              <w:numPr>
                <w:ilvl w:val="0"/>
                <w:numId w:val="12"/>
              </w:numPr>
              <w:rPr>
                <w:rFonts w:eastAsia="Calibri"/>
                <w:color w:val="auto"/>
                <w:sz w:val="16"/>
                <w:szCs w:val="22"/>
              </w:rPr>
            </w:pPr>
            <w:r>
              <w:rPr>
                <w:rFonts w:eastAsia="Calibri"/>
                <w:color w:val="auto"/>
                <w:sz w:val="16"/>
                <w:szCs w:val="22"/>
              </w:rPr>
              <w:t xml:space="preserve">Gebruik te </w:t>
            </w:r>
            <w:r w:rsidRPr="00DA0E7F">
              <w:rPr>
                <w:rFonts w:eastAsia="Calibri"/>
                <w:color w:val="auto"/>
                <w:sz w:val="16"/>
                <w:szCs w:val="22"/>
              </w:rPr>
              <w:t>maken van leerpartners</w:t>
            </w:r>
            <w:r>
              <w:rPr>
                <w:rFonts w:eastAsia="Calibri"/>
                <w:color w:val="auto"/>
                <w:sz w:val="16"/>
                <w:szCs w:val="22"/>
              </w:rPr>
              <w:t xml:space="preserve">, </w:t>
            </w:r>
            <w:r w:rsidRPr="00DA0E7F">
              <w:rPr>
                <w:rFonts w:eastAsia="Calibri"/>
                <w:color w:val="auto"/>
                <w:sz w:val="16"/>
                <w:szCs w:val="22"/>
              </w:rPr>
              <w:t>op zoek naar meer doelmatigheid en doeltreffendheid gedurende de uitvoeringsperiode</w:t>
            </w:r>
            <w:r>
              <w:rPr>
                <w:rFonts w:eastAsia="Calibri"/>
                <w:color w:val="auto"/>
                <w:sz w:val="16"/>
                <w:szCs w:val="22"/>
              </w:rPr>
              <w:t>;</w:t>
            </w:r>
          </w:p>
          <w:p w:rsidRPr="008C70FD" w:rsidR="00B96979" w:rsidP="008C70FD" w:rsidRDefault="00FC0131" w14:paraId="43E6DA0F" w14:textId="5F0DA355">
            <w:pPr>
              <w:pStyle w:val="Default"/>
              <w:numPr>
                <w:ilvl w:val="0"/>
                <w:numId w:val="12"/>
              </w:numPr>
              <w:rPr>
                <w:rFonts w:eastAsia="Calibri"/>
                <w:color w:val="auto"/>
                <w:sz w:val="16"/>
                <w:szCs w:val="22"/>
              </w:rPr>
            </w:pPr>
            <w:r>
              <w:rPr>
                <w:rFonts w:eastAsia="Calibri"/>
                <w:color w:val="auto"/>
                <w:sz w:val="16"/>
                <w:szCs w:val="22"/>
              </w:rPr>
              <w:t xml:space="preserve">Te zoeken naar mogelijkheden voor </w:t>
            </w:r>
            <w:r w:rsidRPr="00DA0E7F">
              <w:rPr>
                <w:rFonts w:eastAsia="Calibri"/>
                <w:color w:val="auto"/>
                <w:sz w:val="16"/>
                <w:szCs w:val="22"/>
              </w:rPr>
              <w:t>opscha</w:t>
            </w:r>
            <w:r>
              <w:rPr>
                <w:rFonts w:eastAsia="Calibri"/>
                <w:color w:val="auto"/>
                <w:sz w:val="16"/>
                <w:szCs w:val="22"/>
              </w:rPr>
              <w:t xml:space="preserve">ling </w:t>
            </w:r>
            <w:r w:rsidRPr="00DA0E7F">
              <w:rPr>
                <w:rFonts w:eastAsia="Calibri"/>
                <w:color w:val="auto"/>
                <w:sz w:val="16"/>
                <w:szCs w:val="22"/>
              </w:rPr>
              <w:t xml:space="preserve">van </w:t>
            </w:r>
            <w:r>
              <w:rPr>
                <w:rFonts w:eastAsia="Calibri"/>
                <w:color w:val="auto"/>
                <w:sz w:val="16"/>
                <w:szCs w:val="22"/>
              </w:rPr>
              <w:t xml:space="preserve">lopende </w:t>
            </w:r>
            <w:r w:rsidRPr="00DA0E7F" w:rsidR="00841101">
              <w:rPr>
                <w:rFonts w:eastAsia="Calibri"/>
                <w:color w:val="auto"/>
                <w:sz w:val="16"/>
                <w:szCs w:val="22"/>
              </w:rPr>
              <w:t>activiteiten</w:t>
            </w:r>
            <w:r w:rsidR="00841101">
              <w:rPr>
                <w:rFonts w:eastAsia="Calibri"/>
                <w:color w:val="auto"/>
                <w:sz w:val="16"/>
                <w:szCs w:val="22"/>
              </w:rPr>
              <w:t>, zodat</w:t>
            </w:r>
            <w:r w:rsidRPr="00DA0E7F">
              <w:rPr>
                <w:rFonts w:eastAsia="Calibri"/>
                <w:color w:val="auto"/>
                <w:sz w:val="16"/>
                <w:szCs w:val="22"/>
              </w:rPr>
              <w:t xml:space="preserve"> </w:t>
            </w:r>
            <w:r>
              <w:rPr>
                <w:rFonts w:eastAsia="Calibri"/>
                <w:color w:val="auto"/>
                <w:sz w:val="16"/>
                <w:szCs w:val="22"/>
              </w:rPr>
              <w:t>de</w:t>
            </w:r>
            <w:r w:rsidRPr="00DA0E7F">
              <w:rPr>
                <w:rFonts w:eastAsia="Calibri"/>
                <w:color w:val="auto"/>
                <w:sz w:val="16"/>
                <w:szCs w:val="22"/>
              </w:rPr>
              <w:t xml:space="preserve"> uitvoeringslast </w:t>
            </w:r>
            <w:r>
              <w:rPr>
                <w:rFonts w:eastAsia="Calibri"/>
                <w:color w:val="auto"/>
                <w:sz w:val="16"/>
                <w:szCs w:val="22"/>
              </w:rPr>
              <w:t>wordt beperkt.</w:t>
            </w:r>
          </w:p>
        </w:tc>
      </w:tr>
      <w:tr w:rsidRPr="00E00769" w:rsidR="00B96979" w:rsidTr="00385953" w14:paraId="45E467C9"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2143" w:type="dxa"/>
            <w:tcBorders>
              <w:left w:val="nil"/>
              <w:right w:val="nil"/>
            </w:tcBorders>
            <w:shd w:val="clear" w:color="auto" w:fill="D5EEF8"/>
          </w:tcPr>
          <w:p w:rsidR="00B96979" w:rsidP="00B96979" w:rsidRDefault="00B96979" w14:paraId="6D939322" w14:textId="43E929D4">
            <w:pPr>
              <w:pStyle w:val="TableParagraph"/>
              <w:spacing w:before="51" w:line="254" w:lineRule="auto"/>
              <w:ind w:left="93" w:right="744"/>
              <w:rPr>
                <w:b/>
                <w:sz w:val="16"/>
              </w:rPr>
            </w:pPr>
            <w:r>
              <w:rPr>
                <w:b/>
                <w:sz w:val="16"/>
              </w:rPr>
              <w:lastRenderedPageBreak/>
              <w:t xml:space="preserve">6. </w:t>
            </w:r>
            <w:r>
              <w:rPr>
                <w:b/>
                <w:spacing w:val="-2"/>
                <w:sz w:val="16"/>
              </w:rPr>
              <w:t>Evaluatieparag</w:t>
            </w:r>
            <w:r w:rsidR="00385953">
              <w:rPr>
                <w:b/>
                <w:spacing w:val="-2"/>
                <w:sz w:val="16"/>
              </w:rPr>
              <w:t>ra</w:t>
            </w:r>
            <w:r>
              <w:rPr>
                <w:b/>
                <w:spacing w:val="-2"/>
                <w:sz w:val="16"/>
              </w:rPr>
              <w:t>af</w:t>
            </w:r>
          </w:p>
        </w:tc>
        <w:tc>
          <w:tcPr>
            <w:tcW w:w="6653" w:type="dxa"/>
            <w:gridSpan w:val="8"/>
            <w:tcBorders>
              <w:left w:val="nil"/>
              <w:right w:val="nil"/>
            </w:tcBorders>
          </w:tcPr>
          <w:p w:rsidR="000F5E8B" w:rsidP="000F5E8B" w:rsidRDefault="000F5E8B" w14:paraId="1FA80428" w14:textId="1219C29E">
            <w:pPr>
              <w:pStyle w:val="Default"/>
              <w:numPr>
                <w:ilvl w:val="0"/>
                <w:numId w:val="10"/>
              </w:numPr>
              <w:rPr>
                <w:rFonts w:eastAsia="Calibri"/>
                <w:color w:val="auto"/>
                <w:sz w:val="16"/>
                <w:szCs w:val="22"/>
              </w:rPr>
            </w:pPr>
            <w:r w:rsidRPr="000F5E8B">
              <w:rPr>
                <w:rFonts w:eastAsia="Calibri"/>
                <w:color w:val="auto"/>
                <w:sz w:val="16"/>
                <w:szCs w:val="22"/>
              </w:rPr>
              <w:t xml:space="preserve">Directie Internationaal Onderzoek en Beleidsevaluatie voert periodiek </w:t>
            </w:r>
            <w:r w:rsidRPr="000F5E8B" w:rsidR="00841101">
              <w:rPr>
                <w:rFonts w:eastAsia="Calibri"/>
                <w:color w:val="auto"/>
                <w:sz w:val="16"/>
                <w:szCs w:val="22"/>
              </w:rPr>
              <w:t>evaluaties uit</w:t>
            </w:r>
            <w:r w:rsidRPr="000F5E8B">
              <w:rPr>
                <w:rFonts w:eastAsia="Calibri"/>
                <w:color w:val="auto"/>
                <w:sz w:val="16"/>
                <w:szCs w:val="22"/>
              </w:rPr>
              <w:t xml:space="preserve"> van beleid en uitvoering van beleid en uitvoering van Buitenlandse Zaken. Onderliggend bestedingsvoorstel valt in de Strategische Evaluatie Agenda.</w:t>
            </w:r>
          </w:p>
          <w:p w:rsidR="000F5E8B" w:rsidP="000F5E8B" w:rsidRDefault="000F5E8B" w14:paraId="3332F172" w14:textId="5FB1E037">
            <w:pPr>
              <w:pStyle w:val="Default"/>
              <w:numPr>
                <w:ilvl w:val="0"/>
                <w:numId w:val="10"/>
              </w:numPr>
              <w:rPr>
                <w:rFonts w:eastAsia="Calibri"/>
                <w:color w:val="auto"/>
                <w:sz w:val="16"/>
                <w:szCs w:val="22"/>
              </w:rPr>
            </w:pPr>
            <w:r w:rsidRPr="000F5E8B">
              <w:rPr>
                <w:rFonts w:eastAsia="Calibri"/>
                <w:color w:val="auto"/>
                <w:sz w:val="16"/>
                <w:szCs w:val="22"/>
              </w:rPr>
              <w:t xml:space="preserve">Als onderdeel van de standaardafspraken tussen </w:t>
            </w:r>
            <w:r w:rsidR="008050BA">
              <w:rPr>
                <w:rFonts w:eastAsia="Calibri"/>
                <w:color w:val="auto"/>
                <w:sz w:val="16"/>
                <w:szCs w:val="22"/>
              </w:rPr>
              <w:t xml:space="preserve">BZ </w:t>
            </w:r>
            <w:r w:rsidRPr="000F5E8B">
              <w:rPr>
                <w:rFonts w:eastAsia="Calibri"/>
                <w:color w:val="auto"/>
                <w:sz w:val="16"/>
                <w:szCs w:val="22"/>
              </w:rPr>
              <w:t xml:space="preserve">en haar uitvoerders, wordt voor alle ODA-bijdragen van meer dan EUR 5 miljoen, standaard een evaluatie uitgevoerd. Deze afspraken zullen in nieuw op te stellen arrangementen in het kader van onderliggend bestedingsvoorstel dus ook worden opgenomen. </w:t>
            </w:r>
            <w:r w:rsidR="00E00769">
              <w:rPr>
                <w:rFonts w:eastAsia="Calibri"/>
                <w:color w:val="auto"/>
                <w:sz w:val="16"/>
                <w:szCs w:val="22"/>
              </w:rPr>
              <w:t xml:space="preserve"> </w:t>
            </w:r>
          </w:p>
          <w:p w:rsidR="000F5E8B" w:rsidP="000F5E8B" w:rsidRDefault="000F5E8B" w14:paraId="3CC8FA73" w14:textId="1C2550AA">
            <w:pPr>
              <w:pStyle w:val="Default"/>
              <w:numPr>
                <w:ilvl w:val="0"/>
                <w:numId w:val="10"/>
              </w:numPr>
              <w:rPr>
                <w:rFonts w:eastAsia="Calibri"/>
                <w:color w:val="auto"/>
                <w:sz w:val="16"/>
                <w:szCs w:val="22"/>
              </w:rPr>
            </w:pPr>
            <w:r>
              <w:rPr>
                <w:rFonts w:eastAsia="Calibri"/>
                <w:color w:val="auto"/>
                <w:sz w:val="16"/>
                <w:szCs w:val="22"/>
              </w:rPr>
              <w:t>Daar waar h</w:t>
            </w:r>
            <w:r w:rsidRPr="000F5E8B">
              <w:rPr>
                <w:rFonts w:eastAsia="Calibri"/>
                <w:color w:val="auto"/>
                <w:sz w:val="16"/>
                <w:szCs w:val="22"/>
              </w:rPr>
              <w:t xml:space="preserve">et bestedingsvoorstel </w:t>
            </w:r>
            <w:r>
              <w:rPr>
                <w:rFonts w:eastAsia="Calibri"/>
                <w:color w:val="auto"/>
                <w:sz w:val="16"/>
                <w:szCs w:val="22"/>
              </w:rPr>
              <w:t xml:space="preserve">zich </w:t>
            </w:r>
            <w:r w:rsidRPr="000F5E8B">
              <w:rPr>
                <w:rFonts w:eastAsia="Calibri"/>
                <w:color w:val="auto"/>
                <w:sz w:val="16"/>
                <w:szCs w:val="22"/>
              </w:rPr>
              <w:t>richt op samenwerking met VN-organisaties en IFI</w:t>
            </w:r>
            <w:r w:rsidR="001D4D3C">
              <w:rPr>
                <w:rFonts w:eastAsia="Calibri"/>
                <w:color w:val="auto"/>
                <w:sz w:val="16"/>
                <w:szCs w:val="22"/>
              </w:rPr>
              <w:t>’</w:t>
            </w:r>
            <w:r w:rsidRPr="000F5E8B">
              <w:rPr>
                <w:rFonts w:eastAsia="Calibri"/>
                <w:color w:val="auto"/>
                <w:sz w:val="16"/>
                <w:szCs w:val="22"/>
              </w:rPr>
              <w:t>s</w:t>
            </w:r>
            <w:r>
              <w:rPr>
                <w:rFonts w:eastAsia="Calibri"/>
                <w:color w:val="auto"/>
                <w:sz w:val="16"/>
                <w:szCs w:val="22"/>
              </w:rPr>
              <w:t>, worden - c</w:t>
            </w:r>
            <w:r w:rsidRPr="000F5E8B">
              <w:rPr>
                <w:rFonts w:eastAsia="Calibri"/>
                <w:color w:val="auto"/>
                <w:sz w:val="16"/>
                <w:szCs w:val="22"/>
              </w:rPr>
              <w:t xml:space="preserve">onform de standaard </w:t>
            </w:r>
            <w:proofErr w:type="spellStart"/>
            <w:r w:rsidRPr="000F5E8B">
              <w:rPr>
                <w:rFonts w:eastAsia="Calibri"/>
                <w:color w:val="auto"/>
                <w:sz w:val="16"/>
                <w:szCs w:val="22"/>
              </w:rPr>
              <w:t>general</w:t>
            </w:r>
            <w:proofErr w:type="spellEnd"/>
            <w:r w:rsidRPr="000F5E8B">
              <w:rPr>
                <w:rFonts w:eastAsia="Calibri"/>
                <w:color w:val="auto"/>
                <w:sz w:val="16"/>
                <w:szCs w:val="22"/>
              </w:rPr>
              <w:t xml:space="preserve"> </w:t>
            </w:r>
            <w:proofErr w:type="spellStart"/>
            <w:r w:rsidRPr="000F5E8B">
              <w:rPr>
                <w:rFonts w:eastAsia="Calibri"/>
                <w:color w:val="auto"/>
                <w:sz w:val="16"/>
                <w:szCs w:val="22"/>
              </w:rPr>
              <w:t>arrangements</w:t>
            </w:r>
            <w:proofErr w:type="spellEnd"/>
            <w:r w:rsidRPr="000F5E8B">
              <w:rPr>
                <w:rFonts w:eastAsia="Calibri"/>
                <w:color w:val="auto"/>
                <w:sz w:val="16"/>
                <w:szCs w:val="22"/>
              </w:rPr>
              <w:t xml:space="preserve"> met deze organisaties</w:t>
            </w:r>
            <w:r>
              <w:rPr>
                <w:rFonts w:eastAsia="Calibri"/>
                <w:color w:val="auto"/>
                <w:sz w:val="16"/>
                <w:szCs w:val="22"/>
              </w:rPr>
              <w:t xml:space="preserve"> - </w:t>
            </w:r>
            <w:r w:rsidRPr="000F5E8B">
              <w:rPr>
                <w:rFonts w:eastAsia="Calibri"/>
                <w:color w:val="auto"/>
                <w:sz w:val="16"/>
                <w:szCs w:val="22"/>
              </w:rPr>
              <w:t xml:space="preserve">jaarlijks rapporten </w:t>
            </w:r>
            <w:r>
              <w:rPr>
                <w:rFonts w:eastAsia="Calibri"/>
                <w:color w:val="auto"/>
                <w:sz w:val="16"/>
                <w:szCs w:val="22"/>
              </w:rPr>
              <w:t xml:space="preserve">ontvangen </w:t>
            </w:r>
            <w:r w:rsidRPr="000F5E8B">
              <w:rPr>
                <w:rFonts w:eastAsia="Calibri"/>
                <w:color w:val="auto"/>
                <w:sz w:val="16"/>
                <w:szCs w:val="22"/>
              </w:rPr>
              <w:t xml:space="preserve">over de voortgang van programma’s die Nederland steunt. </w:t>
            </w:r>
          </w:p>
          <w:p w:rsidRPr="008C70FD" w:rsidR="008050BA" w:rsidP="008C70FD" w:rsidRDefault="000F5E8B" w14:paraId="51806661" w14:textId="6E5043F3">
            <w:pPr>
              <w:pStyle w:val="Default"/>
              <w:numPr>
                <w:ilvl w:val="0"/>
                <w:numId w:val="10"/>
              </w:numPr>
              <w:rPr>
                <w:rFonts w:eastAsia="Calibri"/>
                <w:color w:val="auto"/>
                <w:sz w:val="16"/>
                <w:szCs w:val="22"/>
              </w:rPr>
            </w:pPr>
            <w:r w:rsidRPr="008050BA">
              <w:rPr>
                <w:rFonts w:eastAsia="Calibri"/>
                <w:color w:val="auto"/>
                <w:sz w:val="16"/>
                <w:szCs w:val="22"/>
              </w:rPr>
              <w:t xml:space="preserve">Op basis van alle de voortgangsrapportages en de periodieke monitoring aan de hand van bijv. veldbezoeken, worden programma`s in overleg met de uitvoerder bijgesteld. </w:t>
            </w:r>
            <w:r w:rsidRPr="008050BA" w:rsidR="00E00769">
              <w:rPr>
                <w:rFonts w:eastAsia="Calibri"/>
                <w:color w:val="auto"/>
                <w:sz w:val="16"/>
                <w:szCs w:val="22"/>
              </w:rPr>
              <w:t>Recent is in het kader van het programma</w:t>
            </w:r>
            <w:r w:rsidR="00E00769">
              <w:t xml:space="preserve"> </w:t>
            </w:r>
            <w:r w:rsidRPr="008050BA" w:rsidR="00E00769">
              <w:rPr>
                <w:rFonts w:eastAsia="Calibri"/>
                <w:i/>
                <w:iCs/>
                <w:color w:val="auto"/>
                <w:sz w:val="16"/>
                <w:szCs w:val="22"/>
              </w:rPr>
              <w:t xml:space="preserve">Contributing to Peaceful and Safe </w:t>
            </w:r>
            <w:proofErr w:type="spellStart"/>
            <w:r w:rsidRPr="008050BA" w:rsidR="00E00769">
              <w:rPr>
                <w:rFonts w:eastAsia="Calibri"/>
                <w:i/>
                <w:iCs/>
                <w:color w:val="auto"/>
                <w:sz w:val="16"/>
                <w:szCs w:val="22"/>
              </w:rPr>
              <w:t>Societie</w:t>
            </w:r>
            <w:r w:rsidRPr="008050BA" w:rsidR="00E00769">
              <w:rPr>
                <w:rFonts w:eastAsia="Calibri"/>
                <w:color w:val="auto"/>
                <w:sz w:val="16"/>
                <w:szCs w:val="22"/>
              </w:rPr>
              <w:t>s</w:t>
            </w:r>
            <w:proofErr w:type="spellEnd"/>
            <w:r w:rsidRPr="008050BA" w:rsidR="00E00769">
              <w:rPr>
                <w:rFonts w:eastAsia="Calibri"/>
                <w:color w:val="auto"/>
                <w:sz w:val="16"/>
                <w:szCs w:val="22"/>
              </w:rPr>
              <w:t xml:space="preserve"> een</w:t>
            </w:r>
            <w:r w:rsidRPr="008050BA" w:rsidR="00B42EB6">
              <w:rPr>
                <w:rFonts w:eastAsia="Calibri"/>
                <w:color w:val="auto"/>
                <w:sz w:val="16"/>
                <w:szCs w:val="22"/>
              </w:rPr>
              <w:t xml:space="preserve"> </w:t>
            </w:r>
            <w:proofErr w:type="spellStart"/>
            <w:r w:rsidRPr="008050BA" w:rsidR="00E00769">
              <w:rPr>
                <w:rFonts w:eastAsia="Calibri"/>
                <w:color w:val="auto"/>
                <w:sz w:val="16"/>
                <w:szCs w:val="22"/>
              </w:rPr>
              <w:t>pro-actieve</w:t>
            </w:r>
            <w:proofErr w:type="spellEnd"/>
            <w:r w:rsidRPr="008050BA" w:rsidR="00E00769">
              <w:rPr>
                <w:rFonts w:eastAsia="Calibri"/>
                <w:color w:val="auto"/>
                <w:sz w:val="16"/>
                <w:szCs w:val="22"/>
              </w:rPr>
              <w:t xml:space="preserve"> monitoring</w:t>
            </w:r>
            <w:r w:rsidRPr="008050BA" w:rsidR="00B42EB6">
              <w:rPr>
                <w:rFonts w:eastAsia="Calibri"/>
                <w:color w:val="auto"/>
                <w:sz w:val="16"/>
                <w:szCs w:val="22"/>
              </w:rPr>
              <w:t>-</w:t>
            </w:r>
            <w:r w:rsidRPr="008050BA" w:rsidR="00E00769">
              <w:rPr>
                <w:rFonts w:eastAsia="Calibri"/>
                <w:color w:val="auto"/>
                <w:sz w:val="16"/>
                <w:szCs w:val="22"/>
              </w:rPr>
              <w:t>, evaluatie</w:t>
            </w:r>
            <w:r w:rsidRPr="008050BA" w:rsidR="00B42EB6">
              <w:rPr>
                <w:rFonts w:eastAsia="Calibri"/>
                <w:color w:val="auto"/>
                <w:sz w:val="16"/>
                <w:szCs w:val="22"/>
              </w:rPr>
              <w:t>-,</w:t>
            </w:r>
            <w:r w:rsidRPr="008050BA" w:rsidR="00E00769">
              <w:rPr>
                <w:rFonts w:eastAsia="Calibri"/>
                <w:color w:val="auto"/>
                <w:sz w:val="16"/>
                <w:szCs w:val="22"/>
              </w:rPr>
              <w:t xml:space="preserve"> en leercyclus ingesteld</w:t>
            </w:r>
            <w:r w:rsidRPr="008050BA" w:rsidR="00B42EB6">
              <w:rPr>
                <w:rFonts w:eastAsia="Calibri"/>
                <w:color w:val="auto"/>
                <w:sz w:val="16"/>
                <w:szCs w:val="22"/>
              </w:rPr>
              <w:t xml:space="preserve">, waardoor adaptief en flexibel programmeren de norm is geworden. </w:t>
            </w:r>
          </w:p>
        </w:tc>
      </w:tr>
    </w:tbl>
    <w:p w:rsidRPr="00E00769" w:rsidR="00F51296" w:rsidRDefault="00F51296" w14:paraId="1331B6ED" w14:textId="77777777"/>
    <w:sectPr w:rsidRPr="00E00769" w:rsidR="00F51296">
      <w:headerReference w:type="default" r:id="rId12"/>
      <w:footerReference w:type="default" r:id="rId13"/>
      <w:pgSz w:w="11910" w:h="16840"/>
      <w:pgMar w:top="1420" w:right="1320" w:bottom="1200" w:left="1540" w:header="751" w:footer="100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5942" w14:textId="77777777" w:rsidR="00D14A33" w:rsidRDefault="00D14A33">
      <w:r>
        <w:separator/>
      </w:r>
    </w:p>
  </w:endnote>
  <w:endnote w:type="continuationSeparator" w:id="0">
    <w:p w14:paraId="50BBA527" w14:textId="77777777" w:rsidR="00D14A33" w:rsidRDefault="00D14A33">
      <w:r>
        <w:continuationSeparator/>
      </w:r>
    </w:p>
  </w:endnote>
  <w:endnote w:type="continuationNotice" w:id="1">
    <w:p w14:paraId="3CC2C869" w14:textId="77777777" w:rsidR="00D14A33" w:rsidRDefault="00D14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18B"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2602C0A5" wp14:editId="52A5338F">
              <wp:simplePos x="0" y="0"/>
              <wp:positionH relativeFrom="page">
                <wp:posOffset>6512052</wp:posOffset>
              </wp:positionH>
              <wp:positionV relativeFrom="page">
                <wp:posOffset>9916153</wp:posOffset>
              </wp:positionV>
              <wp:extent cx="1854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602C0A5" id="_x0000_t202" coordsize="21600,21600" o:spt="202" path="m,l,21600r21600,l21600,xe">
              <v:stroke joinstyle="miter"/>
              <v:path gradientshapeok="t" o:connecttype="rect"/>
            </v:shapetype>
            <v:shape id="Textbox 6" o:spid="_x0000_s1027" type="#_x0000_t202" style="position:absolute;margin-left:512.75pt;margin-top:780.8pt;width:14.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n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" filled="f" stroked="f">
              <v:textbox inset="0,0,0,0">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9B96" w14:textId="77777777" w:rsidR="00D14A33" w:rsidRDefault="00D14A33">
      <w:r>
        <w:separator/>
      </w:r>
    </w:p>
  </w:footnote>
  <w:footnote w:type="continuationSeparator" w:id="0">
    <w:p w14:paraId="2E87145A" w14:textId="77777777" w:rsidR="00D14A33" w:rsidRDefault="00D14A33">
      <w:r>
        <w:continuationSeparator/>
      </w:r>
    </w:p>
  </w:footnote>
  <w:footnote w:type="continuationNotice" w:id="1">
    <w:p w14:paraId="08917F3B" w14:textId="77777777" w:rsidR="00D14A33" w:rsidRDefault="00D14A33"/>
  </w:footnote>
  <w:footnote w:id="2">
    <w:p w14:paraId="5BBB4819" w14:textId="371EA83C" w:rsidR="00505EE5" w:rsidRPr="00505EE5" w:rsidRDefault="00505EE5">
      <w:pPr>
        <w:pStyle w:val="FootnoteText"/>
        <w:rPr>
          <w:sz w:val="16"/>
          <w:szCs w:val="16"/>
          <w:lang w:val="en-US"/>
        </w:rPr>
      </w:pPr>
      <w:r w:rsidRPr="00505EE5">
        <w:rPr>
          <w:rStyle w:val="FootnoteReference"/>
          <w:sz w:val="16"/>
          <w:szCs w:val="16"/>
        </w:rPr>
        <w:footnoteRef/>
      </w:r>
      <w:r w:rsidRPr="00385953">
        <w:rPr>
          <w:sz w:val="16"/>
          <w:szCs w:val="16"/>
          <w:lang w:val="en-US"/>
        </w:rPr>
        <w:t xml:space="preserve"> IOB - </w:t>
      </w:r>
      <w:r w:rsidRPr="00505EE5">
        <w:rPr>
          <w:sz w:val="16"/>
          <w:szCs w:val="16"/>
          <w:lang w:val="en-US"/>
        </w:rPr>
        <w:t>Inconvenient Realities 2023</w:t>
      </w:r>
    </w:p>
  </w:footnote>
  <w:footnote w:id="3">
    <w:p w14:paraId="608CA5F2" w14:textId="77777777" w:rsidR="00FC0131" w:rsidRPr="00F2154C" w:rsidRDefault="00FC0131" w:rsidP="00FC0131">
      <w:pPr>
        <w:pStyle w:val="FootnoteText"/>
        <w:rPr>
          <w:sz w:val="16"/>
          <w:szCs w:val="16"/>
          <w:lang w:val="en-US"/>
        </w:rPr>
      </w:pPr>
      <w:r w:rsidRPr="00F2154C">
        <w:rPr>
          <w:rStyle w:val="FootnoteReference"/>
          <w:sz w:val="16"/>
          <w:szCs w:val="16"/>
        </w:rPr>
        <w:footnoteRef/>
      </w:r>
      <w:r w:rsidRPr="00F2154C">
        <w:rPr>
          <w:sz w:val="16"/>
          <w:szCs w:val="16"/>
          <w:lang w:val="en-US"/>
        </w:rPr>
        <w:t xml:space="preserve">  IMF – The Urgency of Conflict Prevention – A Macroeconomic Perspective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EA26"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A11E1A" wp14:editId="530C9D7E">
              <wp:simplePos x="0" y="0"/>
              <wp:positionH relativeFrom="page">
                <wp:posOffset>6512052</wp:posOffset>
              </wp:positionH>
              <wp:positionV relativeFrom="page">
                <wp:posOffset>464311</wp:posOffset>
              </wp:positionV>
              <wp:extent cx="1854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FA11E1A" id="_x0000_t202" coordsize="21600,21600" o:spt="202" path="m,l,21600r21600,l21600,xe">
              <v:stroke joinstyle="miter"/>
              <v:path gradientshapeok="t" o:connecttype="rect"/>
            </v:shapetype>
            <v:shape id="Textbox 5" o:spid="_x0000_s1026" type="#_x0000_t202" style="position:absolute;margin-left:512.75pt;margin-top:36.55pt;width:14.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" filled="f" stroked="f">
              <v:textbox inset="0,0,0,0">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7B3B"/>
    <w:multiLevelType w:val="hybridMultilevel"/>
    <w:tmpl w:val="60842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D639C9"/>
    <w:multiLevelType w:val="hybridMultilevel"/>
    <w:tmpl w:val="4A368FA0"/>
    <w:lvl w:ilvl="0" w:tplc="D7B2457E">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6D7314D"/>
    <w:multiLevelType w:val="hybridMultilevel"/>
    <w:tmpl w:val="A2E6C11A"/>
    <w:lvl w:ilvl="0" w:tplc="7676044A">
      <w:start w:val="1"/>
      <w:numFmt w:val="decimal"/>
      <w:lvlText w:val="%1."/>
      <w:lvlJc w:val="left"/>
      <w:pPr>
        <w:ind w:left="1080" w:hanging="720"/>
      </w:pPr>
      <w:rPr>
        <w:rFonts w:ascii="Calibri" w:eastAsia="Calibr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1109DB"/>
    <w:multiLevelType w:val="hybridMultilevel"/>
    <w:tmpl w:val="9A5A1BA2"/>
    <w:lvl w:ilvl="0" w:tplc="8C70218E">
      <w:numFmt w:val="bullet"/>
      <w:lvlText w:val=""/>
      <w:lvlJc w:val="left"/>
      <w:pPr>
        <w:ind w:left="359" w:hanging="360"/>
      </w:pPr>
      <w:rPr>
        <w:rFonts w:ascii="Wingdings" w:eastAsia="Wingdings" w:hAnsi="Wingdings" w:cs="Wingdings" w:hint="default"/>
        <w:b w:val="0"/>
        <w:bCs w:val="0"/>
        <w:i w:val="0"/>
        <w:iCs w:val="0"/>
        <w:spacing w:val="0"/>
        <w:w w:val="100"/>
        <w:sz w:val="16"/>
        <w:szCs w:val="16"/>
        <w:lang w:val="nl-NL" w:eastAsia="en-US" w:bidi="ar-SA"/>
      </w:rPr>
    </w:lvl>
    <w:lvl w:ilvl="1" w:tplc="ACFA78C6">
      <w:numFmt w:val="bullet"/>
      <w:lvlText w:val="•"/>
      <w:lvlJc w:val="left"/>
      <w:pPr>
        <w:ind w:left="1015" w:hanging="360"/>
      </w:pPr>
      <w:rPr>
        <w:rFonts w:hint="default"/>
        <w:lang w:val="nl-NL" w:eastAsia="en-US" w:bidi="ar-SA"/>
      </w:rPr>
    </w:lvl>
    <w:lvl w:ilvl="2" w:tplc="E06ADB4C">
      <w:numFmt w:val="bullet"/>
      <w:lvlText w:val="•"/>
      <w:lvlJc w:val="left"/>
      <w:pPr>
        <w:ind w:left="1670" w:hanging="360"/>
      </w:pPr>
      <w:rPr>
        <w:rFonts w:hint="default"/>
        <w:lang w:val="nl-NL" w:eastAsia="en-US" w:bidi="ar-SA"/>
      </w:rPr>
    </w:lvl>
    <w:lvl w:ilvl="3" w:tplc="ACFA74E2">
      <w:numFmt w:val="bullet"/>
      <w:lvlText w:val="•"/>
      <w:lvlJc w:val="left"/>
      <w:pPr>
        <w:ind w:left="2325" w:hanging="360"/>
      </w:pPr>
      <w:rPr>
        <w:rFonts w:hint="default"/>
        <w:lang w:val="nl-NL" w:eastAsia="en-US" w:bidi="ar-SA"/>
      </w:rPr>
    </w:lvl>
    <w:lvl w:ilvl="4" w:tplc="75DAA54E">
      <w:numFmt w:val="bullet"/>
      <w:lvlText w:val="•"/>
      <w:lvlJc w:val="left"/>
      <w:pPr>
        <w:ind w:left="2980" w:hanging="360"/>
      </w:pPr>
      <w:rPr>
        <w:rFonts w:hint="default"/>
        <w:lang w:val="nl-NL" w:eastAsia="en-US" w:bidi="ar-SA"/>
      </w:rPr>
    </w:lvl>
    <w:lvl w:ilvl="5" w:tplc="42F2A0B4">
      <w:numFmt w:val="bullet"/>
      <w:lvlText w:val="•"/>
      <w:lvlJc w:val="left"/>
      <w:pPr>
        <w:ind w:left="3635" w:hanging="360"/>
      </w:pPr>
      <w:rPr>
        <w:rFonts w:hint="default"/>
        <w:lang w:val="nl-NL" w:eastAsia="en-US" w:bidi="ar-SA"/>
      </w:rPr>
    </w:lvl>
    <w:lvl w:ilvl="6" w:tplc="A0E287B8">
      <w:numFmt w:val="bullet"/>
      <w:lvlText w:val="•"/>
      <w:lvlJc w:val="left"/>
      <w:pPr>
        <w:ind w:left="4290" w:hanging="360"/>
      </w:pPr>
      <w:rPr>
        <w:rFonts w:hint="default"/>
        <w:lang w:val="nl-NL" w:eastAsia="en-US" w:bidi="ar-SA"/>
      </w:rPr>
    </w:lvl>
    <w:lvl w:ilvl="7" w:tplc="1C0C6FBC">
      <w:numFmt w:val="bullet"/>
      <w:lvlText w:val="•"/>
      <w:lvlJc w:val="left"/>
      <w:pPr>
        <w:ind w:left="4945" w:hanging="360"/>
      </w:pPr>
      <w:rPr>
        <w:rFonts w:hint="default"/>
        <w:lang w:val="nl-NL" w:eastAsia="en-US" w:bidi="ar-SA"/>
      </w:rPr>
    </w:lvl>
    <w:lvl w:ilvl="8" w:tplc="19CCE9BE">
      <w:numFmt w:val="bullet"/>
      <w:lvlText w:val="•"/>
      <w:lvlJc w:val="left"/>
      <w:pPr>
        <w:ind w:left="5600" w:hanging="360"/>
      </w:pPr>
      <w:rPr>
        <w:rFonts w:hint="default"/>
        <w:lang w:val="nl-NL" w:eastAsia="en-US" w:bidi="ar-SA"/>
      </w:rPr>
    </w:lvl>
  </w:abstractNum>
  <w:abstractNum w:abstractNumId="4" w15:restartNumberingAfterBreak="0">
    <w:nsid w:val="40780D69"/>
    <w:multiLevelType w:val="hybridMultilevel"/>
    <w:tmpl w:val="2FD4666C"/>
    <w:lvl w:ilvl="0" w:tplc="9E440DCA">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38D6CADE">
      <w:numFmt w:val="bullet"/>
      <w:lvlText w:val="•"/>
      <w:lvlJc w:val="left"/>
      <w:pPr>
        <w:ind w:left="1013" w:hanging="360"/>
      </w:pPr>
      <w:rPr>
        <w:rFonts w:hint="default"/>
        <w:lang w:val="nl-NL" w:eastAsia="en-US" w:bidi="ar-SA"/>
      </w:rPr>
    </w:lvl>
    <w:lvl w:ilvl="2" w:tplc="3DD6BD5E">
      <w:numFmt w:val="bullet"/>
      <w:lvlText w:val="•"/>
      <w:lvlJc w:val="left"/>
      <w:pPr>
        <w:ind w:left="1666" w:hanging="360"/>
      </w:pPr>
      <w:rPr>
        <w:rFonts w:hint="default"/>
        <w:lang w:val="nl-NL" w:eastAsia="en-US" w:bidi="ar-SA"/>
      </w:rPr>
    </w:lvl>
    <w:lvl w:ilvl="3" w:tplc="777A0116">
      <w:numFmt w:val="bullet"/>
      <w:lvlText w:val="•"/>
      <w:lvlJc w:val="left"/>
      <w:pPr>
        <w:ind w:left="2319" w:hanging="360"/>
      </w:pPr>
      <w:rPr>
        <w:rFonts w:hint="default"/>
        <w:lang w:val="nl-NL" w:eastAsia="en-US" w:bidi="ar-SA"/>
      </w:rPr>
    </w:lvl>
    <w:lvl w:ilvl="4" w:tplc="22F8EC82">
      <w:numFmt w:val="bullet"/>
      <w:lvlText w:val="•"/>
      <w:lvlJc w:val="left"/>
      <w:pPr>
        <w:ind w:left="2973" w:hanging="360"/>
      </w:pPr>
      <w:rPr>
        <w:rFonts w:hint="default"/>
        <w:lang w:val="nl-NL" w:eastAsia="en-US" w:bidi="ar-SA"/>
      </w:rPr>
    </w:lvl>
    <w:lvl w:ilvl="5" w:tplc="CFCE8D90">
      <w:numFmt w:val="bullet"/>
      <w:lvlText w:val="•"/>
      <w:lvlJc w:val="left"/>
      <w:pPr>
        <w:ind w:left="3626" w:hanging="360"/>
      </w:pPr>
      <w:rPr>
        <w:rFonts w:hint="default"/>
        <w:lang w:val="nl-NL" w:eastAsia="en-US" w:bidi="ar-SA"/>
      </w:rPr>
    </w:lvl>
    <w:lvl w:ilvl="6" w:tplc="5E984906">
      <w:numFmt w:val="bullet"/>
      <w:lvlText w:val="•"/>
      <w:lvlJc w:val="left"/>
      <w:pPr>
        <w:ind w:left="4279" w:hanging="360"/>
      </w:pPr>
      <w:rPr>
        <w:rFonts w:hint="default"/>
        <w:lang w:val="nl-NL" w:eastAsia="en-US" w:bidi="ar-SA"/>
      </w:rPr>
    </w:lvl>
    <w:lvl w:ilvl="7" w:tplc="B82AB500">
      <w:numFmt w:val="bullet"/>
      <w:lvlText w:val="•"/>
      <w:lvlJc w:val="left"/>
      <w:pPr>
        <w:ind w:left="4933" w:hanging="360"/>
      </w:pPr>
      <w:rPr>
        <w:rFonts w:hint="default"/>
        <w:lang w:val="nl-NL" w:eastAsia="en-US" w:bidi="ar-SA"/>
      </w:rPr>
    </w:lvl>
    <w:lvl w:ilvl="8" w:tplc="691A705C">
      <w:numFmt w:val="bullet"/>
      <w:lvlText w:val="•"/>
      <w:lvlJc w:val="left"/>
      <w:pPr>
        <w:ind w:left="5586" w:hanging="360"/>
      </w:pPr>
      <w:rPr>
        <w:rFonts w:hint="default"/>
        <w:lang w:val="nl-NL" w:eastAsia="en-US" w:bidi="ar-SA"/>
      </w:rPr>
    </w:lvl>
  </w:abstractNum>
  <w:abstractNum w:abstractNumId="5" w15:restartNumberingAfterBreak="0">
    <w:nsid w:val="48193A62"/>
    <w:multiLevelType w:val="hybridMultilevel"/>
    <w:tmpl w:val="045474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980B28"/>
    <w:multiLevelType w:val="hybridMultilevel"/>
    <w:tmpl w:val="42120974"/>
    <w:lvl w:ilvl="0" w:tplc="084493DE">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1EE326A">
      <w:numFmt w:val="bullet"/>
      <w:lvlText w:val="•"/>
      <w:lvlJc w:val="left"/>
      <w:pPr>
        <w:ind w:left="1013" w:hanging="360"/>
      </w:pPr>
      <w:rPr>
        <w:rFonts w:hint="default"/>
        <w:lang w:val="nl-NL" w:eastAsia="en-US" w:bidi="ar-SA"/>
      </w:rPr>
    </w:lvl>
    <w:lvl w:ilvl="2" w:tplc="8B28FD58">
      <w:numFmt w:val="bullet"/>
      <w:lvlText w:val="•"/>
      <w:lvlJc w:val="left"/>
      <w:pPr>
        <w:ind w:left="1666" w:hanging="360"/>
      </w:pPr>
      <w:rPr>
        <w:rFonts w:hint="default"/>
        <w:lang w:val="nl-NL" w:eastAsia="en-US" w:bidi="ar-SA"/>
      </w:rPr>
    </w:lvl>
    <w:lvl w:ilvl="3" w:tplc="C1267A56">
      <w:numFmt w:val="bullet"/>
      <w:lvlText w:val="•"/>
      <w:lvlJc w:val="left"/>
      <w:pPr>
        <w:ind w:left="2319" w:hanging="360"/>
      </w:pPr>
      <w:rPr>
        <w:rFonts w:hint="default"/>
        <w:lang w:val="nl-NL" w:eastAsia="en-US" w:bidi="ar-SA"/>
      </w:rPr>
    </w:lvl>
    <w:lvl w:ilvl="4" w:tplc="AD840BE2">
      <w:numFmt w:val="bullet"/>
      <w:lvlText w:val="•"/>
      <w:lvlJc w:val="left"/>
      <w:pPr>
        <w:ind w:left="2973" w:hanging="360"/>
      </w:pPr>
      <w:rPr>
        <w:rFonts w:hint="default"/>
        <w:lang w:val="nl-NL" w:eastAsia="en-US" w:bidi="ar-SA"/>
      </w:rPr>
    </w:lvl>
    <w:lvl w:ilvl="5" w:tplc="55E0DCD8">
      <w:numFmt w:val="bullet"/>
      <w:lvlText w:val="•"/>
      <w:lvlJc w:val="left"/>
      <w:pPr>
        <w:ind w:left="3626" w:hanging="360"/>
      </w:pPr>
      <w:rPr>
        <w:rFonts w:hint="default"/>
        <w:lang w:val="nl-NL" w:eastAsia="en-US" w:bidi="ar-SA"/>
      </w:rPr>
    </w:lvl>
    <w:lvl w:ilvl="6" w:tplc="D9FEA1FA">
      <w:numFmt w:val="bullet"/>
      <w:lvlText w:val="•"/>
      <w:lvlJc w:val="left"/>
      <w:pPr>
        <w:ind w:left="4279" w:hanging="360"/>
      </w:pPr>
      <w:rPr>
        <w:rFonts w:hint="default"/>
        <w:lang w:val="nl-NL" w:eastAsia="en-US" w:bidi="ar-SA"/>
      </w:rPr>
    </w:lvl>
    <w:lvl w:ilvl="7" w:tplc="7430C68A">
      <w:numFmt w:val="bullet"/>
      <w:lvlText w:val="•"/>
      <w:lvlJc w:val="left"/>
      <w:pPr>
        <w:ind w:left="4933" w:hanging="360"/>
      </w:pPr>
      <w:rPr>
        <w:rFonts w:hint="default"/>
        <w:lang w:val="nl-NL" w:eastAsia="en-US" w:bidi="ar-SA"/>
      </w:rPr>
    </w:lvl>
    <w:lvl w:ilvl="8" w:tplc="4352FB80">
      <w:numFmt w:val="bullet"/>
      <w:lvlText w:val="•"/>
      <w:lvlJc w:val="left"/>
      <w:pPr>
        <w:ind w:left="5586" w:hanging="360"/>
      </w:pPr>
      <w:rPr>
        <w:rFonts w:hint="default"/>
        <w:lang w:val="nl-NL" w:eastAsia="en-US" w:bidi="ar-SA"/>
      </w:rPr>
    </w:lvl>
  </w:abstractNum>
  <w:abstractNum w:abstractNumId="7" w15:restartNumberingAfterBreak="0">
    <w:nsid w:val="504F3736"/>
    <w:multiLevelType w:val="hybridMultilevel"/>
    <w:tmpl w:val="B3685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379CC"/>
    <w:multiLevelType w:val="hybridMultilevel"/>
    <w:tmpl w:val="BC32611E"/>
    <w:lvl w:ilvl="0" w:tplc="194CED38">
      <w:numFmt w:val="bullet"/>
      <w:lvlText w:val=""/>
      <w:lvlJc w:val="left"/>
      <w:pPr>
        <w:ind w:left="715" w:hanging="361"/>
      </w:pPr>
      <w:rPr>
        <w:rFonts w:ascii="Wingdings" w:eastAsia="Wingdings" w:hAnsi="Wingdings" w:cs="Wingdings" w:hint="default"/>
        <w:b w:val="0"/>
        <w:bCs w:val="0"/>
        <w:i w:val="0"/>
        <w:iCs w:val="0"/>
        <w:spacing w:val="0"/>
        <w:w w:val="100"/>
        <w:sz w:val="16"/>
        <w:szCs w:val="16"/>
        <w:lang w:val="nl-NL" w:eastAsia="en-US" w:bidi="ar-SA"/>
      </w:rPr>
    </w:lvl>
    <w:lvl w:ilvl="1" w:tplc="191CAE2A">
      <w:numFmt w:val="bullet"/>
      <w:lvlText w:val="•"/>
      <w:lvlJc w:val="left"/>
      <w:pPr>
        <w:ind w:left="1337" w:hanging="361"/>
      </w:pPr>
      <w:rPr>
        <w:rFonts w:hint="default"/>
        <w:lang w:val="nl-NL" w:eastAsia="en-US" w:bidi="ar-SA"/>
      </w:rPr>
    </w:lvl>
    <w:lvl w:ilvl="2" w:tplc="F1C6E3A2">
      <w:numFmt w:val="bullet"/>
      <w:lvlText w:val="•"/>
      <w:lvlJc w:val="left"/>
      <w:pPr>
        <w:ind w:left="1954" w:hanging="361"/>
      </w:pPr>
      <w:rPr>
        <w:rFonts w:hint="default"/>
        <w:lang w:val="nl-NL" w:eastAsia="en-US" w:bidi="ar-SA"/>
      </w:rPr>
    </w:lvl>
    <w:lvl w:ilvl="3" w:tplc="81B4681C">
      <w:numFmt w:val="bullet"/>
      <w:lvlText w:val="•"/>
      <w:lvlJc w:val="left"/>
      <w:pPr>
        <w:ind w:left="2571" w:hanging="361"/>
      </w:pPr>
      <w:rPr>
        <w:rFonts w:hint="default"/>
        <w:lang w:val="nl-NL" w:eastAsia="en-US" w:bidi="ar-SA"/>
      </w:rPr>
    </w:lvl>
    <w:lvl w:ilvl="4" w:tplc="70F4A96E">
      <w:numFmt w:val="bullet"/>
      <w:lvlText w:val="•"/>
      <w:lvlJc w:val="left"/>
      <w:pPr>
        <w:ind w:left="3189" w:hanging="361"/>
      </w:pPr>
      <w:rPr>
        <w:rFonts w:hint="default"/>
        <w:lang w:val="nl-NL" w:eastAsia="en-US" w:bidi="ar-SA"/>
      </w:rPr>
    </w:lvl>
    <w:lvl w:ilvl="5" w:tplc="56EACB98">
      <w:numFmt w:val="bullet"/>
      <w:lvlText w:val="•"/>
      <w:lvlJc w:val="left"/>
      <w:pPr>
        <w:ind w:left="3806" w:hanging="361"/>
      </w:pPr>
      <w:rPr>
        <w:rFonts w:hint="default"/>
        <w:lang w:val="nl-NL" w:eastAsia="en-US" w:bidi="ar-SA"/>
      </w:rPr>
    </w:lvl>
    <w:lvl w:ilvl="6" w:tplc="10224878">
      <w:numFmt w:val="bullet"/>
      <w:lvlText w:val="•"/>
      <w:lvlJc w:val="left"/>
      <w:pPr>
        <w:ind w:left="4423" w:hanging="361"/>
      </w:pPr>
      <w:rPr>
        <w:rFonts w:hint="default"/>
        <w:lang w:val="nl-NL" w:eastAsia="en-US" w:bidi="ar-SA"/>
      </w:rPr>
    </w:lvl>
    <w:lvl w:ilvl="7" w:tplc="8508F266">
      <w:numFmt w:val="bullet"/>
      <w:lvlText w:val="•"/>
      <w:lvlJc w:val="left"/>
      <w:pPr>
        <w:ind w:left="5041" w:hanging="361"/>
      </w:pPr>
      <w:rPr>
        <w:rFonts w:hint="default"/>
        <w:lang w:val="nl-NL" w:eastAsia="en-US" w:bidi="ar-SA"/>
      </w:rPr>
    </w:lvl>
    <w:lvl w:ilvl="8" w:tplc="D2800F2C">
      <w:numFmt w:val="bullet"/>
      <w:lvlText w:val="•"/>
      <w:lvlJc w:val="left"/>
      <w:pPr>
        <w:ind w:left="5658" w:hanging="361"/>
      </w:pPr>
      <w:rPr>
        <w:rFonts w:hint="default"/>
        <w:lang w:val="nl-NL" w:eastAsia="en-US" w:bidi="ar-SA"/>
      </w:rPr>
    </w:lvl>
  </w:abstractNum>
  <w:abstractNum w:abstractNumId="9" w15:restartNumberingAfterBreak="0">
    <w:nsid w:val="60957EF9"/>
    <w:multiLevelType w:val="hybridMultilevel"/>
    <w:tmpl w:val="CF581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9F57AF"/>
    <w:multiLevelType w:val="hybridMultilevel"/>
    <w:tmpl w:val="21563070"/>
    <w:lvl w:ilvl="0" w:tplc="C1C05602">
      <w:numFmt w:val="bullet"/>
      <w:lvlText w:val=""/>
      <w:lvlJc w:val="left"/>
      <w:pPr>
        <w:ind w:left="359" w:hanging="361"/>
      </w:pPr>
      <w:rPr>
        <w:rFonts w:ascii="Wingdings" w:eastAsia="Wingdings" w:hAnsi="Wingdings" w:cs="Wingdings" w:hint="default"/>
        <w:b w:val="0"/>
        <w:bCs w:val="0"/>
        <w:i w:val="0"/>
        <w:iCs w:val="0"/>
        <w:spacing w:val="0"/>
        <w:w w:val="100"/>
        <w:sz w:val="16"/>
        <w:szCs w:val="16"/>
        <w:lang w:val="nl-NL" w:eastAsia="en-US" w:bidi="ar-SA"/>
      </w:rPr>
    </w:lvl>
    <w:lvl w:ilvl="1" w:tplc="05527F5C">
      <w:numFmt w:val="bullet"/>
      <w:lvlText w:val="•"/>
      <w:lvlJc w:val="left"/>
      <w:pPr>
        <w:ind w:left="1015" w:hanging="361"/>
      </w:pPr>
      <w:rPr>
        <w:rFonts w:hint="default"/>
        <w:lang w:val="nl-NL" w:eastAsia="en-US" w:bidi="ar-SA"/>
      </w:rPr>
    </w:lvl>
    <w:lvl w:ilvl="2" w:tplc="4A260D22">
      <w:numFmt w:val="bullet"/>
      <w:lvlText w:val="•"/>
      <w:lvlJc w:val="left"/>
      <w:pPr>
        <w:ind w:left="1670" w:hanging="361"/>
      </w:pPr>
      <w:rPr>
        <w:rFonts w:hint="default"/>
        <w:lang w:val="nl-NL" w:eastAsia="en-US" w:bidi="ar-SA"/>
      </w:rPr>
    </w:lvl>
    <w:lvl w:ilvl="3" w:tplc="29609D6E">
      <w:numFmt w:val="bullet"/>
      <w:lvlText w:val="•"/>
      <w:lvlJc w:val="left"/>
      <w:pPr>
        <w:ind w:left="2325" w:hanging="361"/>
      </w:pPr>
      <w:rPr>
        <w:rFonts w:hint="default"/>
        <w:lang w:val="nl-NL" w:eastAsia="en-US" w:bidi="ar-SA"/>
      </w:rPr>
    </w:lvl>
    <w:lvl w:ilvl="4" w:tplc="08700E4E">
      <w:numFmt w:val="bullet"/>
      <w:lvlText w:val="•"/>
      <w:lvlJc w:val="left"/>
      <w:pPr>
        <w:ind w:left="2980" w:hanging="361"/>
      </w:pPr>
      <w:rPr>
        <w:rFonts w:hint="default"/>
        <w:lang w:val="nl-NL" w:eastAsia="en-US" w:bidi="ar-SA"/>
      </w:rPr>
    </w:lvl>
    <w:lvl w:ilvl="5" w:tplc="29CCE75E">
      <w:numFmt w:val="bullet"/>
      <w:lvlText w:val="•"/>
      <w:lvlJc w:val="left"/>
      <w:pPr>
        <w:ind w:left="3635" w:hanging="361"/>
      </w:pPr>
      <w:rPr>
        <w:rFonts w:hint="default"/>
        <w:lang w:val="nl-NL" w:eastAsia="en-US" w:bidi="ar-SA"/>
      </w:rPr>
    </w:lvl>
    <w:lvl w:ilvl="6" w:tplc="87DA5EA4">
      <w:numFmt w:val="bullet"/>
      <w:lvlText w:val="•"/>
      <w:lvlJc w:val="left"/>
      <w:pPr>
        <w:ind w:left="4290" w:hanging="361"/>
      </w:pPr>
      <w:rPr>
        <w:rFonts w:hint="default"/>
        <w:lang w:val="nl-NL" w:eastAsia="en-US" w:bidi="ar-SA"/>
      </w:rPr>
    </w:lvl>
    <w:lvl w:ilvl="7" w:tplc="1B9A3C22">
      <w:numFmt w:val="bullet"/>
      <w:lvlText w:val="•"/>
      <w:lvlJc w:val="left"/>
      <w:pPr>
        <w:ind w:left="4945" w:hanging="361"/>
      </w:pPr>
      <w:rPr>
        <w:rFonts w:hint="default"/>
        <w:lang w:val="nl-NL" w:eastAsia="en-US" w:bidi="ar-SA"/>
      </w:rPr>
    </w:lvl>
    <w:lvl w:ilvl="8" w:tplc="395CEBF4">
      <w:numFmt w:val="bullet"/>
      <w:lvlText w:val="•"/>
      <w:lvlJc w:val="left"/>
      <w:pPr>
        <w:ind w:left="5600" w:hanging="361"/>
      </w:pPr>
      <w:rPr>
        <w:rFonts w:hint="default"/>
        <w:lang w:val="nl-NL" w:eastAsia="en-US" w:bidi="ar-SA"/>
      </w:rPr>
    </w:lvl>
  </w:abstractNum>
  <w:abstractNum w:abstractNumId="11" w15:restartNumberingAfterBreak="0">
    <w:nsid w:val="781A57A6"/>
    <w:multiLevelType w:val="hybridMultilevel"/>
    <w:tmpl w:val="6ACC746A"/>
    <w:lvl w:ilvl="0" w:tplc="970660EE">
      <w:numFmt w:val="bullet"/>
      <w:lvlText w:val=""/>
      <w:lvlJc w:val="left"/>
      <w:pPr>
        <w:ind w:left="719" w:hanging="361"/>
      </w:pPr>
      <w:rPr>
        <w:rFonts w:ascii="Wingdings" w:eastAsia="Wingdings" w:hAnsi="Wingdings" w:cs="Wingdings" w:hint="default"/>
        <w:b w:val="0"/>
        <w:bCs w:val="0"/>
        <w:i w:val="0"/>
        <w:iCs w:val="0"/>
        <w:spacing w:val="0"/>
        <w:w w:val="100"/>
        <w:sz w:val="16"/>
        <w:szCs w:val="16"/>
        <w:lang w:val="nl-NL" w:eastAsia="en-US" w:bidi="ar-SA"/>
      </w:rPr>
    </w:lvl>
    <w:lvl w:ilvl="1" w:tplc="10889206">
      <w:numFmt w:val="bullet"/>
      <w:lvlText w:val="•"/>
      <w:lvlJc w:val="left"/>
      <w:pPr>
        <w:ind w:left="1339" w:hanging="361"/>
      </w:pPr>
      <w:rPr>
        <w:rFonts w:hint="default"/>
        <w:lang w:val="nl-NL" w:eastAsia="en-US" w:bidi="ar-SA"/>
      </w:rPr>
    </w:lvl>
    <w:lvl w:ilvl="2" w:tplc="68E49240">
      <w:numFmt w:val="bullet"/>
      <w:lvlText w:val="•"/>
      <w:lvlJc w:val="left"/>
      <w:pPr>
        <w:ind w:left="1958" w:hanging="361"/>
      </w:pPr>
      <w:rPr>
        <w:rFonts w:hint="default"/>
        <w:lang w:val="nl-NL" w:eastAsia="en-US" w:bidi="ar-SA"/>
      </w:rPr>
    </w:lvl>
    <w:lvl w:ilvl="3" w:tplc="09CC1D56">
      <w:numFmt w:val="bullet"/>
      <w:lvlText w:val="•"/>
      <w:lvlJc w:val="left"/>
      <w:pPr>
        <w:ind w:left="2577" w:hanging="361"/>
      </w:pPr>
      <w:rPr>
        <w:rFonts w:hint="default"/>
        <w:lang w:val="nl-NL" w:eastAsia="en-US" w:bidi="ar-SA"/>
      </w:rPr>
    </w:lvl>
    <w:lvl w:ilvl="4" w:tplc="C89205FE">
      <w:numFmt w:val="bullet"/>
      <w:lvlText w:val="•"/>
      <w:lvlJc w:val="left"/>
      <w:pPr>
        <w:ind w:left="3196" w:hanging="361"/>
      </w:pPr>
      <w:rPr>
        <w:rFonts w:hint="default"/>
        <w:lang w:val="nl-NL" w:eastAsia="en-US" w:bidi="ar-SA"/>
      </w:rPr>
    </w:lvl>
    <w:lvl w:ilvl="5" w:tplc="3BBADA7A">
      <w:numFmt w:val="bullet"/>
      <w:lvlText w:val="•"/>
      <w:lvlJc w:val="left"/>
      <w:pPr>
        <w:ind w:left="3815" w:hanging="361"/>
      </w:pPr>
      <w:rPr>
        <w:rFonts w:hint="default"/>
        <w:lang w:val="nl-NL" w:eastAsia="en-US" w:bidi="ar-SA"/>
      </w:rPr>
    </w:lvl>
    <w:lvl w:ilvl="6" w:tplc="06D68B1C">
      <w:numFmt w:val="bullet"/>
      <w:lvlText w:val="•"/>
      <w:lvlJc w:val="left"/>
      <w:pPr>
        <w:ind w:left="4434" w:hanging="361"/>
      </w:pPr>
      <w:rPr>
        <w:rFonts w:hint="default"/>
        <w:lang w:val="nl-NL" w:eastAsia="en-US" w:bidi="ar-SA"/>
      </w:rPr>
    </w:lvl>
    <w:lvl w:ilvl="7" w:tplc="22BE5EB8">
      <w:numFmt w:val="bullet"/>
      <w:lvlText w:val="•"/>
      <w:lvlJc w:val="left"/>
      <w:pPr>
        <w:ind w:left="5053" w:hanging="361"/>
      </w:pPr>
      <w:rPr>
        <w:rFonts w:hint="default"/>
        <w:lang w:val="nl-NL" w:eastAsia="en-US" w:bidi="ar-SA"/>
      </w:rPr>
    </w:lvl>
    <w:lvl w:ilvl="8" w:tplc="3E6C1716">
      <w:numFmt w:val="bullet"/>
      <w:lvlText w:val="•"/>
      <w:lvlJc w:val="left"/>
      <w:pPr>
        <w:ind w:left="5672" w:hanging="361"/>
      </w:pPr>
      <w:rPr>
        <w:rFonts w:hint="default"/>
        <w:lang w:val="nl-NL" w:eastAsia="en-US" w:bidi="ar-SA"/>
      </w:rPr>
    </w:lvl>
  </w:abstractNum>
  <w:abstractNum w:abstractNumId="12" w15:restartNumberingAfterBreak="0">
    <w:nsid w:val="7C7C6FEB"/>
    <w:multiLevelType w:val="hybridMultilevel"/>
    <w:tmpl w:val="B9FC8982"/>
    <w:lvl w:ilvl="0" w:tplc="A1466F88">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2BC1530">
      <w:numFmt w:val="bullet"/>
      <w:lvlText w:val="•"/>
      <w:lvlJc w:val="left"/>
      <w:pPr>
        <w:ind w:left="1013" w:hanging="360"/>
      </w:pPr>
      <w:rPr>
        <w:rFonts w:hint="default"/>
        <w:lang w:val="nl-NL" w:eastAsia="en-US" w:bidi="ar-SA"/>
      </w:rPr>
    </w:lvl>
    <w:lvl w:ilvl="2" w:tplc="28CA2738">
      <w:numFmt w:val="bullet"/>
      <w:lvlText w:val="•"/>
      <w:lvlJc w:val="left"/>
      <w:pPr>
        <w:ind w:left="1666" w:hanging="360"/>
      </w:pPr>
      <w:rPr>
        <w:rFonts w:hint="default"/>
        <w:lang w:val="nl-NL" w:eastAsia="en-US" w:bidi="ar-SA"/>
      </w:rPr>
    </w:lvl>
    <w:lvl w:ilvl="3" w:tplc="EDBC01F2">
      <w:numFmt w:val="bullet"/>
      <w:lvlText w:val="•"/>
      <w:lvlJc w:val="left"/>
      <w:pPr>
        <w:ind w:left="2319" w:hanging="360"/>
      </w:pPr>
      <w:rPr>
        <w:rFonts w:hint="default"/>
        <w:lang w:val="nl-NL" w:eastAsia="en-US" w:bidi="ar-SA"/>
      </w:rPr>
    </w:lvl>
    <w:lvl w:ilvl="4" w:tplc="23FCC6EA">
      <w:numFmt w:val="bullet"/>
      <w:lvlText w:val="•"/>
      <w:lvlJc w:val="left"/>
      <w:pPr>
        <w:ind w:left="2973" w:hanging="360"/>
      </w:pPr>
      <w:rPr>
        <w:rFonts w:hint="default"/>
        <w:lang w:val="nl-NL" w:eastAsia="en-US" w:bidi="ar-SA"/>
      </w:rPr>
    </w:lvl>
    <w:lvl w:ilvl="5" w:tplc="B0509072">
      <w:numFmt w:val="bullet"/>
      <w:lvlText w:val="•"/>
      <w:lvlJc w:val="left"/>
      <w:pPr>
        <w:ind w:left="3626" w:hanging="360"/>
      </w:pPr>
      <w:rPr>
        <w:rFonts w:hint="default"/>
        <w:lang w:val="nl-NL" w:eastAsia="en-US" w:bidi="ar-SA"/>
      </w:rPr>
    </w:lvl>
    <w:lvl w:ilvl="6" w:tplc="FD040ACC">
      <w:numFmt w:val="bullet"/>
      <w:lvlText w:val="•"/>
      <w:lvlJc w:val="left"/>
      <w:pPr>
        <w:ind w:left="4279" w:hanging="360"/>
      </w:pPr>
      <w:rPr>
        <w:rFonts w:hint="default"/>
        <w:lang w:val="nl-NL" w:eastAsia="en-US" w:bidi="ar-SA"/>
      </w:rPr>
    </w:lvl>
    <w:lvl w:ilvl="7" w:tplc="84622DDA">
      <w:numFmt w:val="bullet"/>
      <w:lvlText w:val="•"/>
      <w:lvlJc w:val="left"/>
      <w:pPr>
        <w:ind w:left="4933" w:hanging="360"/>
      </w:pPr>
      <w:rPr>
        <w:rFonts w:hint="default"/>
        <w:lang w:val="nl-NL" w:eastAsia="en-US" w:bidi="ar-SA"/>
      </w:rPr>
    </w:lvl>
    <w:lvl w:ilvl="8" w:tplc="9168CBF0">
      <w:numFmt w:val="bullet"/>
      <w:lvlText w:val="•"/>
      <w:lvlJc w:val="left"/>
      <w:pPr>
        <w:ind w:left="5586" w:hanging="360"/>
      </w:pPr>
      <w:rPr>
        <w:rFonts w:hint="default"/>
        <w:lang w:val="nl-NL" w:eastAsia="en-US" w:bidi="ar-SA"/>
      </w:rPr>
    </w:lvl>
  </w:abstractNum>
  <w:num w:numId="1" w16cid:durableId="2136556335">
    <w:abstractNumId w:val="3"/>
  </w:num>
  <w:num w:numId="2" w16cid:durableId="1635599099">
    <w:abstractNumId w:val="10"/>
  </w:num>
  <w:num w:numId="3" w16cid:durableId="1088773125">
    <w:abstractNumId w:val="4"/>
  </w:num>
  <w:num w:numId="4" w16cid:durableId="1176917857">
    <w:abstractNumId w:val="12"/>
  </w:num>
  <w:num w:numId="5" w16cid:durableId="1137188411">
    <w:abstractNumId w:val="6"/>
  </w:num>
  <w:num w:numId="6" w16cid:durableId="1589266180">
    <w:abstractNumId w:val="8"/>
  </w:num>
  <w:num w:numId="7" w16cid:durableId="127164559">
    <w:abstractNumId w:val="11"/>
  </w:num>
  <w:num w:numId="8" w16cid:durableId="1701279479">
    <w:abstractNumId w:val="0"/>
  </w:num>
  <w:num w:numId="9" w16cid:durableId="1806659157">
    <w:abstractNumId w:val="2"/>
  </w:num>
  <w:num w:numId="10" w16cid:durableId="1408334573">
    <w:abstractNumId w:val="5"/>
  </w:num>
  <w:num w:numId="11" w16cid:durableId="591282316">
    <w:abstractNumId w:val="1"/>
  </w:num>
  <w:num w:numId="12" w16cid:durableId="1745763510">
    <w:abstractNumId w:val="9"/>
  </w:num>
  <w:num w:numId="13" w16cid:durableId="1447848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45"/>
    <w:rsid w:val="00003519"/>
    <w:rsid w:val="00015D76"/>
    <w:rsid w:val="00016EFF"/>
    <w:rsid w:val="00032D06"/>
    <w:rsid w:val="0005550E"/>
    <w:rsid w:val="000A0056"/>
    <w:rsid w:val="000F5E8B"/>
    <w:rsid w:val="0014500D"/>
    <w:rsid w:val="00154ECC"/>
    <w:rsid w:val="0016208D"/>
    <w:rsid w:val="00165AFE"/>
    <w:rsid w:val="0017093B"/>
    <w:rsid w:val="00170EF3"/>
    <w:rsid w:val="001A11E4"/>
    <w:rsid w:val="001A37AE"/>
    <w:rsid w:val="001C0863"/>
    <w:rsid w:val="001D4D3C"/>
    <w:rsid w:val="001F2F03"/>
    <w:rsid w:val="0026372B"/>
    <w:rsid w:val="002A4D8E"/>
    <w:rsid w:val="002B58E4"/>
    <w:rsid w:val="002F5913"/>
    <w:rsid w:val="0030371A"/>
    <w:rsid w:val="0031305E"/>
    <w:rsid w:val="00316D9C"/>
    <w:rsid w:val="00320833"/>
    <w:rsid w:val="00385953"/>
    <w:rsid w:val="0038739F"/>
    <w:rsid w:val="003A267B"/>
    <w:rsid w:val="0043702E"/>
    <w:rsid w:val="004930C4"/>
    <w:rsid w:val="004C6D4A"/>
    <w:rsid w:val="00504CC4"/>
    <w:rsid w:val="00505EE5"/>
    <w:rsid w:val="005101C3"/>
    <w:rsid w:val="00510AEA"/>
    <w:rsid w:val="0052362A"/>
    <w:rsid w:val="0053339A"/>
    <w:rsid w:val="00593973"/>
    <w:rsid w:val="00594F11"/>
    <w:rsid w:val="00595385"/>
    <w:rsid w:val="005A2DD4"/>
    <w:rsid w:val="005A7C92"/>
    <w:rsid w:val="00617C2F"/>
    <w:rsid w:val="006315E4"/>
    <w:rsid w:val="0064237C"/>
    <w:rsid w:val="00642419"/>
    <w:rsid w:val="00651573"/>
    <w:rsid w:val="00686092"/>
    <w:rsid w:val="0069577D"/>
    <w:rsid w:val="00706774"/>
    <w:rsid w:val="007570C1"/>
    <w:rsid w:val="007A4408"/>
    <w:rsid w:val="007D5845"/>
    <w:rsid w:val="007E4A65"/>
    <w:rsid w:val="008050BA"/>
    <w:rsid w:val="0082362B"/>
    <w:rsid w:val="0083415F"/>
    <w:rsid w:val="00841101"/>
    <w:rsid w:val="0084428D"/>
    <w:rsid w:val="00854177"/>
    <w:rsid w:val="00857CA4"/>
    <w:rsid w:val="00890B86"/>
    <w:rsid w:val="008B69C5"/>
    <w:rsid w:val="008C1CD3"/>
    <w:rsid w:val="008C409C"/>
    <w:rsid w:val="008C70FD"/>
    <w:rsid w:val="008F4EF7"/>
    <w:rsid w:val="009152BC"/>
    <w:rsid w:val="00917AEE"/>
    <w:rsid w:val="0098648A"/>
    <w:rsid w:val="00987B32"/>
    <w:rsid w:val="0099258D"/>
    <w:rsid w:val="00A951F4"/>
    <w:rsid w:val="00B13FF7"/>
    <w:rsid w:val="00B34A32"/>
    <w:rsid w:val="00B42EB6"/>
    <w:rsid w:val="00B8605F"/>
    <w:rsid w:val="00B96979"/>
    <w:rsid w:val="00BD3562"/>
    <w:rsid w:val="00BE1622"/>
    <w:rsid w:val="00BF37A8"/>
    <w:rsid w:val="00C20818"/>
    <w:rsid w:val="00C22845"/>
    <w:rsid w:val="00C24D33"/>
    <w:rsid w:val="00C73E06"/>
    <w:rsid w:val="00C8442E"/>
    <w:rsid w:val="00C9173D"/>
    <w:rsid w:val="00C928F2"/>
    <w:rsid w:val="00C96D17"/>
    <w:rsid w:val="00CB19BE"/>
    <w:rsid w:val="00CF07D1"/>
    <w:rsid w:val="00D10413"/>
    <w:rsid w:val="00D14A33"/>
    <w:rsid w:val="00D251CB"/>
    <w:rsid w:val="00DA16FA"/>
    <w:rsid w:val="00DC2509"/>
    <w:rsid w:val="00DC2D30"/>
    <w:rsid w:val="00DD30EA"/>
    <w:rsid w:val="00DF3275"/>
    <w:rsid w:val="00E00769"/>
    <w:rsid w:val="00E02472"/>
    <w:rsid w:val="00E16764"/>
    <w:rsid w:val="00E171CF"/>
    <w:rsid w:val="00E45D23"/>
    <w:rsid w:val="00E5089C"/>
    <w:rsid w:val="00E739C6"/>
    <w:rsid w:val="00E83AD4"/>
    <w:rsid w:val="00EA337E"/>
    <w:rsid w:val="00ED2A07"/>
    <w:rsid w:val="00EE5E60"/>
    <w:rsid w:val="00F21424"/>
    <w:rsid w:val="00F2154C"/>
    <w:rsid w:val="00F218F1"/>
    <w:rsid w:val="00F25C90"/>
    <w:rsid w:val="00F51296"/>
    <w:rsid w:val="00F90FDB"/>
    <w:rsid w:val="00FA4800"/>
    <w:rsid w:val="00FA762D"/>
    <w:rsid w:val="00FB30AE"/>
    <w:rsid w:val="00FC0131"/>
    <w:rsid w:val="00FC0779"/>
    <w:rsid w:val="00FE5142"/>
    <w:rsid w:val="00FF5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6600"/>
  <w15:docId w15:val="{B03F73A2-E559-420B-A98B-E565CDC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9BE"/>
    <w:rPr>
      <w:sz w:val="16"/>
      <w:szCs w:val="16"/>
    </w:rPr>
  </w:style>
  <w:style w:type="paragraph" w:styleId="CommentText">
    <w:name w:val="annotation text"/>
    <w:basedOn w:val="Normal"/>
    <w:link w:val="CommentTextChar"/>
    <w:uiPriority w:val="99"/>
    <w:unhideWhenUsed/>
    <w:rsid w:val="00CB19BE"/>
    <w:rPr>
      <w:sz w:val="20"/>
      <w:szCs w:val="20"/>
    </w:rPr>
  </w:style>
  <w:style w:type="character" w:customStyle="1" w:styleId="CommentTextChar">
    <w:name w:val="Comment Text Char"/>
    <w:basedOn w:val="DefaultParagraphFont"/>
    <w:link w:val="CommentText"/>
    <w:uiPriority w:val="99"/>
    <w:rsid w:val="00CB19BE"/>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CB19BE"/>
    <w:rPr>
      <w:b/>
      <w:bCs/>
    </w:rPr>
  </w:style>
  <w:style w:type="character" w:customStyle="1" w:styleId="CommentSubjectChar">
    <w:name w:val="Comment Subject Char"/>
    <w:basedOn w:val="CommentTextChar"/>
    <w:link w:val="CommentSubject"/>
    <w:uiPriority w:val="99"/>
    <w:semiHidden/>
    <w:rsid w:val="00CB19BE"/>
    <w:rPr>
      <w:rFonts w:ascii="Calibri" w:eastAsia="Calibri" w:hAnsi="Calibri" w:cs="Calibri"/>
      <w:b/>
      <w:bCs/>
      <w:sz w:val="20"/>
      <w:szCs w:val="20"/>
      <w:lang w:val="nl-NL"/>
    </w:rPr>
  </w:style>
  <w:style w:type="paragraph" w:customStyle="1" w:styleId="Default">
    <w:name w:val="Default"/>
    <w:rsid w:val="00B96979"/>
    <w:pPr>
      <w:widowControl/>
      <w:adjustRightInd w:val="0"/>
    </w:pPr>
    <w:rPr>
      <w:rFonts w:ascii="Calibri" w:hAnsi="Calibri" w:cs="Calibri"/>
      <w:color w:val="000000"/>
      <w:sz w:val="24"/>
      <w:szCs w:val="24"/>
      <w:lang w:val="nl-NL"/>
    </w:rPr>
  </w:style>
  <w:style w:type="paragraph" w:styleId="FootnoteText">
    <w:name w:val="footnote text"/>
    <w:basedOn w:val="Normal"/>
    <w:link w:val="FootnoteTextChar"/>
    <w:uiPriority w:val="99"/>
    <w:semiHidden/>
    <w:unhideWhenUsed/>
    <w:rsid w:val="0052362A"/>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2362A"/>
    <w:rPr>
      <w:kern w:val="2"/>
      <w:sz w:val="20"/>
      <w:szCs w:val="20"/>
      <w:lang w:val="nl-NL"/>
      <w14:ligatures w14:val="standardContextual"/>
    </w:rPr>
  </w:style>
  <w:style w:type="character" w:styleId="FootnoteReference">
    <w:name w:val="footnote reference"/>
    <w:basedOn w:val="DefaultParagraphFont"/>
    <w:uiPriority w:val="99"/>
    <w:semiHidden/>
    <w:unhideWhenUsed/>
    <w:rsid w:val="0052362A"/>
    <w:rPr>
      <w:vertAlign w:val="superscript"/>
    </w:rPr>
  </w:style>
  <w:style w:type="paragraph" w:styleId="Revision">
    <w:name w:val="Revision"/>
    <w:hidden/>
    <w:uiPriority w:val="99"/>
    <w:semiHidden/>
    <w:rsid w:val="008B69C5"/>
    <w:pPr>
      <w:widowControl/>
      <w:autoSpaceDE/>
      <w:autoSpaceDN/>
    </w:pPr>
    <w:rPr>
      <w:rFonts w:ascii="Calibri" w:eastAsia="Calibri" w:hAnsi="Calibri" w:cs="Calibri"/>
      <w:lang w:val="nl-NL"/>
    </w:rPr>
  </w:style>
  <w:style w:type="paragraph" w:styleId="Header">
    <w:name w:val="header"/>
    <w:basedOn w:val="Normal"/>
    <w:link w:val="HeaderChar"/>
    <w:uiPriority w:val="99"/>
    <w:semiHidden/>
    <w:unhideWhenUsed/>
    <w:rsid w:val="0064237C"/>
    <w:pPr>
      <w:tabs>
        <w:tab w:val="center" w:pos="4513"/>
        <w:tab w:val="right" w:pos="9026"/>
      </w:tabs>
    </w:pPr>
  </w:style>
  <w:style w:type="character" w:customStyle="1" w:styleId="HeaderChar">
    <w:name w:val="Header Char"/>
    <w:basedOn w:val="DefaultParagraphFont"/>
    <w:link w:val="Header"/>
    <w:uiPriority w:val="99"/>
    <w:semiHidden/>
    <w:rsid w:val="0064237C"/>
    <w:rPr>
      <w:rFonts w:ascii="Calibri" w:eastAsia="Calibri" w:hAnsi="Calibri" w:cs="Calibri"/>
      <w:lang w:val="nl-NL"/>
    </w:rPr>
  </w:style>
  <w:style w:type="paragraph" w:styleId="Footer">
    <w:name w:val="footer"/>
    <w:basedOn w:val="Normal"/>
    <w:link w:val="FooterChar"/>
    <w:uiPriority w:val="99"/>
    <w:semiHidden/>
    <w:unhideWhenUsed/>
    <w:rsid w:val="0064237C"/>
    <w:pPr>
      <w:tabs>
        <w:tab w:val="center" w:pos="4513"/>
        <w:tab w:val="right" w:pos="9026"/>
      </w:tabs>
    </w:pPr>
  </w:style>
  <w:style w:type="character" w:customStyle="1" w:styleId="FooterChar">
    <w:name w:val="Footer Char"/>
    <w:basedOn w:val="DefaultParagraphFont"/>
    <w:link w:val="Footer"/>
    <w:uiPriority w:val="99"/>
    <w:semiHidden/>
    <w:rsid w:val="0064237C"/>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6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2045</ap:Words>
  <ap:Characters>11252</ap:Characters>
  <ap:DocSecurity>0</ap:DocSecurity>
  <ap:Lines>93</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Definitieve intensiveringsvoorstellen 2023 e.v. cfm C.W. 3.1 (DMM-DDE-DSO-IGG-DSH-BIS)</vt:lpstr>
      <vt:lpstr>Definitieve intensiveringsvoorstellen 2023 e.v. cfm C.W. 3.1 (DMM-DDE-DSO-IGG-DSH-BIS)</vt:lpstr>
    </vt:vector>
  </ap:TitlesOfParts>
  <ap:LinksUpToDate>false</ap:LinksUpToDate>
  <ap:CharactersWithSpaces>13271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2025-02-13T09:53:00.0000000Z</lastPrinted>
  <dcterms:created xsi:type="dcterms:W3CDTF">2025-03-12T11:52:00.0000000Z</dcterms:created>
  <dcterms:modified xsi:type="dcterms:W3CDTF">2025-03-12T11:52:00.0000000Z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lassification">
    <vt:lpwstr>4;#UNCLASSIFIED|d92c6340-bc14-4cb2-a9a6-6deda93c493b;#6;#NO MARKING|879e64ec-6597-483b-94db-f5f70afd7299</vt:lpwstr>
  </property>
  <property fmtid="{D5CDD505-2E9C-101B-9397-08002B2CF9AE}" pid="3" name="BZ_Country">
    <vt:lpwstr>2;#Not applicable|ec01d90b-9d0f-4785-8785-e1ea615196bf</vt:lpwstr>
  </property>
  <property fmtid="{D5CDD505-2E9C-101B-9397-08002B2CF9AE}" pid="4" name="BZ_Forum">
    <vt:lpwstr>3;#Not applicable|0049e722-bfb1-4a3f-9d08-af7366a9af40</vt:lpwstr>
  </property>
  <property fmtid="{D5CDD505-2E9C-101B-9397-08002B2CF9AE}" pid="5" name="BZ_Theme">
    <vt:lpwstr>1;#Budget and accountability|72935488-e8d7-4765-95c3-88216b1ea696</vt:lpwstr>
  </property>
  <property fmtid="{D5CDD505-2E9C-101B-9397-08002B2CF9AE}" pid="6" name="ContentTypeId">
    <vt:lpwstr>0x0101009C7CE436063D44E9BE7DC0259EF7C32F006EB9F9836A634AE58B6169785FD3936F003FD5B2F9E986EC4490E3A24B9BD4DE1C</vt:lpwstr>
  </property>
  <property fmtid="{D5CDD505-2E9C-101B-9397-08002B2CF9AE}" pid="7" name="Created">
    <vt:filetime>2022-09-20T00:00:00Z</vt:filetime>
  </property>
  <property fmtid="{D5CDD505-2E9C-101B-9397-08002B2CF9AE}" pid="8" name="Creator">
    <vt:lpwstr>Aspose Ltd.</vt:lpwstr>
  </property>
  <property fmtid="{D5CDD505-2E9C-101B-9397-08002B2CF9AE}" pid="9" name="DepartementDirectie">
    <vt:lpwstr>2;#FEZ|373dcec0-742b-4b0b-82fd-da9f3dd3c25f</vt:lpwstr>
  </property>
  <property fmtid="{D5CDD505-2E9C-101B-9397-08002B2CF9AE}" pid="10" name="LastSaved">
    <vt:filetime>2025-01-20T00:00:00Z</vt:filetime>
  </property>
  <property fmtid="{D5CDD505-2E9C-101B-9397-08002B2CF9AE}" pid="11" name="MSIP_Label_f5339f15-c483-4670-87f9-f365ba551dce_ActionId">
    <vt:lpwstr>571c4808-44bc-49d0-b581-4eaa6501126e</vt:lpwstr>
  </property>
  <property fmtid="{D5CDD505-2E9C-101B-9397-08002B2CF9AE}" pid="12" name="MSIP_Label_f5339f15-c483-4670-87f9-f365ba551dce_ContentBits">
    <vt:lpwstr>0</vt:lpwstr>
  </property>
  <property fmtid="{D5CDD505-2E9C-101B-9397-08002B2CF9AE}" pid="13" name="MSIP_Label_f5339f15-c483-4670-87f9-f365ba551dce_Enabled">
    <vt:lpwstr>true</vt:lpwstr>
  </property>
  <property fmtid="{D5CDD505-2E9C-101B-9397-08002B2CF9AE}" pid="14" name="MSIP_Label_f5339f15-c483-4670-87f9-f365ba551dce_Method">
    <vt:lpwstr>Standard</vt:lpwstr>
  </property>
  <property fmtid="{D5CDD505-2E9C-101B-9397-08002B2CF9AE}" pid="15" name="MSIP_Label_f5339f15-c483-4670-87f9-f365ba551dce_Name">
    <vt:lpwstr>FIN-IRF-Dep. V.</vt:lpwstr>
  </property>
  <property fmtid="{D5CDD505-2E9C-101B-9397-08002B2CF9AE}" pid="16" name="MSIP_Label_f5339f15-c483-4670-87f9-f365ba551dce_SetDate">
    <vt:lpwstr>2022-03-09T15:04:38Z</vt:lpwstr>
  </property>
  <property fmtid="{D5CDD505-2E9C-101B-9397-08002B2CF9AE}" pid="17" name="MSIP_Label_f5339f15-c483-4670-87f9-f365ba551dce_SiteId">
    <vt:lpwstr>84712536-f524-40a0-913b-5d25ba502732</vt:lpwstr>
  </property>
  <property fmtid="{D5CDD505-2E9C-101B-9397-08002B2CF9AE}" pid="18" name="Producer">
    <vt:lpwstr>Aspose.Pdf for .NET 17.9</vt:lpwstr>
  </property>
  <property fmtid="{D5CDD505-2E9C-101B-9397-08002B2CF9AE}" pid="19" name="SourceModified">
    <vt:lpwstr>D:20220920154500</vt:lpwstr>
  </property>
  <property fmtid="{D5CDD505-2E9C-101B-9397-08002B2CF9AE}" pid="20" name="TaxCatchAll">
    <vt:lpwstr>2;#FEZ|373dcec0-742b-4b0b-82fd-da9f3dd3c25f</vt:lpwstr>
  </property>
  <property fmtid="{D5CDD505-2E9C-101B-9397-08002B2CF9AE}" pid="21" name="_dlc_DocIdItemGuid">
    <vt:lpwstr>686b8a50-ca8c-40e9-b770-712399a3d141</vt:lpwstr>
  </property>
  <property fmtid="{D5CDD505-2E9C-101B-9397-08002B2CF9AE}" pid="22" name="_docset_NoMedatataSyncRequired">
    <vt:lpwstr>False</vt:lpwstr>
  </property>
  <property fmtid="{D5CDD505-2E9C-101B-9397-08002B2CF9AE}" pid="23" name="n7e1752c52f54c38a7d7dd6f35c9ddb2">
    <vt:lpwstr>FEZ|373dcec0-742b-4b0b-82fd-da9f3dd3c25f</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CountryState">
    <vt:lpwstr>3;#Not applicable|ec01d90b-9d0f-4785-8785-e1ea615196bf</vt:lpwstr>
  </property>
  <property fmtid="{D5CDD505-2E9C-101B-9397-08002B2CF9AE}" pid="27" name="BZMarking">
    <vt:lpwstr>5;#NO MARKING|0a4eb9ae-69eb-4d9e-b573-43ab99ef8592</vt:lpwstr>
  </property>
  <property fmtid="{D5CDD505-2E9C-101B-9397-08002B2CF9AE}" pid="28" name="BZClassification">
    <vt:lpwstr>4;#UNCLASSIFIED (U)|284e6a62-15ab-4017-be27-a1e965f4e940</vt:lpwstr>
  </property>
</Properties>
</file>