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41E8" w:rsidR="00191822" w:rsidP="00666EFA" w:rsidRDefault="00191822" w14:paraId="1A3C47B4" w14:textId="77777777">
      <w:pPr>
        <w:pStyle w:val="NoSpacing"/>
        <w:rPr>
          <w:rFonts w:ascii="Verdana" w:hAnsi="Verdana"/>
          <w:b/>
          <w:bCs/>
          <w:sz w:val="20"/>
          <w:szCs w:val="20"/>
          <w:lang w:val="en-US"/>
        </w:rPr>
      </w:pPr>
    </w:p>
    <w:tbl>
      <w:tblPr>
        <w:tblW w:w="4947" w:type="pct"/>
        <w:tblCellMar>
          <w:left w:w="0" w:type="dxa"/>
          <w:right w:w="0" w:type="dxa"/>
        </w:tblCellMar>
        <w:tblLook w:val="04A0" w:firstRow="1" w:lastRow="0" w:firstColumn="1" w:lastColumn="0" w:noHBand="0" w:noVBand="1"/>
      </w:tblPr>
      <w:tblGrid>
        <w:gridCol w:w="1759"/>
        <w:gridCol w:w="7262"/>
      </w:tblGrid>
      <w:tr w:rsidRPr="0060043E" w:rsidR="001F2C47" w:rsidTr="0ADB7BD1" w14:paraId="671AC7F1" w14:textId="77777777">
        <w:trPr>
          <w:trHeight w:val="507"/>
        </w:trPr>
        <w:tc>
          <w:tcPr>
            <w:tcW w:w="5000" w:type="pct"/>
            <w:gridSpan w:val="2"/>
            <w:shd w:val="clear" w:color="auto" w:fill="39870C"/>
            <w:hideMark/>
          </w:tcPr>
          <w:p w:rsidRPr="0060043E" w:rsidR="00191822" w:rsidP="00666EFA" w:rsidRDefault="0ADB7BD1" w14:paraId="15979371" w14:textId="439D4306">
            <w:pPr>
              <w:pStyle w:val="TableParagraph"/>
              <w:spacing w:before="57" w:line="252" w:lineRule="auto"/>
              <w:ind w:left="89"/>
              <w:rPr>
                <w:b/>
                <w:bCs/>
                <w:sz w:val="18"/>
                <w:szCs w:val="18"/>
              </w:rPr>
            </w:pPr>
            <w:r w:rsidRPr="0ADB7BD1">
              <w:rPr>
                <w:b/>
                <w:bCs/>
                <w:color w:val="FFFFFF" w:themeColor="background1"/>
                <w:sz w:val="18"/>
                <w:szCs w:val="18"/>
              </w:rPr>
              <w:t xml:space="preserve">Bestedingsvoorstel </w:t>
            </w:r>
            <w:r w:rsidR="00053414">
              <w:rPr>
                <w:b/>
                <w:bCs/>
                <w:color w:val="FFFFFF" w:themeColor="background1"/>
                <w:sz w:val="18"/>
                <w:szCs w:val="18"/>
              </w:rPr>
              <w:t xml:space="preserve">Mondiale </w:t>
            </w:r>
            <w:r w:rsidRPr="0ADB7BD1">
              <w:rPr>
                <w:b/>
                <w:bCs/>
                <w:color w:val="FFFFFF" w:themeColor="background1"/>
                <w:sz w:val="18"/>
                <w:szCs w:val="18"/>
              </w:rPr>
              <w:t>Gezondheid</w:t>
            </w:r>
            <w:r w:rsidR="00053414">
              <w:rPr>
                <w:b/>
                <w:bCs/>
                <w:color w:val="FFFFFF" w:themeColor="background1"/>
                <w:sz w:val="18"/>
                <w:szCs w:val="18"/>
              </w:rPr>
              <w:t xml:space="preserve"> </w:t>
            </w:r>
            <w:r w:rsidR="007E1584">
              <w:rPr>
                <w:b/>
                <w:bCs/>
                <w:color w:val="FFFFFF" w:themeColor="background1"/>
                <w:sz w:val="18"/>
                <w:szCs w:val="18"/>
              </w:rPr>
              <w:t xml:space="preserve">en SRGR </w:t>
            </w:r>
            <w:r w:rsidR="00053414">
              <w:rPr>
                <w:b/>
                <w:bCs/>
                <w:color w:val="FFFFFF" w:themeColor="background1"/>
                <w:sz w:val="18"/>
                <w:szCs w:val="18"/>
              </w:rPr>
              <w:t>(</w:t>
            </w:r>
            <w:proofErr w:type="spellStart"/>
            <w:r w:rsidR="00A26BB4">
              <w:rPr>
                <w:b/>
                <w:bCs/>
                <w:color w:val="FFFFFF" w:themeColor="background1"/>
                <w:sz w:val="18"/>
                <w:szCs w:val="18"/>
              </w:rPr>
              <w:t>suba</w:t>
            </w:r>
            <w:r w:rsidR="00053414">
              <w:rPr>
                <w:b/>
                <w:bCs/>
                <w:color w:val="FFFFFF" w:themeColor="background1"/>
                <w:sz w:val="18"/>
                <w:szCs w:val="18"/>
              </w:rPr>
              <w:t>rtikel</w:t>
            </w:r>
            <w:proofErr w:type="spellEnd"/>
            <w:r w:rsidR="00053414">
              <w:rPr>
                <w:b/>
                <w:bCs/>
                <w:color w:val="FFFFFF" w:themeColor="background1"/>
                <w:sz w:val="18"/>
                <w:szCs w:val="18"/>
              </w:rPr>
              <w:t xml:space="preserve"> 3.1)</w:t>
            </w:r>
          </w:p>
          <w:p w:rsidRPr="0060043E" w:rsidR="00191822" w:rsidP="00666EFA" w:rsidRDefault="0ADB7BD1" w14:paraId="730021BA" w14:textId="77777777">
            <w:pPr>
              <w:pStyle w:val="TableParagraph"/>
              <w:spacing w:before="4" w:line="252" w:lineRule="auto"/>
              <w:ind w:left="89"/>
              <w:rPr>
                <w:b/>
                <w:bCs/>
                <w:sz w:val="18"/>
                <w:szCs w:val="18"/>
              </w:rPr>
            </w:pPr>
            <w:r w:rsidRPr="0ADB7BD1">
              <w:rPr>
                <w:b/>
                <w:bCs/>
                <w:color w:val="FFFFFF" w:themeColor="background1"/>
                <w:sz w:val="18"/>
                <w:szCs w:val="18"/>
              </w:rPr>
              <w:t>Onderbouwing doeltreffendheid, doelmatigheid en evaluatie (CW 3.1)</w:t>
            </w:r>
          </w:p>
        </w:tc>
      </w:tr>
      <w:tr w:rsidRPr="006C623A" w:rsidR="001F2C47" w:rsidTr="0ADB7BD1" w14:paraId="2C715E2E" w14:textId="77777777">
        <w:trPr>
          <w:trHeight w:val="564"/>
        </w:trPr>
        <w:tc>
          <w:tcPr>
            <w:tcW w:w="1168" w:type="pct"/>
            <w:tcBorders>
              <w:top w:val="nil"/>
              <w:left w:val="nil"/>
              <w:bottom w:val="single" w:color="017BC7" w:sz="8" w:space="0"/>
              <w:right w:val="nil"/>
            </w:tcBorders>
            <w:shd w:val="clear" w:color="auto" w:fill="D6EFF9"/>
            <w:hideMark/>
          </w:tcPr>
          <w:p w:rsidRPr="004D201D" w:rsidR="00191822" w:rsidP="00666EFA" w:rsidRDefault="0ADB7BD1" w14:paraId="09754DA2" w14:textId="77777777">
            <w:pPr>
              <w:pStyle w:val="TableParagraph"/>
              <w:spacing w:before="57" w:line="252" w:lineRule="auto"/>
              <w:ind w:left="89"/>
              <w:rPr>
                <w:rFonts w:asciiTheme="minorHAnsi" w:hAnsiTheme="minorHAnsi" w:cstheme="minorBidi"/>
                <w:b/>
                <w:bCs/>
                <w:sz w:val="18"/>
                <w:szCs w:val="18"/>
                <w:lang w:val="en-US"/>
              </w:rPr>
            </w:pPr>
            <w:r w:rsidRPr="0ADB7BD1">
              <w:rPr>
                <w:rFonts w:asciiTheme="minorHAnsi" w:hAnsiTheme="minorHAnsi" w:cstheme="minorBidi"/>
                <w:b/>
                <w:bCs/>
                <w:sz w:val="18"/>
                <w:szCs w:val="18"/>
                <w:lang w:val="en-US"/>
              </w:rPr>
              <w:t>1. Doel(en)</w:t>
            </w:r>
          </w:p>
        </w:tc>
        <w:tc>
          <w:tcPr>
            <w:tcW w:w="3832" w:type="pct"/>
            <w:tcBorders>
              <w:top w:val="nil"/>
              <w:left w:val="nil"/>
              <w:bottom w:val="single" w:color="017BC7" w:sz="8" w:space="0"/>
              <w:right w:val="nil"/>
            </w:tcBorders>
            <w:shd w:val="clear" w:color="auto" w:fill="auto"/>
          </w:tcPr>
          <w:p w:rsidRPr="006602DF" w:rsidR="00F35BD1" w:rsidP="00666EFA" w:rsidRDefault="0ADB7BD1" w14:paraId="4C696FEC" w14:textId="6F24D69E">
            <w:pPr>
              <w:pStyle w:val="TableParagraph"/>
              <w:spacing w:before="8"/>
              <w:ind w:left="0"/>
              <w:rPr>
                <w:rFonts w:asciiTheme="minorHAnsi" w:hAnsiTheme="minorHAnsi" w:cstheme="minorBidi"/>
                <w:b/>
                <w:bCs/>
                <w:sz w:val="18"/>
                <w:szCs w:val="18"/>
              </w:rPr>
            </w:pPr>
            <w:r w:rsidRPr="0ADB7BD1">
              <w:rPr>
                <w:b/>
                <w:bCs/>
                <w:sz w:val="18"/>
                <w:szCs w:val="18"/>
              </w:rPr>
              <w:t>Doelstelling</w:t>
            </w:r>
          </w:p>
          <w:p w:rsidR="00A26BB4" w:rsidP="00666EFA" w:rsidRDefault="0ADB7BD1" w14:paraId="1E741E31" w14:textId="7CCDFBE2">
            <w:pPr>
              <w:rPr>
                <w:sz w:val="18"/>
                <w:szCs w:val="18"/>
              </w:rPr>
            </w:pPr>
            <w:r w:rsidRPr="0ADB7BD1">
              <w:rPr>
                <w:sz w:val="18"/>
                <w:szCs w:val="18"/>
              </w:rPr>
              <w:t>Met het onderliggende bestedingsvoorstel voor de periode 202</w:t>
            </w:r>
            <w:r w:rsidR="004803B8">
              <w:rPr>
                <w:sz w:val="18"/>
                <w:szCs w:val="18"/>
              </w:rPr>
              <w:t>6</w:t>
            </w:r>
            <w:r w:rsidR="0091113D">
              <w:rPr>
                <w:sz w:val="18"/>
                <w:szCs w:val="18"/>
              </w:rPr>
              <w:t>—</w:t>
            </w:r>
            <w:r w:rsidRPr="0ADB7BD1">
              <w:rPr>
                <w:sz w:val="18"/>
                <w:szCs w:val="18"/>
              </w:rPr>
              <w:t>20</w:t>
            </w:r>
            <w:r w:rsidR="004803B8">
              <w:rPr>
                <w:sz w:val="18"/>
                <w:szCs w:val="18"/>
              </w:rPr>
              <w:t>30</w:t>
            </w:r>
            <w:r w:rsidRPr="0ADB7BD1">
              <w:rPr>
                <w:sz w:val="18"/>
                <w:szCs w:val="18"/>
              </w:rPr>
              <w:t xml:space="preserve"> beoogt het kabinet een bijdrage te leveren </w:t>
            </w:r>
            <w:r w:rsidR="00B435EC">
              <w:rPr>
                <w:sz w:val="18"/>
                <w:szCs w:val="18"/>
              </w:rPr>
              <w:t>aan h</w:t>
            </w:r>
            <w:r w:rsidRPr="0ADB7BD1">
              <w:rPr>
                <w:sz w:val="18"/>
                <w:szCs w:val="18"/>
              </w:rPr>
              <w:t xml:space="preserve">et verbeteren van toegang </w:t>
            </w:r>
            <w:r w:rsidR="00B435EC">
              <w:rPr>
                <w:sz w:val="18"/>
                <w:szCs w:val="18"/>
              </w:rPr>
              <w:t xml:space="preserve">tot </w:t>
            </w:r>
            <w:r w:rsidRPr="0ADB7BD1">
              <w:rPr>
                <w:sz w:val="18"/>
                <w:szCs w:val="18"/>
              </w:rPr>
              <w:t>kwalitatieve gezondheidsdiensten in lage</w:t>
            </w:r>
            <w:r w:rsidR="0053653A">
              <w:rPr>
                <w:sz w:val="18"/>
                <w:szCs w:val="18"/>
              </w:rPr>
              <w:t>-</w:t>
            </w:r>
            <w:r w:rsidRPr="0ADB7BD1">
              <w:rPr>
                <w:sz w:val="18"/>
                <w:szCs w:val="18"/>
              </w:rPr>
              <w:t xml:space="preserve"> </w:t>
            </w:r>
            <w:r w:rsidRPr="0073261B">
              <w:rPr>
                <w:sz w:val="18"/>
                <w:szCs w:val="18"/>
              </w:rPr>
              <w:t xml:space="preserve">en middeninkomenslanden. Toegang tot basisgezondheidszorg op het gebied van SRGR in het bijzonder. </w:t>
            </w:r>
            <w:r w:rsidRPr="0073261B" w:rsidR="006B25DA">
              <w:rPr>
                <w:sz w:val="18"/>
                <w:szCs w:val="18"/>
              </w:rPr>
              <w:t>Aandacht voor vrouwen, meisjes en kwetsbare groepen is belangrijk voor effectiviteit van onze programma’s.</w:t>
            </w:r>
          </w:p>
          <w:p w:rsidR="00A26BB4" w:rsidP="00666EFA" w:rsidRDefault="00A26BB4" w14:paraId="7269AA68" w14:textId="77777777">
            <w:pPr>
              <w:rPr>
                <w:sz w:val="18"/>
                <w:szCs w:val="18"/>
              </w:rPr>
            </w:pPr>
          </w:p>
          <w:p w:rsidR="000D7760" w:rsidP="00666EFA" w:rsidRDefault="00E540D8" w14:paraId="0457A131" w14:textId="2A41FCCC">
            <w:pPr>
              <w:rPr>
                <w:sz w:val="18"/>
                <w:szCs w:val="18"/>
              </w:rPr>
            </w:pPr>
            <w:r w:rsidRPr="00E540D8">
              <w:rPr>
                <w:sz w:val="18"/>
                <w:szCs w:val="18"/>
              </w:rPr>
              <w:t>Met onze inzet dragen we bij aan sociaal-economische ontwikkeling in die landen en aan de volgende belangen:</w:t>
            </w:r>
          </w:p>
          <w:p w:rsidRPr="00A26BB4" w:rsidR="00E540D8" w:rsidP="00666EFA" w:rsidRDefault="00E540D8" w14:paraId="51D1382F" w14:textId="77777777">
            <w:pPr>
              <w:rPr>
                <w:szCs w:val="18"/>
              </w:rPr>
            </w:pPr>
          </w:p>
          <w:p w:rsidRPr="00666EFA" w:rsidR="004F0EE5" w:rsidP="00666EFA" w:rsidRDefault="0ADB7BD1" w14:paraId="0C718FF1" w14:textId="4345F8D6">
            <w:pPr>
              <w:rPr>
                <w:sz w:val="18"/>
                <w:szCs w:val="18"/>
                <w:u w:val="single"/>
                <w:lang w:val="en-US"/>
              </w:rPr>
            </w:pPr>
            <w:r w:rsidRPr="00666EFA">
              <w:rPr>
                <w:sz w:val="18"/>
                <w:szCs w:val="18"/>
                <w:u w:val="single"/>
              </w:rPr>
              <w:t>Veiligheid</w:t>
            </w:r>
            <w:r w:rsidR="00666EFA">
              <w:rPr>
                <w:sz w:val="18"/>
                <w:szCs w:val="18"/>
                <w:u w:val="single"/>
              </w:rPr>
              <w:t xml:space="preserve"> en stabiliteit</w:t>
            </w:r>
          </w:p>
          <w:p w:rsidRPr="006602DF" w:rsidR="004F0EE5" w:rsidP="00666EFA" w:rsidRDefault="0ADB7BD1" w14:paraId="7E52B434" w14:textId="6F9F504D">
            <w:pPr>
              <w:pStyle w:val="ListParagraph"/>
              <w:numPr>
                <w:ilvl w:val="0"/>
                <w:numId w:val="45"/>
              </w:numPr>
              <w:rPr>
                <w:rFonts w:asciiTheme="minorHAnsi" w:hAnsiTheme="minorHAnsi" w:cstheme="minorBidi"/>
              </w:rPr>
            </w:pPr>
            <w:r w:rsidRPr="0ADB7BD1">
              <w:rPr>
                <w:rFonts w:asciiTheme="minorHAnsi" w:hAnsiTheme="minorHAnsi" w:cstheme="minorBidi"/>
              </w:rPr>
              <w:t>Het vergroten van</w:t>
            </w:r>
            <w:r w:rsidR="005D6AFA">
              <w:rPr>
                <w:rFonts w:asciiTheme="minorHAnsi" w:hAnsiTheme="minorHAnsi" w:cstheme="minorBidi"/>
              </w:rPr>
              <w:t xml:space="preserve"> eerlijk</w:t>
            </w:r>
            <w:r w:rsidR="00562904">
              <w:rPr>
                <w:rFonts w:asciiTheme="minorHAnsi" w:hAnsiTheme="minorHAnsi" w:cstheme="minorBidi"/>
              </w:rPr>
              <w:t>e</w:t>
            </w:r>
            <w:r w:rsidRPr="0ADB7BD1">
              <w:rPr>
                <w:rFonts w:asciiTheme="minorHAnsi" w:hAnsiTheme="minorHAnsi" w:cstheme="minorBidi"/>
              </w:rPr>
              <w:t xml:space="preserve"> toegang</w:t>
            </w:r>
            <w:r w:rsidR="007B377F">
              <w:rPr>
                <w:rFonts w:asciiTheme="minorHAnsi" w:hAnsiTheme="minorHAnsi" w:cstheme="minorBidi"/>
              </w:rPr>
              <w:t xml:space="preserve"> tot</w:t>
            </w:r>
            <w:r w:rsidRPr="0ADB7BD1">
              <w:rPr>
                <w:rFonts w:asciiTheme="minorHAnsi" w:hAnsiTheme="minorHAnsi" w:cstheme="minorBidi"/>
              </w:rPr>
              <w:t xml:space="preserve"> basisgezondheidszorg -als onderdeel van een breder pakket aan basisdiensten- voor meisjes en vrouwen in conflictregio’s. </w:t>
            </w:r>
          </w:p>
          <w:p w:rsidRPr="006602DF" w:rsidR="00B70646" w:rsidP="00666EFA" w:rsidRDefault="0ADB7BD1" w14:paraId="24CB8FE3" w14:textId="538A1724">
            <w:pPr>
              <w:pStyle w:val="ListParagraph"/>
              <w:numPr>
                <w:ilvl w:val="0"/>
                <w:numId w:val="45"/>
              </w:numPr>
              <w:rPr>
                <w:rFonts w:ascii="Calibri" w:hAnsi="Calibri" w:cs="Calibri"/>
              </w:rPr>
            </w:pPr>
            <w:r w:rsidRPr="0ADB7BD1">
              <w:rPr>
                <w:rFonts w:ascii="Calibri" w:hAnsi="Calibri" w:cs="Calibri"/>
              </w:rPr>
              <w:t xml:space="preserve">Het voorkomen en indammen van (grensoverschrijdende) infectieziekte-uitbraken in Afrika en daarmee mogelijke pandemieën die Nederland en de rest van de wereld raken. </w:t>
            </w:r>
          </w:p>
          <w:p w:rsidRPr="006602DF" w:rsidR="00141C4F" w:rsidP="00666EFA" w:rsidRDefault="00141C4F" w14:paraId="44047473" w14:textId="77777777">
            <w:pPr>
              <w:pStyle w:val="ListParagraph"/>
              <w:rPr>
                <w:rFonts w:ascii="Calibri" w:hAnsi="Calibri" w:cs="Calibri"/>
                <w:szCs w:val="18"/>
                <w:u w:val="single"/>
              </w:rPr>
            </w:pPr>
          </w:p>
          <w:p w:rsidRPr="00666EFA" w:rsidR="00141C4F" w:rsidP="00666EFA" w:rsidRDefault="0ADB7BD1" w14:paraId="2E716616" w14:textId="0B09667A">
            <w:pPr>
              <w:rPr>
                <w:sz w:val="18"/>
                <w:szCs w:val="18"/>
                <w:u w:val="single"/>
              </w:rPr>
            </w:pPr>
            <w:r w:rsidRPr="00666EFA">
              <w:rPr>
                <w:sz w:val="18"/>
                <w:szCs w:val="18"/>
                <w:u w:val="single"/>
              </w:rPr>
              <w:t>Handel</w:t>
            </w:r>
            <w:r w:rsidR="00666EFA">
              <w:rPr>
                <w:sz w:val="18"/>
                <w:szCs w:val="18"/>
                <w:u w:val="single"/>
              </w:rPr>
              <w:t xml:space="preserve"> en economie</w:t>
            </w:r>
          </w:p>
          <w:p w:rsidRPr="006602DF" w:rsidR="00A26CBF" w:rsidP="00666EFA" w:rsidRDefault="0ADB7BD1" w14:paraId="64CED425" w14:textId="5890828C">
            <w:pPr>
              <w:pStyle w:val="ListParagraph"/>
              <w:numPr>
                <w:ilvl w:val="0"/>
                <w:numId w:val="45"/>
              </w:numPr>
              <w:rPr>
                <w:rFonts w:ascii="Calibri" w:hAnsi="Calibri" w:cs="Calibri"/>
                <w:u w:val="single"/>
              </w:rPr>
            </w:pPr>
            <w:bookmarkStart w:name="_Hlk188538082" w:id="0"/>
            <w:r w:rsidRPr="0ADB7BD1">
              <w:rPr>
                <w:rFonts w:ascii="Calibri" w:hAnsi="Calibri" w:cs="Calibri"/>
              </w:rPr>
              <w:t xml:space="preserve">Het vergroten van </w:t>
            </w:r>
            <w:r w:rsidR="00053414">
              <w:rPr>
                <w:rFonts w:ascii="Calibri" w:hAnsi="Calibri" w:cs="Calibri"/>
              </w:rPr>
              <w:t xml:space="preserve">(toekomstige) </w:t>
            </w:r>
            <w:r w:rsidRPr="0ADB7BD1">
              <w:rPr>
                <w:rFonts w:ascii="Calibri" w:hAnsi="Calibri" w:cs="Calibri"/>
              </w:rPr>
              <w:t xml:space="preserve">verdienkansen van Nederlandse bedrijven door ze te betrekken bij </w:t>
            </w:r>
            <w:r w:rsidR="00053414">
              <w:rPr>
                <w:rFonts w:ascii="Calibri" w:hAnsi="Calibri" w:cs="Calibri"/>
              </w:rPr>
              <w:t xml:space="preserve">onze </w:t>
            </w:r>
            <w:r w:rsidRPr="0ADB7BD1">
              <w:rPr>
                <w:rFonts w:ascii="Calibri" w:hAnsi="Calibri" w:cs="Calibri"/>
              </w:rPr>
              <w:t xml:space="preserve">inzet om </w:t>
            </w:r>
            <w:r w:rsidR="007E181C">
              <w:rPr>
                <w:rFonts w:ascii="Calibri" w:hAnsi="Calibri" w:cs="Calibri"/>
              </w:rPr>
              <w:t xml:space="preserve">toegang tot en kwaliteit van basisgezondheidszorg </w:t>
            </w:r>
            <w:r w:rsidRPr="0ADB7BD1">
              <w:rPr>
                <w:rFonts w:ascii="Calibri" w:hAnsi="Calibri" w:cs="Calibri"/>
              </w:rPr>
              <w:t xml:space="preserve">in Afrikaanse landen te versterken. </w:t>
            </w:r>
          </w:p>
          <w:bookmarkEnd w:id="0"/>
          <w:p w:rsidRPr="006602DF" w:rsidR="00231448" w:rsidP="00666EFA" w:rsidRDefault="00231448" w14:paraId="61274B3F" w14:textId="77777777">
            <w:pPr>
              <w:rPr>
                <w:sz w:val="18"/>
                <w:szCs w:val="18"/>
                <w:u w:val="single"/>
              </w:rPr>
            </w:pPr>
          </w:p>
          <w:p w:rsidRPr="00666EFA" w:rsidR="00141C4F" w:rsidP="00666EFA" w:rsidRDefault="0ADB7BD1" w14:paraId="274DCB5A" w14:textId="7C51470A">
            <w:pPr>
              <w:rPr>
                <w:sz w:val="18"/>
                <w:szCs w:val="18"/>
                <w:u w:val="single"/>
              </w:rPr>
            </w:pPr>
            <w:r w:rsidRPr="00666EFA">
              <w:rPr>
                <w:sz w:val="18"/>
                <w:szCs w:val="18"/>
                <w:u w:val="single"/>
              </w:rPr>
              <w:t>Migratie</w:t>
            </w:r>
          </w:p>
          <w:p w:rsidRPr="006602DF" w:rsidR="00BE5114" w:rsidP="00666EFA" w:rsidRDefault="0ADB7BD1" w14:paraId="18526820" w14:textId="0322F8CA">
            <w:pPr>
              <w:pStyle w:val="ListParagraph"/>
              <w:numPr>
                <w:ilvl w:val="0"/>
                <w:numId w:val="45"/>
              </w:numPr>
              <w:rPr>
                <w:rFonts w:ascii="Calibri" w:hAnsi="Calibri" w:cs="Calibri"/>
              </w:rPr>
            </w:pPr>
            <w:r w:rsidRPr="0ADB7BD1">
              <w:rPr>
                <w:rFonts w:ascii="Calibri" w:hAnsi="Calibri" w:cs="Calibri"/>
              </w:rPr>
              <w:t>Het inzetten van de Nederlandse expertise op het terrein van gezondheid om overheden in het kader van migratiepartnerschappen en het beheersen van migratiestromen te helpen hun gezondheidsbeleid en -systemen te versterken</w:t>
            </w:r>
            <w:r w:rsidR="00A26BB4">
              <w:rPr>
                <w:rFonts w:ascii="Calibri" w:hAnsi="Calibri" w:cs="Calibri"/>
              </w:rPr>
              <w:t>.</w:t>
            </w:r>
          </w:p>
        </w:tc>
      </w:tr>
      <w:tr w:rsidRPr="004D201D" w:rsidR="001F2C47" w:rsidTr="0ADB7BD1" w14:paraId="4B2A6865" w14:textId="77777777">
        <w:trPr>
          <w:trHeight w:val="559"/>
        </w:trPr>
        <w:tc>
          <w:tcPr>
            <w:tcW w:w="1168" w:type="pct"/>
            <w:tcBorders>
              <w:top w:val="nil"/>
              <w:left w:val="nil"/>
              <w:bottom w:val="single" w:color="017BC7" w:sz="8" w:space="0"/>
              <w:right w:val="nil"/>
            </w:tcBorders>
            <w:shd w:val="clear" w:color="auto" w:fill="D6EFF9"/>
            <w:hideMark/>
          </w:tcPr>
          <w:p w:rsidRPr="004D201D" w:rsidR="000901FC" w:rsidP="00666EFA" w:rsidRDefault="0ADB7BD1" w14:paraId="1436DA4A" w14:textId="23660AD1">
            <w:pPr>
              <w:pStyle w:val="TableParagraph"/>
              <w:spacing w:before="0" w:line="252" w:lineRule="auto"/>
              <w:ind w:left="89"/>
              <w:rPr>
                <w:rFonts w:asciiTheme="minorHAnsi" w:hAnsiTheme="minorHAnsi" w:cstheme="minorBidi"/>
                <w:b/>
                <w:bCs/>
                <w:sz w:val="18"/>
                <w:szCs w:val="18"/>
                <w:lang w:val="en-US"/>
              </w:rPr>
            </w:pPr>
            <w:r w:rsidRPr="0ADB7BD1">
              <w:rPr>
                <w:rFonts w:asciiTheme="minorHAnsi" w:hAnsiTheme="minorHAnsi" w:cstheme="minorBidi"/>
                <w:b/>
                <w:bCs/>
                <w:sz w:val="18"/>
                <w:szCs w:val="18"/>
                <w:lang w:val="en-US"/>
              </w:rPr>
              <w:t xml:space="preserve">2. </w:t>
            </w:r>
            <w:proofErr w:type="spellStart"/>
            <w:r w:rsidRPr="0ADB7BD1">
              <w:rPr>
                <w:rFonts w:asciiTheme="minorHAnsi" w:hAnsiTheme="minorHAnsi" w:cstheme="minorBidi"/>
                <w:b/>
                <w:bCs/>
                <w:sz w:val="18"/>
                <w:szCs w:val="18"/>
                <w:lang w:val="en-US"/>
              </w:rPr>
              <w:t>Beleidsinstrument</w:t>
            </w:r>
            <w:proofErr w:type="spellEnd"/>
            <w:r w:rsidRPr="0ADB7BD1">
              <w:rPr>
                <w:rFonts w:asciiTheme="minorHAnsi" w:hAnsiTheme="minorHAnsi" w:cstheme="minorBidi"/>
                <w:b/>
                <w:bCs/>
                <w:sz w:val="18"/>
                <w:szCs w:val="18"/>
                <w:lang w:val="en-US"/>
              </w:rPr>
              <w:t>(en)</w:t>
            </w:r>
          </w:p>
        </w:tc>
        <w:tc>
          <w:tcPr>
            <w:tcW w:w="3832" w:type="pct"/>
            <w:tcBorders>
              <w:top w:val="nil"/>
              <w:left w:val="nil"/>
              <w:bottom w:val="single" w:color="017BC7" w:sz="8" w:space="0"/>
              <w:right w:val="nil"/>
            </w:tcBorders>
            <w:shd w:val="clear" w:color="auto" w:fill="auto"/>
          </w:tcPr>
          <w:p w:rsidR="004803B8" w:rsidP="00666EFA" w:rsidRDefault="004803B8" w14:paraId="416B8998" w14:textId="50FE6357">
            <w:pPr>
              <w:pStyle w:val="TableParagraph"/>
              <w:spacing w:before="0" w:line="252" w:lineRule="auto"/>
              <w:ind w:left="0"/>
              <w:rPr>
                <w:sz w:val="18"/>
                <w:szCs w:val="18"/>
              </w:rPr>
            </w:pPr>
            <w:r>
              <w:rPr>
                <w:sz w:val="18"/>
                <w:szCs w:val="18"/>
              </w:rPr>
              <w:t xml:space="preserve">Met </w:t>
            </w:r>
            <w:r w:rsidR="00394F83">
              <w:rPr>
                <w:sz w:val="18"/>
                <w:szCs w:val="18"/>
              </w:rPr>
              <w:t>het gezondheidsbudget</w:t>
            </w:r>
            <w:r>
              <w:rPr>
                <w:sz w:val="18"/>
                <w:szCs w:val="18"/>
              </w:rPr>
              <w:t xml:space="preserve"> voor de periode 2026-2030 zullen programma’s worden ontwikkeld waarbij de Nederlandse belangen handel, veiligheid en migratie centraal staan. Waar mogelijk wordt aangesloten bij programma’s die zich binnen deze belangen richten op water en voedselzekerheid, om zo de Nederlandse impact te versterken. Hierin werken we ook nauw samen met andere departementen. </w:t>
            </w:r>
            <w:r w:rsidR="00FA12DB">
              <w:rPr>
                <w:sz w:val="18"/>
                <w:szCs w:val="18"/>
              </w:rPr>
              <w:t>W</w:t>
            </w:r>
            <w:r w:rsidRPr="00CD5658" w:rsidR="00FA12DB">
              <w:rPr>
                <w:rFonts w:asciiTheme="minorHAnsi" w:hAnsiTheme="minorHAnsi" w:cstheme="minorHAnsi"/>
                <w:sz w:val="18"/>
                <w:szCs w:val="18"/>
              </w:rPr>
              <w:t xml:space="preserve">aar mogelijk </w:t>
            </w:r>
            <w:r w:rsidR="00FA12DB">
              <w:rPr>
                <w:rFonts w:asciiTheme="minorHAnsi" w:hAnsiTheme="minorHAnsi" w:cstheme="minorHAnsi"/>
                <w:sz w:val="18"/>
                <w:szCs w:val="18"/>
              </w:rPr>
              <w:t xml:space="preserve">wordt financiering in gezet </w:t>
            </w:r>
            <w:r w:rsidRPr="00CD5658" w:rsidR="00FA12DB">
              <w:rPr>
                <w:rFonts w:asciiTheme="minorHAnsi" w:hAnsiTheme="minorHAnsi" w:cstheme="minorHAnsi"/>
                <w:sz w:val="18"/>
                <w:szCs w:val="18"/>
              </w:rPr>
              <w:t>in EU verband</w:t>
            </w:r>
            <w:r w:rsidR="00FA12DB">
              <w:rPr>
                <w:rFonts w:asciiTheme="minorHAnsi" w:hAnsiTheme="minorHAnsi" w:cstheme="minorHAnsi"/>
                <w:sz w:val="18"/>
                <w:szCs w:val="18"/>
              </w:rPr>
              <w:t xml:space="preserve">, bijvoorbeeld </w:t>
            </w:r>
            <w:r w:rsidRPr="00CD5658" w:rsidR="00FA12DB">
              <w:rPr>
                <w:rFonts w:asciiTheme="minorHAnsi" w:hAnsiTheme="minorHAnsi" w:cstheme="minorHAnsi"/>
                <w:sz w:val="18"/>
                <w:szCs w:val="18"/>
              </w:rPr>
              <w:t xml:space="preserve">Global Gateway </w:t>
            </w:r>
            <w:r w:rsidR="00FA12DB">
              <w:rPr>
                <w:rFonts w:asciiTheme="minorHAnsi" w:hAnsiTheme="minorHAnsi" w:cstheme="minorHAnsi"/>
                <w:sz w:val="18"/>
                <w:szCs w:val="18"/>
              </w:rPr>
              <w:t>of EU Delegated cooperation</w:t>
            </w:r>
            <w:r w:rsidRPr="00CD5658" w:rsidR="00FA12DB">
              <w:rPr>
                <w:rFonts w:asciiTheme="minorHAnsi" w:hAnsiTheme="minorHAnsi" w:cstheme="minorHAnsi"/>
                <w:sz w:val="18"/>
                <w:szCs w:val="18"/>
              </w:rPr>
              <w:t>.</w:t>
            </w:r>
          </w:p>
          <w:p w:rsidR="004803B8" w:rsidP="00666EFA" w:rsidRDefault="004803B8" w14:paraId="1139ABDA" w14:textId="77777777">
            <w:pPr>
              <w:pStyle w:val="TableParagraph"/>
              <w:spacing w:before="0" w:line="252" w:lineRule="auto"/>
              <w:ind w:left="0"/>
              <w:rPr>
                <w:sz w:val="18"/>
                <w:szCs w:val="18"/>
              </w:rPr>
            </w:pPr>
          </w:p>
          <w:p w:rsidR="005E1053" w:rsidP="00666EFA" w:rsidRDefault="0ADB7BD1" w14:paraId="15957222" w14:textId="1BA20C50">
            <w:pPr>
              <w:pStyle w:val="TableParagraph"/>
              <w:spacing w:before="0"/>
              <w:ind w:left="0"/>
              <w:rPr>
                <w:sz w:val="18"/>
                <w:szCs w:val="18"/>
              </w:rPr>
            </w:pPr>
            <w:r w:rsidRPr="0ADB7BD1">
              <w:rPr>
                <w:sz w:val="18"/>
                <w:szCs w:val="18"/>
              </w:rPr>
              <w:t xml:space="preserve">De Mondiale Gezondheidsstrategie 2023 – 2030 vormt </w:t>
            </w:r>
            <w:r w:rsidR="004803B8">
              <w:rPr>
                <w:sz w:val="18"/>
                <w:szCs w:val="18"/>
              </w:rPr>
              <w:t xml:space="preserve">hierbij </w:t>
            </w:r>
            <w:r w:rsidRPr="0ADB7BD1">
              <w:rPr>
                <w:sz w:val="18"/>
                <w:szCs w:val="18"/>
              </w:rPr>
              <w:t xml:space="preserve">het beleidsmatige kader voor de Nederlandse inzet op mondiale gezondheid de komende jaren. De Nederlandse Global Health Hub en andere allianties van </w:t>
            </w:r>
            <w:r w:rsidR="00394F83">
              <w:rPr>
                <w:sz w:val="18"/>
                <w:szCs w:val="18"/>
              </w:rPr>
              <w:t>Nederlandse</w:t>
            </w:r>
            <w:r w:rsidRPr="0ADB7BD1">
              <w:rPr>
                <w:sz w:val="18"/>
                <w:szCs w:val="18"/>
              </w:rPr>
              <w:t xml:space="preserve"> bedrijven, kennisinstellingen en/of maatschappelijke organisaties worden ingezet</w:t>
            </w:r>
            <w:r w:rsidR="002D27FF">
              <w:rPr>
                <w:sz w:val="18"/>
                <w:szCs w:val="18"/>
              </w:rPr>
              <w:t xml:space="preserve"> </w:t>
            </w:r>
            <w:r w:rsidRPr="0ADB7BD1">
              <w:rPr>
                <w:sz w:val="18"/>
                <w:szCs w:val="18"/>
              </w:rPr>
              <w:t>om samenwerking in een Dutch Diamond aanpak te benutten</w:t>
            </w:r>
            <w:r w:rsidR="00113F46">
              <w:rPr>
                <w:sz w:val="18"/>
                <w:szCs w:val="18"/>
              </w:rPr>
              <w:t>.</w:t>
            </w:r>
            <w:r w:rsidRPr="0ADB7BD1">
              <w:rPr>
                <w:sz w:val="18"/>
                <w:szCs w:val="18"/>
              </w:rPr>
              <w:t xml:space="preserve"> </w:t>
            </w:r>
          </w:p>
          <w:p w:rsidRPr="00AF2958" w:rsidR="00AF2958" w:rsidP="00666EFA" w:rsidRDefault="00AF2958" w14:paraId="16D1AC51" w14:textId="77777777">
            <w:pPr>
              <w:pStyle w:val="TableParagraph"/>
              <w:spacing w:before="0"/>
              <w:ind w:left="0"/>
              <w:rPr>
                <w:sz w:val="18"/>
                <w:szCs w:val="18"/>
              </w:rPr>
            </w:pPr>
          </w:p>
          <w:p w:rsidR="00666EFA" w:rsidP="00666EFA" w:rsidRDefault="0ADB7BD1" w14:paraId="118AAF25" w14:textId="0FA15E06">
            <w:pPr>
              <w:pStyle w:val="TableParagraph"/>
              <w:spacing w:before="0"/>
              <w:ind w:left="0"/>
              <w:rPr>
                <w:sz w:val="18"/>
                <w:szCs w:val="18"/>
              </w:rPr>
            </w:pPr>
            <w:r w:rsidRPr="0ADB7BD1">
              <w:rPr>
                <w:rFonts w:eastAsia="Times New Roman"/>
                <w:color w:val="000000" w:themeColor="text1"/>
                <w:sz w:val="18"/>
                <w:szCs w:val="18"/>
                <w:lang w:eastAsia="nl-NL"/>
              </w:rPr>
              <w:t>De middelen zullen door het departement (centraal) en door een aantal ambassades (decentraal) worden besteed</w:t>
            </w:r>
            <w:r w:rsidRPr="0ADB7BD1">
              <w:rPr>
                <w:color w:val="000000" w:themeColor="text1"/>
                <w:sz w:val="18"/>
                <w:szCs w:val="18"/>
              </w:rPr>
              <w:t>.</w:t>
            </w:r>
            <w:r w:rsidRPr="0ADB7BD1">
              <w:rPr>
                <w:rFonts w:eastAsia="Times New Roman"/>
                <w:sz w:val="18"/>
                <w:szCs w:val="18"/>
                <w:lang w:eastAsia="nl-NL"/>
              </w:rPr>
              <w:t xml:space="preserve"> </w:t>
            </w:r>
            <w:r w:rsidRPr="0ADB7BD1">
              <w:rPr>
                <w:sz w:val="18"/>
                <w:szCs w:val="18"/>
              </w:rPr>
              <w:t xml:space="preserve">Hiervoor blijven we samenwerken met ervaren partnerorganisaties met expertise en een bewezen trackrecord. </w:t>
            </w:r>
            <w:r w:rsidR="00113F46">
              <w:rPr>
                <w:sz w:val="18"/>
                <w:szCs w:val="18"/>
                <w:lang w:val="en-US"/>
              </w:rPr>
              <w:t>Dat betreft</w:t>
            </w:r>
            <w:r w:rsidRPr="0ADB7BD1">
              <w:rPr>
                <w:sz w:val="18"/>
                <w:szCs w:val="18"/>
                <w:lang w:val="en-US"/>
              </w:rPr>
              <w:t xml:space="preserve"> de VN (WHO, UNFPA, UNAIDS), </w:t>
            </w:r>
            <w:proofErr w:type="spellStart"/>
            <w:r w:rsidRPr="0ADB7BD1">
              <w:rPr>
                <w:sz w:val="18"/>
                <w:szCs w:val="18"/>
                <w:lang w:val="en-US"/>
              </w:rPr>
              <w:t>Wereldbank</w:t>
            </w:r>
            <w:proofErr w:type="spellEnd"/>
            <w:r w:rsidRPr="0ADB7BD1">
              <w:rPr>
                <w:sz w:val="18"/>
                <w:szCs w:val="18"/>
                <w:lang w:val="en-US"/>
              </w:rPr>
              <w:t xml:space="preserve"> (Global Financing Facility for Every Woman and Every Child) en </w:t>
            </w:r>
            <w:proofErr w:type="spellStart"/>
            <w:r w:rsidRPr="0ADB7BD1">
              <w:rPr>
                <w:sz w:val="18"/>
                <w:szCs w:val="18"/>
                <w:lang w:val="en-US"/>
              </w:rPr>
              <w:t>mondiale</w:t>
            </w:r>
            <w:proofErr w:type="spellEnd"/>
            <w:r w:rsidRPr="0ADB7BD1">
              <w:rPr>
                <w:sz w:val="18"/>
                <w:szCs w:val="18"/>
                <w:lang w:val="en-US"/>
              </w:rPr>
              <w:t xml:space="preserve"> </w:t>
            </w:r>
            <w:proofErr w:type="spellStart"/>
            <w:r w:rsidRPr="0ADB7BD1">
              <w:rPr>
                <w:sz w:val="18"/>
                <w:szCs w:val="18"/>
                <w:lang w:val="en-US"/>
              </w:rPr>
              <w:t>gezondheidsfondsen</w:t>
            </w:r>
            <w:proofErr w:type="spellEnd"/>
            <w:r w:rsidRPr="0ADB7BD1">
              <w:rPr>
                <w:sz w:val="18"/>
                <w:szCs w:val="18"/>
                <w:lang w:val="en-US"/>
              </w:rPr>
              <w:t xml:space="preserve"> (Gavi, Global Fund to fight Aids, TB and Malaria).</w:t>
            </w:r>
            <w:r w:rsidRPr="009E6A5A" w:rsidR="00A258F1">
              <w:rPr>
                <w:lang w:val="en-US"/>
              </w:rPr>
              <w:br/>
            </w:r>
            <w:r w:rsidRPr="009E6A5A" w:rsidR="00A258F1">
              <w:rPr>
                <w:lang w:val="en-US"/>
              </w:rPr>
              <w:br/>
            </w:r>
            <w:r w:rsidRPr="0ADB7BD1">
              <w:rPr>
                <w:sz w:val="18"/>
                <w:szCs w:val="18"/>
              </w:rPr>
              <w:t xml:space="preserve">We gaan het wel anders doen: er zal minder financiering beschikbaar komen voor internationale organisaties, we richten ons zoveel mogelijk op die organisaties waar Nederlandse kennis en kunde aantoonbaar bijdraagt aan hun werk en waar mogelijk koppelen we de samenwerking aan de drie Nederlandse belangen door middel van oormerking op landeninzet. </w:t>
            </w:r>
          </w:p>
          <w:p w:rsidRPr="00666EFA" w:rsidR="00666EFA" w:rsidP="00666EFA" w:rsidRDefault="00666EFA" w14:paraId="6162A74C" w14:textId="77777777">
            <w:pPr>
              <w:pStyle w:val="TableParagraph"/>
              <w:spacing w:before="0"/>
              <w:ind w:left="0"/>
              <w:rPr>
                <w:sz w:val="18"/>
                <w:szCs w:val="18"/>
                <w:u w:val="single"/>
              </w:rPr>
            </w:pPr>
          </w:p>
          <w:p w:rsidRPr="00666EFA" w:rsidR="00231448" w:rsidP="00666EFA" w:rsidRDefault="00666EFA" w14:paraId="620CE06A" w14:textId="3AD3E664">
            <w:pPr>
              <w:pStyle w:val="TableParagraph"/>
              <w:spacing w:before="0"/>
              <w:ind w:left="0"/>
              <w:rPr>
                <w:sz w:val="18"/>
                <w:szCs w:val="18"/>
              </w:rPr>
            </w:pPr>
            <w:r>
              <w:rPr>
                <w:sz w:val="18"/>
                <w:szCs w:val="18"/>
                <w:u w:val="single"/>
              </w:rPr>
              <w:t>Voor belang v</w:t>
            </w:r>
            <w:r w:rsidRPr="00666EFA" w:rsidR="0ADB7BD1">
              <w:rPr>
                <w:sz w:val="18"/>
                <w:szCs w:val="18"/>
                <w:u w:val="single"/>
              </w:rPr>
              <w:t>eiligheid</w:t>
            </w:r>
            <w:r>
              <w:rPr>
                <w:sz w:val="18"/>
                <w:szCs w:val="18"/>
                <w:u w:val="single"/>
              </w:rPr>
              <w:t xml:space="preserve"> en stabiliteit</w:t>
            </w:r>
          </w:p>
          <w:p w:rsidR="00554733" w:rsidP="00666EFA" w:rsidRDefault="0091113D" w14:paraId="450CD99D" w14:textId="723EB88F">
            <w:pPr>
              <w:pStyle w:val="TableParagraph"/>
              <w:spacing w:before="0"/>
              <w:ind w:left="0"/>
              <w:rPr>
                <w:b/>
                <w:bCs/>
                <w:sz w:val="18"/>
                <w:szCs w:val="18"/>
              </w:rPr>
            </w:pPr>
            <w:r w:rsidRPr="0073261B">
              <w:rPr>
                <w:sz w:val="18"/>
                <w:szCs w:val="18"/>
              </w:rPr>
              <w:t>Vanwege operationale uitdagingen zal in conflictlanden meer centraal worden geprogrammeerd.</w:t>
            </w:r>
            <w:r>
              <w:rPr>
                <w:sz w:val="18"/>
                <w:szCs w:val="18"/>
              </w:rPr>
              <w:t xml:space="preserve"> </w:t>
            </w:r>
            <w:r w:rsidRPr="00666EFA" w:rsidR="0ADB7BD1">
              <w:rPr>
                <w:sz w:val="18"/>
                <w:szCs w:val="18"/>
              </w:rPr>
              <w:t xml:space="preserve">Dat </w:t>
            </w:r>
            <w:r w:rsidRPr="0ADB7BD1" w:rsidR="0ADB7BD1">
              <w:rPr>
                <w:sz w:val="18"/>
                <w:szCs w:val="18"/>
              </w:rPr>
              <w:t>geldt voor Burkina Faso, Mali, Niger en Jemen. Op basis van de drie regionale veiligheidsanalyses</w:t>
            </w:r>
            <w:r w:rsidR="00113F46">
              <w:rPr>
                <w:sz w:val="18"/>
                <w:szCs w:val="18"/>
              </w:rPr>
              <w:t>,</w:t>
            </w:r>
            <w:r w:rsidRPr="0ADB7BD1" w:rsidR="0ADB7BD1">
              <w:rPr>
                <w:sz w:val="18"/>
                <w:szCs w:val="18"/>
              </w:rPr>
              <w:t xml:space="preserve"> </w:t>
            </w:r>
            <w:r w:rsidR="00113F46">
              <w:rPr>
                <w:sz w:val="18"/>
                <w:szCs w:val="18"/>
              </w:rPr>
              <w:t xml:space="preserve">worden </w:t>
            </w:r>
            <w:r w:rsidRPr="0ADB7BD1" w:rsidR="0ADB7BD1">
              <w:rPr>
                <w:sz w:val="18"/>
                <w:szCs w:val="18"/>
              </w:rPr>
              <w:t xml:space="preserve">centraal gefinancierde programma’s ontwikkeld om basisdiensten te leveren. Het bieden van diensten op het terrein van gezondheid is hier integraal onderdeel van.  Dit instrument zal de komende maanden worden ontwikkeld en zal regio-specifiek zijn. Maar vanwege de complexiteit en fragiliteit van de context is het aannemelijk dat ervaren partners met schaal – zoals de GFF – hierin een rol zullen spelen. </w:t>
            </w:r>
          </w:p>
          <w:p w:rsidR="00666EFA" w:rsidP="00666EFA" w:rsidRDefault="00666EFA" w14:paraId="062EA53C" w14:textId="77777777">
            <w:pPr>
              <w:pStyle w:val="TableParagraph"/>
              <w:spacing w:before="0"/>
              <w:ind w:left="0"/>
              <w:rPr>
                <w:sz w:val="18"/>
                <w:szCs w:val="18"/>
                <w:u w:val="single"/>
              </w:rPr>
            </w:pPr>
            <w:bookmarkStart w:name="_Hlk188538040" w:id="1"/>
          </w:p>
          <w:p w:rsidR="0091113D" w:rsidP="00666EFA" w:rsidRDefault="0091113D" w14:paraId="59B1D280" w14:textId="77777777">
            <w:pPr>
              <w:pStyle w:val="TableParagraph"/>
              <w:spacing w:before="0"/>
              <w:ind w:left="0"/>
              <w:rPr>
                <w:sz w:val="18"/>
                <w:szCs w:val="18"/>
                <w:u w:val="single"/>
              </w:rPr>
            </w:pPr>
          </w:p>
          <w:p w:rsidR="0091113D" w:rsidP="00666EFA" w:rsidRDefault="0091113D" w14:paraId="1BBC8C73" w14:textId="77777777">
            <w:pPr>
              <w:pStyle w:val="TableParagraph"/>
              <w:spacing w:before="0"/>
              <w:ind w:left="0"/>
              <w:rPr>
                <w:sz w:val="18"/>
                <w:szCs w:val="18"/>
                <w:u w:val="single"/>
              </w:rPr>
            </w:pPr>
          </w:p>
          <w:p w:rsidRPr="006602DF" w:rsidR="00231448" w:rsidP="00666EFA" w:rsidRDefault="00666EFA" w14:paraId="5127370D" w14:textId="12FD7401">
            <w:pPr>
              <w:pStyle w:val="TableParagraph"/>
              <w:spacing w:before="0"/>
              <w:ind w:left="0"/>
              <w:rPr>
                <w:sz w:val="18"/>
                <w:szCs w:val="18"/>
                <w:u w:val="single"/>
              </w:rPr>
            </w:pPr>
            <w:r>
              <w:rPr>
                <w:sz w:val="18"/>
                <w:szCs w:val="18"/>
                <w:u w:val="single"/>
              </w:rPr>
              <w:t>Voor belang h</w:t>
            </w:r>
            <w:r w:rsidRPr="0ADB7BD1" w:rsidR="0ADB7BD1">
              <w:rPr>
                <w:sz w:val="18"/>
                <w:szCs w:val="18"/>
                <w:u w:val="single"/>
              </w:rPr>
              <w:t xml:space="preserve">andel </w:t>
            </w:r>
            <w:r>
              <w:rPr>
                <w:sz w:val="18"/>
                <w:szCs w:val="18"/>
                <w:u w:val="single"/>
              </w:rPr>
              <w:t>en economie</w:t>
            </w:r>
          </w:p>
          <w:p w:rsidRPr="006602DF" w:rsidR="0071068B" w:rsidP="00666EFA" w:rsidRDefault="0ADB7BD1" w14:paraId="1DD3AAA4" w14:textId="1F37694B">
            <w:pPr>
              <w:pStyle w:val="TableParagraph"/>
              <w:spacing w:before="0"/>
              <w:ind w:left="0"/>
              <w:rPr>
                <w:sz w:val="18"/>
                <w:szCs w:val="18"/>
              </w:rPr>
            </w:pPr>
            <w:r w:rsidRPr="0ADB7BD1">
              <w:rPr>
                <w:sz w:val="18"/>
                <w:szCs w:val="18"/>
              </w:rPr>
              <w:t>Een aantal Nederlandse bedrijven in de gezondheidssector werkt al goed samen met internationale organisaties en verdien</w:t>
            </w:r>
            <w:r w:rsidR="00562904">
              <w:rPr>
                <w:sz w:val="18"/>
                <w:szCs w:val="18"/>
              </w:rPr>
              <w:t>t</w:t>
            </w:r>
            <w:r w:rsidRPr="0ADB7BD1">
              <w:rPr>
                <w:sz w:val="18"/>
                <w:szCs w:val="18"/>
              </w:rPr>
              <w:t xml:space="preserve"> daar geld aan. Maar het kan beter. Het kabinet zal zich er dan ook voor inspannen dat internationale partners het Nederlandse bedrijfsleven nog beter weten te vinden bij het verlenen van opdrachten. Ook zal het kabinet</w:t>
            </w:r>
            <w:r w:rsidR="000E2107">
              <w:rPr>
                <w:sz w:val="18"/>
                <w:szCs w:val="18"/>
              </w:rPr>
              <w:t xml:space="preserve"> -</w:t>
            </w:r>
            <w:r w:rsidRPr="0ADB7BD1">
              <w:rPr>
                <w:sz w:val="18"/>
                <w:szCs w:val="18"/>
              </w:rPr>
              <w:t xml:space="preserve"> binnen het bestaande handelsinstrumentarium</w:t>
            </w:r>
            <w:r w:rsidR="000E2107">
              <w:rPr>
                <w:sz w:val="18"/>
                <w:szCs w:val="18"/>
              </w:rPr>
              <w:t xml:space="preserve"> -</w:t>
            </w:r>
            <w:r w:rsidRPr="0ADB7BD1">
              <w:rPr>
                <w:sz w:val="18"/>
                <w:szCs w:val="18"/>
              </w:rPr>
              <w:t xml:space="preserve"> zorgen voor extra financieringsmogelijkheden voor ondernemers die in stabiele ontwikkelingslanden willen investeren op het terrein van zorg</w:t>
            </w:r>
            <w:r w:rsidR="007E181C">
              <w:rPr>
                <w:sz w:val="18"/>
                <w:szCs w:val="18"/>
              </w:rPr>
              <w:t>.</w:t>
            </w:r>
            <w:r w:rsidRPr="0ADB7BD1">
              <w:rPr>
                <w:sz w:val="18"/>
                <w:szCs w:val="18"/>
              </w:rPr>
              <w:t xml:space="preserve"> </w:t>
            </w:r>
            <w:r w:rsidR="007E181C">
              <w:rPr>
                <w:sz w:val="18"/>
                <w:szCs w:val="18"/>
              </w:rPr>
              <w:t>Of</w:t>
            </w:r>
            <w:r w:rsidRPr="0ADB7BD1">
              <w:rPr>
                <w:sz w:val="18"/>
                <w:szCs w:val="18"/>
              </w:rPr>
              <w:t xml:space="preserve"> naar deze landen willen exporteren. Dit doen we in nauw overleg met de sector</w:t>
            </w:r>
            <w:r w:rsidR="007E181C">
              <w:rPr>
                <w:sz w:val="18"/>
                <w:szCs w:val="18"/>
              </w:rPr>
              <w:t xml:space="preserve"> m</w:t>
            </w:r>
            <w:r w:rsidRPr="0ADB7BD1">
              <w:rPr>
                <w:sz w:val="18"/>
                <w:szCs w:val="18"/>
              </w:rPr>
              <w:t xml:space="preserve">aar te denken valt aan het wegnemen van bestaande knelpunten, afdekken van risico’s of zo nodig extra financiering. </w:t>
            </w:r>
            <w:r w:rsidR="000D34F4">
              <w:br/>
            </w:r>
            <w:r w:rsidRPr="0ADB7BD1">
              <w:rPr>
                <w:sz w:val="18"/>
                <w:szCs w:val="18"/>
              </w:rPr>
              <w:t>Hiermee draagt het kabinet enerzijds bij aan het verdienvermogen van Nederlandse bedrijven en anderzijds aan het bieden van oplossingen die nodig zijn voor het versterken van de gezondheidssystemen. Wat op den duur ook weer kan leiden tot meer vraag naar Nederlandse producten en innovaties. Hier is bijzondere aandacht voor de unieke expertise die in NL aanwezig is op het terrein van digitale oplossingen in gezondheid.</w:t>
            </w:r>
          </w:p>
          <w:p w:rsidRPr="006602DF" w:rsidR="0071068B" w:rsidP="00666EFA" w:rsidRDefault="0071068B" w14:paraId="7ACBF8E5" w14:textId="77777777">
            <w:pPr>
              <w:pStyle w:val="TableParagraph"/>
              <w:spacing w:before="0"/>
              <w:rPr>
                <w:sz w:val="18"/>
                <w:szCs w:val="18"/>
              </w:rPr>
            </w:pPr>
          </w:p>
          <w:p w:rsidRPr="006602DF" w:rsidR="00395F90" w:rsidP="00666EFA" w:rsidRDefault="0ADB7BD1" w14:paraId="642577E1" w14:textId="7E5C3BFE">
            <w:pPr>
              <w:pStyle w:val="TableParagraph"/>
              <w:spacing w:before="0"/>
              <w:ind w:left="0"/>
              <w:rPr>
                <w:sz w:val="18"/>
                <w:szCs w:val="18"/>
              </w:rPr>
            </w:pPr>
            <w:r w:rsidRPr="0ADB7BD1">
              <w:rPr>
                <w:sz w:val="18"/>
                <w:szCs w:val="18"/>
              </w:rPr>
              <w:t xml:space="preserve">Ook zal extra worden ingezet op publiek-private samenwerking ten behoeve van het ontwikkelen van vaccins, geneesmiddelen en medische producten. Voor de invulling van deze aanvullende inzet zijn de drie belangen leidend.  </w:t>
            </w:r>
            <w:bookmarkEnd w:id="1"/>
          </w:p>
          <w:p w:rsidRPr="006602DF" w:rsidR="00BE5114" w:rsidP="00666EFA" w:rsidRDefault="00BE5114" w14:paraId="743BA23F" w14:textId="77777777">
            <w:pPr>
              <w:pStyle w:val="TableParagraph"/>
              <w:spacing w:before="0"/>
              <w:rPr>
                <w:sz w:val="18"/>
                <w:szCs w:val="18"/>
              </w:rPr>
            </w:pPr>
          </w:p>
          <w:p w:rsidRPr="006602DF" w:rsidR="00231448" w:rsidP="00666EFA" w:rsidRDefault="00666EFA" w14:paraId="088D9929" w14:textId="5ECF13FD">
            <w:pPr>
              <w:pStyle w:val="TableParagraph"/>
              <w:spacing w:before="0"/>
              <w:ind w:left="0"/>
              <w:rPr>
                <w:sz w:val="18"/>
                <w:szCs w:val="18"/>
                <w:u w:val="single"/>
              </w:rPr>
            </w:pPr>
            <w:r>
              <w:rPr>
                <w:sz w:val="18"/>
                <w:szCs w:val="18"/>
                <w:u w:val="single"/>
              </w:rPr>
              <w:t>Voor belang m</w:t>
            </w:r>
            <w:r w:rsidRPr="0ADB7BD1" w:rsidR="0ADB7BD1">
              <w:rPr>
                <w:sz w:val="18"/>
                <w:szCs w:val="18"/>
                <w:u w:val="single"/>
              </w:rPr>
              <w:t>igratie</w:t>
            </w:r>
          </w:p>
          <w:p w:rsidR="00447E8D" w:rsidP="00666EFA" w:rsidRDefault="0ADB7BD1" w14:paraId="78CE7A9A" w14:textId="4337287D">
            <w:pPr>
              <w:pStyle w:val="TableParagraph"/>
              <w:spacing w:before="0"/>
              <w:ind w:left="0"/>
              <w:rPr>
                <w:sz w:val="18"/>
                <w:szCs w:val="18"/>
              </w:rPr>
            </w:pPr>
            <w:r w:rsidRPr="0ADB7BD1">
              <w:rPr>
                <w:sz w:val="18"/>
                <w:szCs w:val="18"/>
              </w:rPr>
              <w:t xml:space="preserve">Nederland heeft andere overheden veel te bieden aan kennis en kunde op het terrein van gezondheid. Dit geldt voor bedrijfsleven en maatschappelijk middenveld maar bijvoorbeeld ook voor het RIVM. We intensiveren in dat licht de samenwerking met VWS en inzet op bestaande instrumenten zoals het Global Health Partnership Programma. Dit instrument, met ODA en non-ODA middelen, heeft afgelopen twee jaar een succesvolle pilot gekend en overheden van middeninkomenslanden (bijv. Kenia, Indonesië) geholpen met hun gezondheidsbeleid. Met hulp van expertise van Nederlandse bedrijven, maatschappelijk </w:t>
            </w:r>
            <w:r w:rsidRPr="0ADB7BD1" w:rsidR="002D18D7">
              <w:rPr>
                <w:sz w:val="18"/>
                <w:szCs w:val="18"/>
              </w:rPr>
              <w:t>middenveld en</w:t>
            </w:r>
            <w:r w:rsidRPr="0ADB7BD1">
              <w:rPr>
                <w:sz w:val="18"/>
                <w:szCs w:val="18"/>
              </w:rPr>
              <w:t xml:space="preserve"> overheid.  We zullen dit programma uitbreiden en inzetten voor landen die daar in het kader van een migratiepartnerschap een beroep op willen doen.   </w:t>
            </w:r>
          </w:p>
          <w:p w:rsidR="00447E8D" w:rsidP="00666EFA" w:rsidRDefault="00447E8D" w14:paraId="3DA7C665" w14:textId="77777777">
            <w:pPr>
              <w:pStyle w:val="TableParagraph"/>
              <w:spacing w:before="0"/>
              <w:rPr>
                <w:sz w:val="18"/>
                <w:szCs w:val="18"/>
              </w:rPr>
            </w:pPr>
          </w:p>
          <w:p w:rsidRPr="00C925AE" w:rsidR="00C44C9D" w:rsidP="00666EFA" w:rsidRDefault="0ADB7BD1" w14:paraId="63B5A93D" w14:textId="0A8D3B6B">
            <w:pPr>
              <w:pStyle w:val="TableParagraph"/>
              <w:spacing w:before="0"/>
              <w:ind w:left="0"/>
              <w:rPr>
                <w:rFonts w:asciiTheme="minorHAnsi" w:hAnsiTheme="minorHAnsi" w:cstheme="minorHAnsi"/>
                <w:sz w:val="18"/>
                <w:szCs w:val="18"/>
              </w:rPr>
            </w:pPr>
            <w:r w:rsidRPr="0ADB7BD1">
              <w:rPr>
                <w:sz w:val="18"/>
                <w:szCs w:val="18"/>
              </w:rPr>
              <w:t>Ook zal</w:t>
            </w:r>
            <w:r w:rsidR="007E181C">
              <w:rPr>
                <w:sz w:val="18"/>
                <w:szCs w:val="18"/>
              </w:rPr>
              <w:t xml:space="preserve"> </w:t>
            </w:r>
            <w:r w:rsidRPr="0ADB7BD1">
              <w:rPr>
                <w:sz w:val="18"/>
                <w:szCs w:val="18"/>
              </w:rPr>
              <w:t xml:space="preserve">geld beschikbaar worden gemaakt om in een beperkt aantal landen een breder gezondheidsprogramma op te schalen, op te zetten </w:t>
            </w:r>
            <w:r w:rsidR="009E6A5A">
              <w:rPr>
                <w:sz w:val="18"/>
                <w:szCs w:val="18"/>
              </w:rPr>
              <w:t xml:space="preserve">of </w:t>
            </w:r>
            <w:r w:rsidRPr="0ADB7BD1">
              <w:rPr>
                <w:sz w:val="18"/>
                <w:szCs w:val="18"/>
              </w:rPr>
              <w:t xml:space="preserve">een bijdrage te leveren </w:t>
            </w:r>
            <w:r w:rsidR="009E6A5A">
              <w:rPr>
                <w:sz w:val="18"/>
                <w:szCs w:val="18"/>
              </w:rPr>
              <w:t xml:space="preserve">op het moment van een </w:t>
            </w:r>
            <w:r w:rsidRPr="0ADB7BD1">
              <w:rPr>
                <w:sz w:val="18"/>
                <w:szCs w:val="18"/>
              </w:rPr>
              <w:t>(</w:t>
            </w:r>
            <w:proofErr w:type="spellStart"/>
            <w:r w:rsidRPr="0ADB7BD1">
              <w:rPr>
                <w:sz w:val="18"/>
                <w:szCs w:val="18"/>
              </w:rPr>
              <w:t>gezondheids</w:t>
            </w:r>
            <w:proofErr w:type="spellEnd"/>
            <w:r w:rsidRPr="0ADB7BD1">
              <w:rPr>
                <w:sz w:val="18"/>
                <w:szCs w:val="18"/>
              </w:rPr>
              <w:t xml:space="preserve">)-crisis) of teruglopende steun. Met als doel om samenwerking op het terrein van migratie te bevorderen. </w:t>
            </w:r>
          </w:p>
        </w:tc>
      </w:tr>
      <w:tr w:rsidRPr="00025EAA" w:rsidR="001F2C47" w:rsidTr="0ADB7BD1" w14:paraId="0AFFE6EF" w14:textId="77777777">
        <w:trPr>
          <w:trHeight w:val="559"/>
        </w:trPr>
        <w:tc>
          <w:tcPr>
            <w:tcW w:w="1168" w:type="pct"/>
            <w:tcBorders>
              <w:top w:val="nil"/>
              <w:left w:val="nil"/>
              <w:bottom w:val="single" w:color="017BC7" w:sz="8" w:space="0"/>
              <w:right w:val="nil"/>
            </w:tcBorders>
            <w:shd w:val="clear" w:color="auto" w:fill="D6EFF9"/>
            <w:hideMark/>
          </w:tcPr>
          <w:p w:rsidRPr="004D201D" w:rsidR="00191822" w:rsidP="00666EFA" w:rsidRDefault="0ADB7BD1" w14:paraId="6934EE2D" w14:textId="2F085BCB">
            <w:pPr>
              <w:pStyle w:val="TableParagraph"/>
              <w:spacing w:before="52" w:line="252" w:lineRule="auto"/>
              <w:ind w:left="89"/>
              <w:rPr>
                <w:rFonts w:asciiTheme="minorHAnsi" w:hAnsiTheme="minorHAnsi" w:cstheme="minorBidi"/>
                <w:b/>
                <w:bCs/>
                <w:sz w:val="18"/>
                <w:szCs w:val="18"/>
              </w:rPr>
            </w:pPr>
            <w:r w:rsidRPr="0ADB7BD1">
              <w:rPr>
                <w:rFonts w:asciiTheme="minorHAnsi" w:hAnsiTheme="minorHAnsi" w:cstheme="minorBidi"/>
                <w:b/>
                <w:bCs/>
                <w:sz w:val="18"/>
                <w:szCs w:val="18"/>
              </w:rPr>
              <w:lastRenderedPageBreak/>
              <w:t>3. A. Financiële gevolgen voor het Rijk</w:t>
            </w:r>
          </w:p>
          <w:p w:rsidRPr="004D201D" w:rsidR="00F13947" w:rsidP="00666EFA" w:rsidRDefault="00F13947" w14:paraId="06011001" w14:textId="08F82053">
            <w:pPr>
              <w:pStyle w:val="TableParagraph"/>
              <w:spacing w:before="52" w:line="252" w:lineRule="auto"/>
              <w:ind w:left="89"/>
              <w:rPr>
                <w:rFonts w:asciiTheme="minorHAnsi" w:hAnsiTheme="minorHAnsi" w:cstheme="minorHAnsi"/>
                <w:b/>
                <w:bCs/>
                <w:sz w:val="18"/>
                <w:szCs w:val="18"/>
              </w:rPr>
            </w:pPr>
          </w:p>
        </w:tc>
        <w:tc>
          <w:tcPr>
            <w:tcW w:w="3832" w:type="pct"/>
            <w:tcBorders>
              <w:top w:val="nil"/>
              <w:left w:val="nil"/>
              <w:bottom w:val="single" w:color="017BC7" w:sz="8" w:space="0"/>
              <w:right w:val="nil"/>
            </w:tcBorders>
            <w:shd w:val="clear" w:color="auto" w:fill="auto"/>
            <w:hideMark/>
          </w:tcPr>
          <w:p w:rsidRPr="00D5043B" w:rsidR="00AB4E2B" w:rsidP="00666EFA" w:rsidRDefault="00A26BB4" w14:paraId="314064E6" w14:textId="5D0E6E2B">
            <w:pPr>
              <w:spacing w:before="52"/>
              <w:ind w:left="89"/>
              <w:rPr>
                <w:rFonts w:asciiTheme="minorHAnsi" w:hAnsiTheme="minorHAnsi" w:cstheme="minorHAnsi"/>
                <w:sz w:val="18"/>
                <w:szCs w:val="18"/>
              </w:rPr>
            </w:pPr>
            <w:r>
              <w:rPr>
                <w:rFonts w:asciiTheme="minorHAnsi" w:hAnsiTheme="minorHAnsi" w:cstheme="minorHAnsi"/>
                <w:sz w:val="18"/>
                <w:szCs w:val="18"/>
              </w:rPr>
              <w:t>Bedrag i</w:t>
            </w:r>
            <w:r w:rsidRPr="00A26BB4">
              <w:rPr>
                <w:rFonts w:asciiTheme="minorHAnsi" w:hAnsiTheme="minorHAnsi" w:cstheme="minorHAnsi"/>
                <w:sz w:val="18"/>
                <w:szCs w:val="18"/>
              </w:rPr>
              <w:t>n EUR miljoen.</w:t>
            </w:r>
          </w:p>
          <w:tbl>
            <w:tblPr>
              <w:tblW w:w="7237" w:type="dxa"/>
              <w:tblInd w:w="10" w:type="dxa"/>
              <w:tblCellMar>
                <w:left w:w="70" w:type="dxa"/>
                <w:right w:w="70" w:type="dxa"/>
              </w:tblCellMar>
              <w:tblLook w:val="04A0" w:firstRow="1" w:lastRow="0" w:firstColumn="1" w:lastColumn="0" w:noHBand="0" w:noVBand="1"/>
            </w:tblPr>
            <w:tblGrid>
              <w:gridCol w:w="1506"/>
              <w:gridCol w:w="2094"/>
              <w:gridCol w:w="833"/>
              <w:gridCol w:w="701"/>
              <w:gridCol w:w="701"/>
              <w:gridCol w:w="701"/>
              <w:gridCol w:w="701"/>
            </w:tblGrid>
            <w:tr w:rsidRPr="00D5043B" w:rsidR="00D5043B" w:rsidTr="0ADB7BD1" w14:paraId="3A39F49C" w14:textId="77777777">
              <w:trPr>
                <w:trHeight w:val="288"/>
              </w:trPr>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5043B" w:rsidR="00D5043B" w:rsidP="00666EFA" w:rsidRDefault="0ADB7BD1" w14:paraId="0E7764D9" w14:textId="77777777">
                  <w:pPr>
                    <w:rPr>
                      <w:rFonts w:asciiTheme="minorHAnsi" w:hAnsiTheme="minorHAnsi" w:cstheme="minorBidi"/>
                      <w:color w:val="000000" w:themeColor="text1"/>
                      <w:sz w:val="18"/>
                      <w:szCs w:val="18"/>
                    </w:rPr>
                  </w:pPr>
                  <w:r w:rsidRPr="0ADB7BD1">
                    <w:rPr>
                      <w:rFonts w:asciiTheme="minorHAnsi" w:hAnsiTheme="minorHAnsi" w:cstheme="minorBidi"/>
                      <w:color w:val="000000" w:themeColor="text1"/>
                      <w:sz w:val="18"/>
                      <w:szCs w:val="18"/>
                    </w:rPr>
                    <w:t> </w:t>
                  </w:r>
                </w:p>
              </w:tc>
              <w:tc>
                <w:tcPr>
                  <w:tcW w:w="2094" w:type="dxa"/>
                  <w:tcBorders>
                    <w:top w:val="single" w:color="auto" w:sz="8" w:space="0"/>
                    <w:left w:val="single" w:color="auto" w:sz="4" w:space="0"/>
                    <w:bottom w:val="single" w:color="auto" w:sz="8" w:space="0"/>
                    <w:right w:val="single" w:color="auto" w:sz="8" w:space="0"/>
                  </w:tcBorders>
                  <w:shd w:val="clear" w:color="auto" w:fill="auto"/>
                  <w:noWrap/>
                  <w:vAlign w:val="center"/>
                  <w:hideMark/>
                </w:tcPr>
                <w:p w:rsidRPr="00D5043B" w:rsidR="00D5043B" w:rsidP="00666EFA" w:rsidRDefault="0ADB7BD1" w14:paraId="15649082" w14:textId="77777777">
                  <w:pPr>
                    <w:rPr>
                      <w:rFonts w:asciiTheme="minorHAnsi" w:hAnsiTheme="minorHAnsi" w:cstheme="minorBidi"/>
                      <w:color w:val="000000" w:themeColor="text1"/>
                      <w:sz w:val="18"/>
                      <w:szCs w:val="18"/>
                    </w:rPr>
                  </w:pPr>
                  <w:r w:rsidRPr="0ADB7BD1">
                    <w:rPr>
                      <w:rFonts w:asciiTheme="minorHAnsi" w:hAnsiTheme="minorHAnsi" w:cstheme="minorBidi"/>
                      <w:color w:val="000000" w:themeColor="text1"/>
                      <w:sz w:val="18"/>
                      <w:szCs w:val="18"/>
                    </w:rPr>
                    <w:t> </w:t>
                  </w:r>
                </w:p>
              </w:tc>
              <w:tc>
                <w:tcPr>
                  <w:tcW w:w="833" w:type="dxa"/>
                  <w:tcBorders>
                    <w:top w:val="single" w:color="auto" w:sz="8" w:space="0"/>
                    <w:left w:val="nil"/>
                    <w:bottom w:val="single" w:color="auto" w:sz="8" w:space="0"/>
                    <w:right w:val="single" w:color="auto" w:sz="8" w:space="0"/>
                  </w:tcBorders>
                  <w:shd w:val="clear" w:color="auto" w:fill="auto"/>
                  <w:noWrap/>
                  <w:vAlign w:val="center"/>
                  <w:hideMark/>
                </w:tcPr>
                <w:p w:rsidRPr="00557ED7" w:rsidR="00D5043B" w:rsidP="00666EFA" w:rsidRDefault="0ADB7BD1" w14:paraId="4E087D21" w14:textId="77777777">
                  <w:pPr>
                    <w:rPr>
                      <w:rFonts w:asciiTheme="minorHAnsi" w:hAnsiTheme="minorHAnsi" w:cstheme="minorBidi"/>
                      <w:color w:val="000000" w:themeColor="text1"/>
                      <w:sz w:val="18"/>
                      <w:szCs w:val="18"/>
                    </w:rPr>
                  </w:pPr>
                  <w:r w:rsidRPr="00557ED7">
                    <w:rPr>
                      <w:rFonts w:asciiTheme="minorHAnsi" w:hAnsiTheme="minorHAnsi" w:cstheme="minorBidi"/>
                      <w:color w:val="000000" w:themeColor="text1"/>
                      <w:sz w:val="18"/>
                      <w:szCs w:val="18"/>
                    </w:rPr>
                    <w:t>2026</w:t>
                  </w:r>
                </w:p>
              </w:tc>
              <w:tc>
                <w:tcPr>
                  <w:tcW w:w="701" w:type="dxa"/>
                  <w:tcBorders>
                    <w:top w:val="single" w:color="auto" w:sz="8" w:space="0"/>
                    <w:left w:val="nil"/>
                    <w:bottom w:val="single" w:color="auto" w:sz="8" w:space="0"/>
                    <w:right w:val="single" w:color="auto" w:sz="8" w:space="0"/>
                  </w:tcBorders>
                  <w:shd w:val="clear" w:color="auto" w:fill="auto"/>
                  <w:noWrap/>
                  <w:vAlign w:val="center"/>
                  <w:hideMark/>
                </w:tcPr>
                <w:p w:rsidRPr="00557ED7" w:rsidR="00D5043B" w:rsidP="00666EFA" w:rsidRDefault="0ADB7BD1" w14:paraId="36B533C7" w14:textId="77777777">
                  <w:pPr>
                    <w:rPr>
                      <w:rFonts w:asciiTheme="minorHAnsi" w:hAnsiTheme="minorHAnsi" w:cstheme="minorBidi"/>
                      <w:color w:val="000000" w:themeColor="text1"/>
                      <w:sz w:val="18"/>
                      <w:szCs w:val="18"/>
                    </w:rPr>
                  </w:pPr>
                  <w:r w:rsidRPr="00557ED7">
                    <w:rPr>
                      <w:rFonts w:asciiTheme="minorHAnsi" w:hAnsiTheme="minorHAnsi" w:cstheme="minorBidi"/>
                      <w:color w:val="000000" w:themeColor="text1"/>
                      <w:sz w:val="18"/>
                      <w:szCs w:val="18"/>
                    </w:rPr>
                    <w:t>2027</w:t>
                  </w:r>
                </w:p>
              </w:tc>
              <w:tc>
                <w:tcPr>
                  <w:tcW w:w="701" w:type="dxa"/>
                  <w:tcBorders>
                    <w:top w:val="single" w:color="auto" w:sz="8" w:space="0"/>
                    <w:left w:val="nil"/>
                    <w:bottom w:val="single" w:color="auto" w:sz="8" w:space="0"/>
                    <w:right w:val="single" w:color="auto" w:sz="8" w:space="0"/>
                  </w:tcBorders>
                  <w:shd w:val="clear" w:color="auto" w:fill="auto"/>
                  <w:noWrap/>
                  <w:vAlign w:val="center"/>
                  <w:hideMark/>
                </w:tcPr>
                <w:p w:rsidRPr="00557ED7" w:rsidR="00D5043B" w:rsidP="00666EFA" w:rsidRDefault="0ADB7BD1" w14:paraId="60903C7F" w14:textId="77777777">
                  <w:pPr>
                    <w:rPr>
                      <w:rFonts w:asciiTheme="minorHAnsi" w:hAnsiTheme="minorHAnsi" w:cstheme="minorBidi"/>
                      <w:color w:val="000000" w:themeColor="text1"/>
                      <w:sz w:val="18"/>
                      <w:szCs w:val="18"/>
                    </w:rPr>
                  </w:pPr>
                  <w:r w:rsidRPr="00557ED7">
                    <w:rPr>
                      <w:rFonts w:asciiTheme="minorHAnsi" w:hAnsiTheme="minorHAnsi" w:cstheme="minorBidi"/>
                      <w:color w:val="000000" w:themeColor="text1"/>
                      <w:sz w:val="18"/>
                      <w:szCs w:val="18"/>
                    </w:rPr>
                    <w:t>2028</w:t>
                  </w:r>
                </w:p>
              </w:tc>
              <w:tc>
                <w:tcPr>
                  <w:tcW w:w="701" w:type="dxa"/>
                  <w:tcBorders>
                    <w:top w:val="single" w:color="auto" w:sz="8" w:space="0"/>
                    <w:left w:val="nil"/>
                    <w:bottom w:val="single" w:color="auto" w:sz="8" w:space="0"/>
                    <w:right w:val="single" w:color="auto" w:sz="8" w:space="0"/>
                  </w:tcBorders>
                  <w:shd w:val="clear" w:color="auto" w:fill="auto"/>
                  <w:noWrap/>
                  <w:vAlign w:val="center"/>
                  <w:hideMark/>
                </w:tcPr>
                <w:p w:rsidRPr="00557ED7" w:rsidR="00D5043B" w:rsidP="00666EFA" w:rsidRDefault="0ADB7BD1" w14:paraId="186DC0DC" w14:textId="77777777">
                  <w:pPr>
                    <w:rPr>
                      <w:rFonts w:asciiTheme="minorHAnsi" w:hAnsiTheme="minorHAnsi" w:cstheme="minorBidi"/>
                      <w:color w:val="000000" w:themeColor="text1"/>
                      <w:sz w:val="18"/>
                      <w:szCs w:val="18"/>
                    </w:rPr>
                  </w:pPr>
                  <w:r w:rsidRPr="00557ED7">
                    <w:rPr>
                      <w:rFonts w:asciiTheme="minorHAnsi" w:hAnsiTheme="minorHAnsi" w:cstheme="minorBidi"/>
                      <w:color w:val="000000" w:themeColor="text1"/>
                      <w:sz w:val="18"/>
                      <w:szCs w:val="18"/>
                    </w:rPr>
                    <w:t>2029</w:t>
                  </w:r>
                </w:p>
              </w:tc>
              <w:tc>
                <w:tcPr>
                  <w:tcW w:w="701" w:type="dxa"/>
                  <w:tcBorders>
                    <w:top w:val="single" w:color="auto" w:sz="8" w:space="0"/>
                    <w:left w:val="nil"/>
                    <w:bottom w:val="single" w:color="auto" w:sz="8" w:space="0"/>
                    <w:right w:val="single" w:color="auto" w:sz="8" w:space="0"/>
                  </w:tcBorders>
                  <w:shd w:val="clear" w:color="auto" w:fill="auto"/>
                  <w:noWrap/>
                  <w:vAlign w:val="center"/>
                  <w:hideMark/>
                </w:tcPr>
                <w:p w:rsidRPr="00557ED7" w:rsidR="00D5043B" w:rsidP="00666EFA" w:rsidRDefault="0ADB7BD1" w14:paraId="458C80E7" w14:textId="5EA8D6EE">
                  <w:pPr>
                    <w:rPr>
                      <w:rFonts w:asciiTheme="minorHAnsi" w:hAnsiTheme="minorHAnsi" w:cstheme="minorBidi"/>
                      <w:color w:val="000000" w:themeColor="text1"/>
                      <w:sz w:val="18"/>
                      <w:szCs w:val="18"/>
                    </w:rPr>
                  </w:pPr>
                  <w:r w:rsidRPr="00557ED7">
                    <w:rPr>
                      <w:rFonts w:asciiTheme="minorHAnsi" w:hAnsiTheme="minorHAnsi" w:cstheme="minorBidi"/>
                      <w:color w:val="000000" w:themeColor="text1"/>
                      <w:sz w:val="18"/>
                      <w:szCs w:val="18"/>
                    </w:rPr>
                    <w:t>2030</w:t>
                  </w:r>
                </w:p>
              </w:tc>
            </w:tr>
            <w:tr w:rsidRPr="00D5043B" w:rsidR="00C63A33" w:rsidTr="0ADB7BD1" w14:paraId="16BF91ED" w14:textId="77777777">
              <w:trPr>
                <w:trHeight w:val="288"/>
              </w:trPr>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5043B" w:rsidR="00C63A33" w:rsidP="00C63A33" w:rsidRDefault="00C63A33" w14:paraId="5C69E494" w14:textId="77777777">
                  <w:pPr>
                    <w:rPr>
                      <w:rFonts w:asciiTheme="minorHAnsi" w:hAnsiTheme="minorHAnsi" w:cstheme="minorBidi"/>
                      <w:b/>
                      <w:bCs/>
                      <w:color w:val="000000" w:themeColor="text1"/>
                      <w:sz w:val="18"/>
                      <w:szCs w:val="18"/>
                    </w:rPr>
                  </w:pPr>
                  <w:r w:rsidRPr="0ADB7BD1">
                    <w:rPr>
                      <w:rFonts w:asciiTheme="minorHAnsi" w:hAnsiTheme="minorHAnsi" w:cstheme="minorBidi"/>
                      <w:b/>
                      <w:bCs/>
                      <w:color w:val="000000" w:themeColor="text1"/>
                      <w:sz w:val="18"/>
                      <w:szCs w:val="18"/>
                    </w:rPr>
                    <w:t>Artikelonderdeel</w:t>
                  </w:r>
                </w:p>
              </w:tc>
              <w:tc>
                <w:tcPr>
                  <w:tcW w:w="2094" w:type="dxa"/>
                  <w:tcBorders>
                    <w:top w:val="nil"/>
                    <w:left w:val="single" w:color="auto" w:sz="4" w:space="0"/>
                    <w:bottom w:val="single" w:color="auto" w:sz="8" w:space="0"/>
                    <w:right w:val="single" w:color="auto" w:sz="8" w:space="0"/>
                  </w:tcBorders>
                  <w:shd w:val="clear" w:color="auto" w:fill="auto"/>
                  <w:noWrap/>
                  <w:vAlign w:val="center"/>
                  <w:hideMark/>
                </w:tcPr>
                <w:p w:rsidRPr="00D5043B" w:rsidR="00C63A33" w:rsidP="00C63A33" w:rsidRDefault="00C63A33" w14:paraId="6572EEC9" w14:textId="77777777">
                  <w:pPr>
                    <w:rPr>
                      <w:rFonts w:asciiTheme="minorHAnsi" w:hAnsiTheme="minorHAnsi" w:cstheme="minorBidi"/>
                      <w:b/>
                      <w:bCs/>
                      <w:color w:val="000000" w:themeColor="text1"/>
                      <w:sz w:val="18"/>
                      <w:szCs w:val="18"/>
                    </w:rPr>
                  </w:pPr>
                  <w:r w:rsidRPr="0ADB7BD1">
                    <w:rPr>
                      <w:rFonts w:asciiTheme="minorHAnsi" w:hAnsiTheme="minorHAnsi" w:cstheme="minorBidi"/>
                      <w:b/>
                      <w:bCs/>
                      <w:color w:val="000000" w:themeColor="text1"/>
                      <w:sz w:val="18"/>
                      <w:szCs w:val="18"/>
                    </w:rPr>
                    <w:t>Mondiale Gezondheid en SRGR</w:t>
                  </w:r>
                </w:p>
              </w:tc>
              <w:tc>
                <w:tcPr>
                  <w:tcW w:w="833" w:type="dxa"/>
                  <w:tcBorders>
                    <w:top w:val="nil"/>
                    <w:left w:val="nil"/>
                    <w:bottom w:val="single" w:color="auto" w:sz="8" w:space="0"/>
                    <w:right w:val="single" w:color="auto" w:sz="8" w:space="0"/>
                  </w:tcBorders>
                  <w:shd w:val="clear" w:color="auto" w:fill="auto"/>
                  <w:noWrap/>
                  <w:vAlign w:val="center"/>
                  <w:hideMark/>
                </w:tcPr>
                <w:p w:rsidRPr="00D5043B" w:rsidR="00C63A33" w:rsidP="00C63A33" w:rsidRDefault="00C63A33" w14:paraId="053F79E0" w14:textId="4DFCD930">
                  <w:pPr>
                    <w:rPr>
                      <w:rFonts w:asciiTheme="minorHAnsi" w:hAnsiTheme="minorHAnsi" w:cstheme="minorBidi"/>
                      <w:color w:val="000000" w:themeColor="text1"/>
                      <w:sz w:val="18"/>
                      <w:szCs w:val="18"/>
                    </w:rPr>
                  </w:pPr>
                  <w:r w:rsidRPr="0ADB7BD1">
                    <w:rPr>
                      <w:rFonts w:asciiTheme="minorHAnsi" w:hAnsiTheme="minorHAnsi" w:cstheme="minorBidi"/>
                      <w:b/>
                      <w:bCs/>
                      <w:color w:val="000000" w:themeColor="text1"/>
                      <w:sz w:val="18"/>
                      <w:szCs w:val="18"/>
                    </w:rPr>
                    <w:t>404</w:t>
                  </w:r>
                </w:p>
              </w:tc>
              <w:tc>
                <w:tcPr>
                  <w:tcW w:w="701" w:type="dxa"/>
                  <w:tcBorders>
                    <w:top w:val="nil"/>
                    <w:left w:val="nil"/>
                    <w:bottom w:val="single" w:color="auto" w:sz="8" w:space="0"/>
                    <w:right w:val="single" w:color="auto" w:sz="8" w:space="0"/>
                  </w:tcBorders>
                  <w:shd w:val="clear" w:color="auto" w:fill="auto"/>
                  <w:noWrap/>
                  <w:vAlign w:val="center"/>
                  <w:hideMark/>
                </w:tcPr>
                <w:p w:rsidRPr="00D5043B" w:rsidR="00C63A33" w:rsidP="00C63A33" w:rsidRDefault="00C63A33" w14:paraId="6F334C95" w14:textId="3A04B23B">
                  <w:pPr>
                    <w:rPr>
                      <w:rFonts w:asciiTheme="minorHAnsi" w:hAnsiTheme="minorHAnsi" w:cstheme="minorBidi"/>
                      <w:color w:val="000000" w:themeColor="text1"/>
                      <w:sz w:val="18"/>
                      <w:szCs w:val="18"/>
                    </w:rPr>
                  </w:pPr>
                  <w:r w:rsidRPr="0ADB7BD1">
                    <w:rPr>
                      <w:rFonts w:asciiTheme="minorHAnsi" w:hAnsiTheme="minorHAnsi" w:cstheme="minorBidi"/>
                      <w:b/>
                      <w:bCs/>
                      <w:color w:val="000000" w:themeColor="text1"/>
                      <w:sz w:val="18"/>
                      <w:szCs w:val="18"/>
                    </w:rPr>
                    <w:t>404</w:t>
                  </w:r>
                </w:p>
              </w:tc>
              <w:tc>
                <w:tcPr>
                  <w:tcW w:w="701" w:type="dxa"/>
                  <w:tcBorders>
                    <w:top w:val="nil"/>
                    <w:left w:val="nil"/>
                    <w:bottom w:val="single" w:color="auto" w:sz="8" w:space="0"/>
                    <w:right w:val="single" w:color="auto" w:sz="8" w:space="0"/>
                  </w:tcBorders>
                  <w:shd w:val="clear" w:color="auto" w:fill="auto"/>
                  <w:noWrap/>
                  <w:vAlign w:val="center"/>
                  <w:hideMark/>
                </w:tcPr>
                <w:p w:rsidRPr="00D5043B" w:rsidR="00C63A33" w:rsidP="00C63A33" w:rsidRDefault="00C63A33" w14:paraId="1E0DD18A" w14:textId="7F18C9EC">
                  <w:pPr>
                    <w:rPr>
                      <w:rFonts w:asciiTheme="minorHAnsi" w:hAnsiTheme="minorHAnsi" w:cstheme="minorBidi"/>
                      <w:color w:val="000000" w:themeColor="text1"/>
                      <w:sz w:val="18"/>
                      <w:szCs w:val="18"/>
                    </w:rPr>
                  </w:pPr>
                  <w:r w:rsidRPr="0ADB7BD1">
                    <w:rPr>
                      <w:rFonts w:asciiTheme="minorHAnsi" w:hAnsiTheme="minorHAnsi" w:cstheme="minorBidi"/>
                      <w:b/>
                      <w:bCs/>
                      <w:color w:val="000000" w:themeColor="text1"/>
                      <w:sz w:val="18"/>
                      <w:szCs w:val="18"/>
                    </w:rPr>
                    <w:t>453</w:t>
                  </w:r>
                </w:p>
              </w:tc>
              <w:tc>
                <w:tcPr>
                  <w:tcW w:w="701" w:type="dxa"/>
                  <w:tcBorders>
                    <w:top w:val="nil"/>
                    <w:left w:val="nil"/>
                    <w:bottom w:val="single" w:color="auto" w:sz="8" w:space="0"/>
                    <w:right w:val="single" w:color="auto" w:sz="8" w:space="0"/>
                  </w:tcBorders>
                  <w:shd w:val="clear" w:color="auto" w:fill="auto"/>
                  <w:noWrap/>
                  <w:vAlign w:val="center"/>
                  <w:hideMark/>
                </w:tcPr>
                <w:p w:rsidRPr="00D5043B" w:rsidR="00C63A33" w:rsidP="00C63A33" w:rsidRDefault="00C63A33" w14:paraId="132C53B5" w14:textId="38BE93AD">
                  <w:pPr>
                    <w:rPr>
                      <w:rFonts w:asciiTheme="minorHAnsi" w:hAnsiTheme="minorHAnsi" w:cstheme="minorBidi"/>
                      <w:color w:val="000000" w:themeColor="text1"/>
                      <w:sz w:val="18"/>
                      <w:szCs w:val="18"/>
                    </w:rPr>
                  </w:pPr>
                  <w:r w:rsidRPr="0ADB7BD1">
                    <w:rPr>
                      <w:rFonts w:asciiTheme="minorHAnsi" w:hAnsiTheme="minorHAnsi" w:cstheme="minorBidi"/>
                      <w:b/>
                      <w:bCs/>
                      <w:color w:val="000000" w:themeColor="text1"/>
                      <w:sz w:val="18"/>
                      <w:szCs w:val="18"/>
                    </w:rPr>
                    <w:t>490</w:t>
                  </w:r>
                </w:p>
              </w:tc>
              <w:tc>
                <w:tcPr>
                  <w:tcW w:w="701" w:type="dxa"/>
                  <w:tcBorders>
                    <w:top w:val="nil"/>
                    <w:left w:val="nil"/>
                    <w:bottom w:val="single" w:color="auto" w:sz="8" w:space="0"/>
                    <w:right w:val="single" w:color="auto" w:sz="8" w:space="0"/>
                  </w:tcBorders>
                  <w:shd w:val="clear" w:color="auto" w:fill="auto"/>
                  <w:noWrap/>
                  <w:vAlign w:val="center"/>
                  <w:hideMark/>
                </w:tcPr>
                <w:p w:rsidRPr="00D5043B" w:rsidR="00C63A33" w:rsidP="00C63A33" w:rsidRDefault="00C63A33" w14:paraId="2693FF8D" w14:textId="23E3EBFA">
                  <w:pPr>
                    <w:rPr>
                      <w:rFonts w:asciiTheme="minorHAnsi" w:hAnsiTheme="minorHAnsi" w:cstheme="minorBidi"/>
                      <w:color w:val="000000" w:themeColor="text1"/>
                      <w:sz w:val="18"/>
                      <w:szCs w:val="18"/>
                    </w:rPr>
                  </w:pPr>
                  <w:r w:rsidRPr="0ADB7BD1">
                    <w:rPr>
                      <w:rFonts w:asciiTheme="minorHAnsi" w:hAnsiTheme="minorHAnsi" w:cstheme="minorBidi"/>
                      <w:b/>
                      <w:bCs/>
                      <w:color w:val="000000" w:themeColor="text1"/>
                      <w:sz w:val="18"/>
                      <w:szCs w:val="18"/>
                    </w:rPr>
                    <w:t>490</w:t>
                  </w:r>
                </w:p>
              </w:tc>
            </w:tr>
          </w:tbl>
          <w:p w:rsidRPr="00A26BB4" w:rsidR="00D5043B" w:rsidP="00666EFA" w:rsidRDefault="0ADB7BD1" w14:paraId="75EAC589" w14:textId="4197B922">
            <w:pPr>
              <w:spacing w:before="52"/>
              <w:rPr>
                <w:rFonts w:asciiTheme="minorHAnsi" w:hAnsiTheme="minorHAnsi" w:cstheme="minorBidi"/>
                <w:color w:val="000000" w:themeColor="text1"/>
                <w:sz w:val="18"/>
                <w:szCs w:val="18"/>
              </w:rPr>
            </w:pPr>
            <w:r w:rsidRPr="0ADB7BD1">
              <w:rPr>
                <w:rFonts w:asciiTheme="minorHAnsi" w:hAnsiTheme="minorHAnsi" w:cstheme="minorBidi"/>
                <w:color w:val="000000" w:themeColor="text1"/>
                <w:sz w:val="18"/>
                <w:szCs w:val="18"/>
              </w:rPr>
              <w:t>De financiële gevolgen zijn onder voorbehoud van de uitkomsten van de voorjaarbesluitvorming. De in te zetten instrumenten zijn afhankelijk van de precieze uitwerking van de beleidsinzet. Waar nodig zullen bij volgende begrotingsmomenten budgetten overgeheveld worden binnen het beleidsartikel</w:t>
            </w:r>
            <w:r w:rsidR="00A26BB4">
              <w:rPr>
                <w:rFonts w:asciiTheme="minorHAnsi" w:hAnsiTheme="minorHAnsi" w:cstheme="minorBidi"/>
                <w:color w:val="000000" w:themeColor="text1"/>
                <w:sz w:val="18"/>
                <w:szCs w:val="18"/>
              </w:rPr>
              <w:t>.</w:t>
            </w:r>
          </w:p>
          <w:p w:rsidRPr="00D5043B" w:rsidR="00D5043B" w:rsidP="00666EFA" w:rsidRDefault="00D5043B" w14:paraId="1A6760F9" w14:textId="682D17C3">
            <w:pPr>
              <w:spacing w:before="52"/>
              <w:ind w:left="89"/>
              <w:rPr>
                <w:rFonts w:asciiTheme="minorHAnsi" w:hAnsiTheme="minorHAnsi" w:cstheme="minorHAnsi"/>
                <w:sz w:val="18"/>
                <w:szCs w:val="18"/>
              </w:rPr>
            </w:pPr>
          </w:p>
        </w:tc>
      </w:tr>
      <w:tr w:rsidRPr="004D201D" w:rsidR="001F2C47" w:rsidTr="0ADB7BD1" w14:paraId="6311F186" w14:textId="77777777">
        <w:trPr>
          <w:trHeight w:val="559"/>
        </w:trPr>
        <w:tc>
          <w:tcPr>
            <w:tcW w:w="1168" w:type="pct"/>
            <w:tcBorders>
              <w:top w:val="nil"/>
              <w:left w:val="nil"/>
              <w:bottom w:val="single" w:color="017BC7" w:sz="8" w:space="0"/>
              <w:right w:val="nil"/>
            </w:tcBorders>
            <w:shd w:val="clear" w:color="auto" w:fill="D6EFF9"/>
            <w:hideMark/>
          </w:tcPr>
          <w:p w:rsidRPr="004D201D" w:rsidR="00191822" w:rsidP="00666EFA" w:rsidRDefault="0ADB7BD1" w14:paraId="1E7965E6" w14:textId="77777777">
            <w:pPr>
              <w:pStyle w:val="TableParagraph"/>
              <w:spacing w:before="52" w:line="252" w:lineRule="auto"/>
              <w:ind w:left="89"/>
              <w:rPr>
                <w:rFonts w:asciiTheme="minorHAnsi" w:hAnsiTheme="minorHAnsi" w:cstheme="minorBidi"/>
                <w:b/>
                <w:bCs/>
                <w:sz w:val="18"/>
                <w:szCs w:val="18"/>
              </w:rPr>
            </w:pPr>
            <w:r w:rsidRPr="0ADB7BD1">
              <w:rPr>
                <w:rFonts w:asciiTheme="minorHAnsi" w:hAnsiTheme="minorHAnsi" w:cstheme="minorBidi"/>
                <w:b/>
                <w:bCs/>
                <w:sz w:val="18"/>
                <w:szCs w:val="18"/>
              </w:rPr>
              <w:t>B. Financiële gevolgen voor maatschappelijke sectoren</w:t>
            </w:r>
          </w:p>
          <w:p w:rsidRPr="004D201D" w:rsidR="00F13947" w:rsidP="00666EFA" w:rsidRDefault="00F13947" w14:paraId="164B1453" w14:textId="77777777">
            <w:pPr>
              <w:pStyle w:val="TableParagraph"/>
              <w:spacing w:before="52"/>
              <w:rPr>
                <w:rFonts w:asciiTheme="minorHAnsi" w:hAnsiTheme="minorHAnsi" w:cstheme="minorHAnsi"/>
                <w:b/>
                <w:bCs/>
                <w:sz w:val="18"/>
                <w:szCs w:val="18"/>
              </w:rPr>
            </w:pPr>
          </w:p>
        </w:tc>
        <w:tc>
          <w:tcPr>
            <w:tcW w:w="3832" w:type="pct"/>
            <w:tcBorders>
              <w:top w:val="nil"/>
              <w:left w:val="nil"/>
              <w:bottom w:val="single" w:color="017BC7" w:sz="8" w:space="0"/>
              <w:right w:val="nil"/>
            </w:tcBorders>
            <w:shd w:val="clear" w:color="auto" w:fill="auto"/>
          </w:tcPr>
          <w:p w:rsidRPr="0091113D" w:rsidR="0071068B" w:rsidP="00666EFA" w:rsidRDefault="0ADB7BD1" w14:paraId="76743493" w14:textId="7B2541B2">
            <w:pPr>
              <w:spacing w:before="52"/>
              <w:rPr>
                <w:rFonts w:asciiTheme="minorHAnsi" w:hAnsiTheme="minorHAnsi" w:cstheme="minorBidi"/>
                <w:sz w:val="18"/>
                <w:szCs w:val="18"/>
              </w:rPr>
            </w:pPr>
            <w:r w:rsidRPr="0ADB7BD1">
              <w:rPr>
                <w:rFonts w:asciiTheme="minorHAnsi" w:hAnsiTheme="minorHAnsi" w:cstheme="minorBidi"/>
                <w:sz w:val="18"/>
                <w:szCs w:val="18"/>
              </w:rPr>
              <w:t xml:space="preserve">Het kabinet zal de Nederlandse kennis en kunde van de Nederlandse gezondheidssector meer dan voorheen inzetten om zijn doelstellingen te bereiken. </w:t>
            </w:r>
            <w:r w:rsidR="00053414">
              <w:rPr>
                <w:rFonts w:asciiTheme="minorHAnsi" w:hAnsiTheme="minorHAnsi" w:cstheme="minorBidi"/>
                <w:sz w:val="18"/>
                <w:szCs w:val="18"/>
              </w:rPr>
              <w:t xml:space="preserve">Er wordt </w:t>
            </w:r>
            <w:r w:rsidRPr="0ADB7BD1">
              <w:rPr>
                <w:rFonts w:asciiTheme="minorHAnsi" w:hAnsiTheme="minorHAnsi" w:cstheme="minorBidi"/>
                <w:sz w:val="18"/>
                <w:szCs w:val="18"/>
              </w:rPr>
              <w:t xml:space="preserve">structureel financiering beschikbaar n gesteld om handelskansen voor Nederlandse bedrijven in de gezondheidssector te vergroten. </w:t>
            </w:r>
            <w:r w:rsidR="00053414">
              <w:rPr>
                <w:rFonts w:asciiTheme="minorHAnsi" w:hAnsiTheme="minorHAnsi" w:cstheme="minorBidi"/>
                <w:sz w:val="18"/>
                <w:szCs w:val="18"/>
              </w:rPr>
              <w:t xml:space="preserve">Daarnaast wordt meer </w:t>
            </w:r>
            <w:r w:rsidRPr="0ADB7BD1">
              <w:rPr>
                <w:rFonts w:asciiTheme="minorHAnsi" w:hAnsiTheme="minorHAnsi" w:cstheme="minorBidi"/>
                <w:sz w:val="18"/>
                <w:szCs w:val="18"/>
              </w:rPr>
              <w:t xml:space="preserve">dan nu het geval is </w:t>
            </w:r>
            <w:r w:rsidR="00053414">
              <w:rPr>
                <w:rFonts w:asciiTheme="minorHAnsi" w:hAnsiTheme="minorHAnsi" w:cstheme="minorBidi"/>
                <w:sz w:val="18"/>
                <w:szCs w:val="18"/>
              </w:rPr>
              <w:t xml:space="preserve">gezocht </w:t>
            </w:r>
            <w:r w:rsidRPr="0ADB7BD1">
              <w:rPr>
                <w:rFonts w:asciiTheme="minorHAnsi" w:hAnsiTheme="minorHAnsi" w:cstheme="minorBidi"/>
                <w:sz w:val="18"/>
                <w:szCs w:val="18"/>
              </w:rPr>
              <w:t xml:space="preserve">naar </w:t>
            </w:r>
            <w:r w:rsidRPr="0ADB7BD1" w:rsidR="002D18D7">
              <w:rPr>
                <w:rFonts w:asciiTheme="minorHAnsi" w:hAnsiTheme="minorHAnsi" w:cstheme="minorBidi"/>
                <w:sz w:val="18"/>
                <w:szCs w:val="18"/>
              </w:rPr>
              <w:t>mogelijkheden om</w:t>
            </w:r>
            <w:r w:rsidRPr="0ADB7BD1">
              <w:rPr>
                <w:rFonts w:asciiTheme="minorHAnsi" w:hAnsiTheme="minorHAnsi" w:cstheme="minorBidi"/>
                <w:sz w:val="18"/>
                <w:szCs w:val="18"/>
              </w:rPr>
              <w:t xml:space="preserve"> Nederlandse kennis en kunde te koppelen aan het werk van internationale organisaties.</w:t>
            </w:r>
            <w:r w:rsidR="0091113D">
              <w:rPr>
                <w:rFonts w:asciiTheme="minorHAnsi" w:hAnsiTheme="minorHAnsi" w:cstheme="minorBidi"/>
                <w:sz w:val="18"/>
                <w:szCs w:val="18"/>
              </w:rPr>
              <w:t xml:space="preserve"> E</w:t>
            </w:r>
            <w:r w:rsidRPr="0ADB7BD1">
              <w:rPr>
                <w:sz w:val="18"/>
                <w:szCs w:val="18"/>
              </w:rPr>
              <w:t xml:space="preserve">r zal structureel financiering beschikbaar blijven voor samenwerking met het maatschappelijk middenveld om de doelen van </w:t>
            </w:r>
            <w:r w:rsidR="00E50A38">
              <w:rPr>
                <w:sz w:val="18"/>
                <w:szCs w:val="18"/>
              </w:rPr>
              <w:t xml:space="preserve">de </w:t>
            </w:r>
            <w:r w:rsidRPr="0ADB7BD1">
              <w:rPr>
                <w:sz w:val="18"/>
                <w:szCs w:val="18"/>
              </w:rPr>
              <w:t xml:space="preserve">mondiale gezondheidsstrategie te bereiken. </w:t>
            </w:r>
          </w:p>
        </w:tc>
      </w:tr>
      <w:tr w:rsidRPr="00D34E5C" w:rsidR="001F2C47" w:rsidTr="0ADB7BD1" w14:paraId="5A411B6A" w14:textId="77777777">
        <w:trPr>
          <w:trHeight w:val="759"/>
        </w:trPr>
        <w:tc>
          <w:tcPr>
            <w:tcW w:w="1168" w:type="pct"/>
            <w:tcBorders>
              <w:top w:val="nil"/>
              <w:left w:val="nil"/>
              <w:bottom w:val="single" w:color="017BC7" w:sz="8" w:space="0"/>
              <w:right w:val="nil"/>
            </w:tcBorders>
            <w:shd w:val="clear" w:color="auto" w:fill="D6EFF9"/>
            <w:hideMark/>
          </w:tcPr>
          <w:p w:rsidRPr="004D201D" w:rsidR="00191822" w:rsidP="00666EFA" w:rsidRDefault="0ADB7BD1" w14:paraId="426B80EA" w14:textId="139200D9">
            <w:pPr>
              <w:pStyle w:val="TableParagraph"/>
              <w:spacing w:before="52" w:line="252" w:lineRule="auto"/>
              <w:ind w:left="89"/>
              <w:rPr>
                <w:rFonts w:asciiTheme="minorHAnsi" w:hAnsiTheme="minorHAnsi" w:cstheme="minorBidi"/>
                <w:b/>
                <w:bCs/>
                <w:sz w:val="18"/>
                <w:szCs w:val="18"/>
                <w:lang w:val="en-US"/>
              </w:rPr>
            </w:pPr>
            <w:r w:rsidRPr="0ADB7BD1">
              <w:rPr>
                <w:rFonts w:asciiTheme="minorHAnsi" w:hAnsiTheme="minorHAnsi" w:cstheme="minorBidi"/>
                <w:b/>
                <w:bCs/>
                <w:sz w:val="18"/>
                <w:szCs w:val="18"/>
              </w:rPr>
              <w:t>4. Nagestreefde doeltreffendheid</w:t>
            </w:r>
          </w:p>
        </w:tc>
        <w:tc>
          <w:tcPr>
            <w:tcW w:w="3832" w:type="pct"/>
            <w:tcBorders>
              <w:top w:val="nil"/>
              <w:left w:val="nil"/>
              <w:bottom w:val="single" w:color="017BC7" w:sz="8" w:space="0"/>
              <w:right w:val="nil"/>
            </w:tcBorders>
            <w:shd w:val="clear" w:color="auto" w:fill="auto"/>
            <w:hideMark/>
          </w:tcPr>
          <w:p w:rsidR="004723D3" w:rsidP="00666EFA" w:rsidRDefault="00A258F1" w14:paraId="353ED442" w14:textId="04F62CCE">
            <w:pPr>
              <w:pStyle w:val="Default"/>
              <w:contextualSpacing/>
              <w:rPr>
                <w:sz w:val="18"/>
                <w:szCs w:val="18"/>
              </w:rPr>
            </w:pPr>
            <w:r w:rsidRPr="00AF2958">
              <w:rPr>
                <w:sz w:val="18"/>
                <w:szCs w:val="18"/>
              </w:rPr>
              <w:t xml:space="preserve">Nederland heeft </w:t>
            </w:r>
            <w:r w:rsidRPr="00AF2958" w:rsidR="00537A32">
              <w:rPr>
                <w:sz w:val="18"/>
                <w:szCs w:val="18"/>
              </w:rPr>
              <w:t>decennia aan ervaring,</w:t>
            </w:r>
            <w:r w:rsidRPr="00AF2958">
              <w:rPr>
                <w:sz w:val="18"/>
                <w:szCs w:val="18"/>
              </w:rPr>
              <w:t xml:space="preserve"> kennis en kunde </w:t>
            </w:r>
            <w:r w:rsidRPr="00AF2958" w:rsidR="00537A32">
              <w:rPr>
                <w:sz w:val="18"/>
                <w:szCs w:val="18"/>
              </w:rPr>
              <w:t>op het terrein van gezondheid en</w:t>
            </w:r>
            <w:r w:rsidR="00B51620">
              <w:rPr>
                <w:sz w:val="18"/>
                <w:szCs w:val="18"/>
              </w:rPr>
              <w:t xml:space="preserve"> </w:t>
            </w:r>
            <w:r w:rsidRPr="00AF2958" w:rsidR="00537A32">
              <w:rPr>
                <w:sz w:val="18"/>
                <w:szCs w:val="18"/>
              </w:rPr>
              <w:t>SRGR</w:t>
            </w:r>
            <w:r w:rsidR="00537A32">
              <w:rPr>
                <w:sz w:val="27"/>
                <w:szCs w:val="27"/>
              </w:rPr>
              <w:t xml:space="preserve">. </w:t>
            </w:r>
            <w:r w:rsidRPr="006602DF" w:rsidR="002C16FC">
              <w:rPr>
                <w:sz w:val="18"/>
                <w:szCs w:val="18"/>
              </w:rPr>
              <w:t>IOB concludeerde in 2023</w:t>
            </w:r>
            <w:r w:rsidRPr="006602DF" w:rsidR="002C16FC">
              <w:rPr>
                <w:rStyle w:val="FootnoteReference"/>
                <w:sz w:val="18"/>
                <w:szCs w:val="18"/>
                <w:lang w:val="en-US"/>
              </w:rPr>
              <w:footnoteReference w:id="2"/>
            </w:r>
            <w:r w:rsidRPr="006602DF" w:rsidR="002C16FC">
              <w:rPr>
                <w:sz w:val="18"/>
                <w:szCs w:val="18"/>
              </w:rPr>
              <w:t xml:space="preserve"> </w:t>
            </w:r>
            <w:r w:rsidRPr="006602DF" w:rsidR="002D18D7">
              <w:rPr>
                <w:sz w:val="18"/>
                <w:szCs w:val="18"/>
              </w:rPr>
              <w:t>dat Nederland</w:t>
            </w:r>
            <w:r w:rsidRPr="006602DF" w:rsidR="006D335E">
              <w:rPr>
                <w:sz w:val="18"/>
                <w:szCs w:val="18"/>
              </w:rPr>
              <w:t xml:space="preserve"> in de periode 2012-2022 heeft bijdragen </w:t>
            </w:r>
            <w:r w:rsidRPr="006602DF" w:rsidR="002C16FC">
              <w:rPr>
                <w:sz w:val="18"/>
                <w:szCs w:val="18"/>
              </w:rPr>
              <w:t xml:space="preserve">aan verbeteringen in SRGR en aan het verminderen van de ziektelast van hiv/aids in lage- en lagere middeninkomenslanden. </w:t>
            </w:r>
            <w:r w:rsidR="004723D3">
              <w:rPr>
                <w:sz w:val="18"/>
                <w:szCs w:val="18"/>
              </w:rPr>
              <w:t xml:space="preserve">Het nieuw beleid bouwt </w:t>
            </w:r>
            <w:r w:rsidR="00877DDA">
              <w:rPr>
                <w:sz w:val="18"/>
                <w:szCs w:val="18"/>
              </w:rPr>
              <w:t xml:space="preserve">voort op deze </w:t>
            </w:r>
            <w:r w:rsidR="00E56811">
              <w:rPr>
                <w:sz w:val="18"/>
                <w:szCs w:val="18"/>
              </w:rPr>
              <w:t>inzet</w:t>
            </w:r>
            <w:r w:rsidR="004723D3">
              <w:rPr>
                <w:sz w:val="18"/>
                <w:szCs w:val="18"/>
              </w:rPr>
              <w:t xml:space="preserve"> </w:t>
            </w:r>
            <w:r w:rsidR="00877DDA">
              <w:rPr>
                <w:sz w:val="18"/>
                <w:szCs w:val="18"/>
              </w:rPr>
              <w:t xml:space="preserve">en </w:t>
            </w:r>
            <w:r w:rsidR="00960018">
              <w:rPr>
                <w:sz w:val="18"/>
                <w:szCs w:val="18"/>
              </w:rPr>
              <w:t xml:space="preserve">op </w:t>
            </w:r>
            <w:r w:rsidR="00877DDA">
              <w:rPr>
                <w:sz w:val="18"/>
                <w:szCs w:val="18"/>
              </w:rPr>
              <w:t>samenwerking</w:t>
            </w:r>
            <w:r w:rsidR="00B51620">
              <w:rPr>
                <w:sz w:val="18"/>
                <w:szCs w:val="18"/>
              </w:rPr>
              <w:t xml:space="preserve"> </w:t>
            </w:r>
            <w:r w:rsidR="00877DDA">
              <w:rPr>
                <w:sz w:val="18"/>
                <w:szCs w:val="18"/>
              </w:rPr>
              <w:t>met partners</w:t>
            </w:r>
            <w:r w:rsidR="0047157B">
              <w:rPr>
                <w:sz w:val="18"/>
                <w:szCs w:val="18"/>
              </w:rPr>
              <w:t xml:space="preserve"> met een bewezen trackrecord</w:t>
            </w:r>
            <w:r w:rsidR="00B51620">
              <w:rPr>
                <w:sz w:val="18"/>
                <w:szCs w:val="18"/>
              </w:rPr>
              <w:t xml:space="preserve">. </w:t>
            </w:r>
            <w:r w:rsidR="00877DDA">
              <w:rPr>
                <w:sz w:val="18"/>
                <w:szCs w:val="18"/>
              </w:rPr>
              <w:t>D</w:t>
            </w:r>
            <w:r w:rsidR="004723D3">
              <w:rPr>
                <w:sz w:val="18"/>
                <w:szCs w:val="18"/>
              </w:rPr>
              <w:t xml:space="preserve">e lessen en aanbevelingen uit de </w:t>
            </w:r>
            <w:r w:rsidR="00B51620">
              <w:rPr>
                <w:sz w:val="18"/>
                <w:szCs w:val="18"/>
              </w:rPr>
              <w:t xml:space="preserve">IOB- </w:t>
            </w:r>
            <w:r w:rsidR="004723D3">
              <w:rPr>
                <w:sz w:val="18"/>
                <w:szCs w:val="18"/>
              </w:rPr>
              <w:t xml:space="preserve">evaluatie </w:t>
            </w:r>
            <w:r w:rsidR="00877DDA">
              <w:rPr>
                <w:sz w:val="18"/>
                <w:szCs w:val="18"/>
              </w:rPr>
              <w:t xml:space="preserve">worden </w:t>
            </w:r>
            <w:r w:rsidR="004723D3">
              <w:rPr>
                <w:sz w:val="18"/>
                <w:szCs w:val="18"/>
              </w:rPr>
              <w:t>ter hand</w:t>
            </w:r>
            <w:r w:rsidR="00877DDA">
              <w:rPr>
                <w:sz w:val="18"/>
                <w:szCs w:val="18"/>
              </w:rPr>
              <w:t xml:space="preserve"> genomen</w:t>
            </w:r>
            <w:r w:rsidR="004723D3">
              <w:rPr>
                <w:sz w:val="18"/>
                <w:szCs w:val="18"/>
              </w:rPr>
              <w:t xml:space="preserve"> om doeltreffendheid </w:t>
            </w:r>
            <w:r w:rsidR="0024599D">
              <w:rPr>
                <w:sz w:val="18"/>
                <w:szCs w:val="18"/>
              </w:rPr>
              <w:t xml:space="preserve">waar kan </w:t>
            </w:r>
            <w:r w:rsidR="00537A32">
              <w:rPr>
                <w:sz w:val="18"/>
                <w:szCs w:val="18"/>
              </w:rPr>
              <w:t xml:space="preserve">de komende jaren </w:t>
            </w:r>
            <w:r w:rsidR="004723D3">
              <w:rPr>
                <w:sz w:val="18"/>
                <w:szCs w:val="18"/>
              </w:rPr>
              <w:t xml:space="preserve">te vergroten. Bijvoorbeeld: </w:t>
            </w:r>
          </w:p>
          <w:p w:rsidR="004723D3" w:rsidP="00666EFA" w:rsidRDefault="0ADB7BD1" w14:paraId="764AC921" w14:textId="10C17A8F">
            <w:pPr>
              <w:pStyle w:val="Default"/>
              <w:numPr>
                <w:ilvl w:val="0"/>
                <w:numId w:val="46"/>
              </w:numPr>
              <w:rPr>
                <w:sz w:val="18"/>
                <w:szCs w:val="18"/>
              </w:rPr>
            </w:pPr>
            <w:r w:rsidRPr="0ADB7BD1">
              <w:rPr>
                <w:sz w:val="18"/>
                <w:szCs w:val="18"/>
              </w:rPr>
              <w:t xml:space="preserve">Momenteel wordt een genderscan uitgevoerd op begrotingsartikel 3.1 om effectiviteit van inzet op gezondheid te vergroten;  </w:t>
            </w:r>
          </w:p>
          <w:p w:rsidR="00537A32" w:rsidP="00666EFA" w:rsidRDefault="0ADB7BD1" w14:paraId="3BA72CFB" w14:textId="3BE4E93F">
            <w:pPr>
              <w:pStyle w:val="Default"/>
              <w:numPr>
                <w:ilvl w:val="0"/>
                <w:numId w:val="46"/>
              </w:numPr>
              <w:rPr>
                <w:sz w:val="18"/>
                <w:szCs w:val="18"/>
              </w:rPr>
            </w:pPr>
            <w:r w:rsidRPr="0ADB7BD1">
              <w:rPr>
                <w:sz w:val="18"/>
                <w:szCs w:val="18"/>
              </w:rPr>
              <w:lastRenderedPageBreak/>
              <w:t xml:space="preserve">De </w:t>
            </w:r>
            <w:r w:rsidRPr="0ADB7BD1" w:rsidR="002D18D7">
              <w:rPr>
                <w:sz w:val="18"/>
                <w:szCs w:val="18"/>
              </w:rPr>
              <w:t>SRGR-partnerschappen</w:t>
            </w:r>
            <w:r w:rsidRPr="0ADB7BD1">
              <w:rPr>
                <w:sz w:val="18"/>
                <w:szCs w:val="18"/>
              </w:rPr>
              <w:t xml:space="preserve"> binnen het beleidskader Versterking Maatschappelijk Middenveld lopen af. Bij nieuwe programmering wordt rekening gehouden met verminderen </w:t>
            </w:r>
            <w:r w:rsidRPr="0ADB7BD1" w:rsidR="002D18D7">
              <w:rPr>
                <w:sz w:val="18"/>
                <w:szCs w:val="18"/>
              </w:rPr>
              <w:t>complexiteit, balans</w:t>
            </w:r>
            <w:r w:rsidRPr="0ADB7BD1">
              <w:rPr>
                <w:sz w:val="18"/>
                <w:szCs w:val="18"/>
              </w:rPr>
              <w:t xml:space="preserve"> tussen dialoog en dienstverlening en het belang van lokalisering. </w:t>
            </w:r>
          </w:p>
          <w:p w:rsidR="00323793" w:rsidP="00666EFA" w:rsidRDefault="0ADB7BD1" w14:paraId="3B147AC1" w14:textId="07362AB2">
            <w:pPr>
              <w:pStyle w:val="Default"/>
              <w:numPr>
                <w:ilvl w:val="0"/>
                <w:numId w:val="46"/>
              </w:numPr>
              <w:rPr>
                <w:sz w:val="18"/>
                <w:szCs w:val="18"/>
              </w:rPr>
            </w:pPr>
            <w:r w:rsidRPr="0ADB7BD1">
              <w:rPr>
                <w:sz w:val="18"/>
                <w:szCs w:val="18"/>
              </w:rPr>
              <w:t xml:space="preserve">Programma’s die op basis van gedegen evaluaties effectief zijn gebleken zullen worden gehandhaafd of worden opgeschaald waar zij bijdragen aan het nieuwe beleid. </w:t>
            </w:r>
          </w:p>
          <w:p w:rsidR="00323793" w:rsidP="00666EFA" w:rsidRDefault="0ADB7BD1" w14:paraId="69C05E78" w14:textId="48A604B9">
            <w:pPr>
              <w:pStyle w:val="Default"/>
              <w:numPr>
                <w:ilvl w:val="0"/>
                <w:numId w:val="46"/>
              </w:numPr>
              <w:rPr>
                <w:sz w:val="18"/>
                <w:szCs w:val="18"/>
              </w:rPr>
            </w:pPr>
            <w:r w:rsidRPr="0ADB7BD1">
              <w:rPr>
                <w:sz w:val="18"/>
                <w:szCs w:val="18"/>
              </w:rPr>
              <w:t xml:space="preserve">Aannames onder het nieuwe beleid zullen in de uitwerking expliciet worden gemaakt en worden onderbouwd met bestaand bewijs uit MEL, en waar dat bewijs nog niet voor handen is, nader worden onderzocht en getest. </w:t>
            </w:r>
          </w:p>
          <w:p w:rsidR="00AF2958" w:rsidP="00666EFA" w:rsidRDefault="00AF2958" w14:paraId="4B2C47A4" w14:textId="77777777">
            <w:pPr>
              <w:pStyle w:val="Default"/>
              <w:rPr>
                <w:sz w:val="18"/>
                <w:szCs w:val="18"/>
              </w:rPr>
            </w:pPr>
          </w:p>
          <w:p w:rsidR="00E91B84" w:rsidP="00666EFA" w:rsidRDefault="0ADB7BD1" w14:paraId="6A830A32" w14:textId="1E4B4C43">
            <w:pPr>
              <w:pStyle w:val="Default"/>
              <w:rPr>
                <w:sz w:val="18"/>
                <w:szCs w:val="18"/>
              </w:rPr>
            </w:pPr>
            <w:r w:rsidRPr="0ADB7BD1">
              <w:rPr>
                <w:sz w:val="18"/>
                <w:szCs w:val="18"/>
              </w:rPr>
              <w:t xml:space="preserve">Ook wordt gekeken naar partners die vanwege </w:t>
            </w:r>
            <w:r w:rsidRPr="0ADB7BD1" w:rsidR="002D18D7">
              <w:rPr>
                <w:sz w:val="18"/>
                <w:szCs w:val="18"/>
              </w:rPr>
              <w:t>omvang in</w:t>
            </w:r>
            <w:r w:rsidRPr="0ADB7BD1">
              <w:rPr>
                <w:sz w:val="18"/>
                <w:szCs w:val="18"/>
              </w:rPr>
              <w:t xml:space="preserve"> staat zijn gezondheidsbeleid in landen bij te sturen of vanwege schaalvoordelen lage prijzen bedingen voor noodzakelijke producten. </w:t>
            </w:r>
          </w:p>
          <w:p w:rsidRPr="00C925AE" w:rsidR="005E1053" w:rsidP="00666EFA" w:rsidRDefault="005E1053" w14:paraId="11613BD5" w14:textId="5F732DAC">
            <w:pPr>
              <w:pStyle w:val="Default"/>
              <w:rPr>
                <w:rFonts w:asciiTheme="minorHAnsi" w:hAnsiTheme="minorHAnsi" w:cstheme="minorHAnsi"/>
                <w:sz w:val="18"/>
                <w:szCs w:val="18"/>
              </w:rPr>
            </w:pPr>
          </w:p>
        </w:tc>
      </w:tr>
      <w:tr w:rsidRPr="004D201D" w:rsidR="001F2C47" w:rsidTr="0ADB7BD1" w14:paraId="7A2CB2A8" w14:textId="77777777">
        <w:trPr>
          <w:trHeight w:val="559"/>
        </w:trPr>
        <w:tc>
          <w:tcPr>
            <w:tcW w:w="1168" w:type="pct"/>
            <w:tcBorders>
              <w:top w:val="nil"/>
              <w:left w:val="nil"/>
              <w:bottom w:val="single" w:color="017BC7" w:sz="8" w:space="0"/>
              <w:right w:val="nil"/>
            </w:tcBorders>
            <w:shd w:val="clear" w:color="auto" w:fill="D6EFF9"/>
            <w:hideMark/>
          </w:tcPr>
          <w:p w:rsidRPr="004D201D" w:rsidR="00191822" w:rsidP="00666EFA" w:rsidRDefault="0ADB7BD1" w14:paraId="0EC5A4D3" w14:textId="047041DB">
            <w:pPr>
              <w:pStyle w:val="TableParagraph"/>
              <w:spacing w:before="52" w:line="252" w:lineRule="auto"/>
              <w:ind w:left="89"/>
              <w:rPr>
                <w:rFonts w:asciiTheme="minorHAnsi" w:hAnsiTheme="minorHAnsi" w:cstheme="minorBidi"/>
                <w:b/>
                <w:bCs/>
                <w:sz w:val="18"/>
                <w:szCs w:val="18"/>
                <w:lang w:val="en-US"/>
              </w:rPr>
            </w:pPr>
            <w:r w:rsidRPr="0ADB7BD1">
              <w:rPr>
                <w:rFonts w:asciiTheme="minorHAnsi" w:hAnsiTheme="minorHAnsi" w:cstheme="minorBidi"/>
                <w:b/>
                <w:bCs/>
                <w:sz w:val="18"/>
                <w:szCs w:val="18"/>
                <w:lang w:val="en-US"/>
              </w:rPr>
              <w:lastRenderedPageBreak/>
              <w:t xml:space="preserve">5. </w:t>
            </w:r>
            <w:proofErr w:type="spellStart"/>
            <w:r w:rsidRPr="0ADB7BD1">
              <w:rPr>
                <w:rFonts w:asciiTheme="minorHAnsi" w:hAnsiTheme="minorHAnsi" w:cstheme="minorBidi"/>
                <w:b/>
                <w:bCs/>
                <w:sz w:val="18"/>
                <w:szCs w:val="18"/>
                <w:lang w:val="en-US"/>
              </w:rPr>
              <w:t>Nagestreefde</w:t>
            </w:r>
            <w:proofErr w:type="spellEnd"/>
            <w:r w:rsidRPr="0ADB7BD1">
              <w:rPr>
                <w:rFonts w:asciiTheme="minorHAnsi" w:hAnsiTheme="minorHAnsi" w:cstheme="minorBidi"/>
                <w:b/>
                <w:bCs/>
                <w:sz w:val="18"/>
                <w:szCs w:val="18"/>
                <w:lang w:val="en-US"/>
              </w:rPr>
              <w:t xml:space="preserve"> </w:t>
            </w:r>
            <w:proofErr w:type="spellStart"/>
            <w:r w:rsidRPr="0ADB7BD1">
              <w:rPr>
                <w:rFonts w:asciiTheme="minorHAnsi" w:hAnsiTheme="minorHAnsi" w:cstheme="minorBidi"/>
                <w:b/>
                <w:bCs/>
                <w:sz w:val="18"/>
                <w:szCs w:val="18"/>
                <w:lang w:val="en-US"/>
              </w:rPr>
              <w:t>doelmatigheid</w:t>
            </w:r>
            <w:proofErr w:type="spellEnd"/>
          </w:p>
        </w:tc>
        <w:tc>
          <w:tcPr>
            <w:tcW w:w="3832" w:type="pct"/>
            <w:tcBorders>
              <w:top w:val="nil"/>
              <w:left w:val="nil"/>
              <w:bottom w:val="single" w:color="017BC7" w:sz="8" w:space="0"/>
              <w:right w:val="nil"/>
            </w:tcBorders>
            <w:shd w:val="clear" w:color="auto" w:fill="auto"/>
            <w:hideMark/>
          </w:tcPr>
          <w:p w:rsidR="00960018" w:rsidP="00666EFA" w:rsidRDefault="0ADB7BD1" w14:paraId="286CECC9" w14:textId="6A71CDA9">
            <w:pPr>
              <w:pStyle w:val="Default"/>
              <w:rPr>
                <w:sz w:val="18"/>
                <w:szCs w:val="18"/>
              </w:rPr>
            </w:pPr>
            <w:r w:rsidRPr="0ADB7BD1">
              <w:rPr>
                <w:sz w:val="18"/>
                <w:szCs w:val="18"/>
              </w:rPr>
              <w:t xml:space="preserve">Met de instrumenten zoals voorzien onder dit bestedingsvoorstel wordt gestreefd naar optimale verhouding tussen inzet van middelen en beoogde resultaten. Afgelopen jaar, in navolging van de genoemde IOB-evaluatie, is geïnvesteerd in het versterken van het programmabeheer op het terrein van gezondheid. Doelmatigheid is onderdeel </w:t>
            </w:r>
            <w:r w:rsidRPr="0ADB7BD1" w:rsidR="002D18D7">
              <w:rPr>
                <w:sz w:val="18"/>
                <w:szCs w:val="18"/>
              </w:rPr>
              <w:t>van de</w:t>
            </w:r>
            <w:r w:rsidRPr="0ADB7BD1">
              <w:rPr>
                <w:sz w:val="18"/>
                <w:szCs w:val="18"/>
              </w:rPr>
              <w:t xml:space="preserve"> monitoring en evaluaties van de programma’s en activiteiten als ook van de beoordeling van programmavoorstellen. Hierop kan worden bijgestuurd wanneer dat nodig is. </w:t>
            </w:r>
          </w:p>
          <w:p w:rsidR="00C90EE6" w:rsidP="00666EFA" w:rsidRDefault="00C90EE6" w14:paraId="11BCAA13" w14:textId="77777777">
            <w:pPr>
              <w:pStyle w:val="Default"/>
              <w:rPr>
                <w:sz w:val="18"/>
                <w:szCs w:val="18"/>
              </w:rPr>
            </w:pPr>
          </w:p>
          <w:p w:rsidR="002D5EB9" w:rsidP="00666EFA" w:rsidRDefault="0ADB7BD1" w14:paraId="72EDE7B2" w14:textId="3515126A">
            <w:pPr>
              <w:pStyle w:val="Default"/>
              <w:rPr>
                <w:sz w:val="18"/>
                <w:szCs w:val="18"/>
              </w:rPr>
            </w:pPr>
            <w:r w:rsidRPr="0ADB7BD1">
              <w:rPr>
                <w:sz w:val="18"/>
                <w:szCs w:val="18"/>
              </w:rPr>
              <w:t xml:space="preserve">Door scherpere focus van de inzet op gezondheid, geïntegreerde inzet met de thema’s water, voedsel en versterkte samenwerking met de Nederlandse gezondheidssector kan doelmatigheid komende jaren ook verder worden versterkt. </w:t>
            </w:r>
          </w:p>
          <w:p w:rsidR="0009506A" w:rsidP="00666EFA" w:rsidRDefault="0009506A" w14:paraId="1999A5F4" w14:textId="6C6B9208">
            <w:pPr>
              <w:pStyle w:val="Default"/>
              <w:rPr>
                <w:sz w:val="18"/>
                <w:szCs w:val="18"/>
              </w:rPr>
            </w:pPr>
          </w:p>
          <w:p w:rsidRPr="00C16133" w:rsidR="0009506A" w:rsidP="00666EFA" w:rsidRDefault="0ADB7BD1" w14:paraId="14E5F5CB" w14:textId="370107D6">
            <w:pPr>
              <w:pStyle w:val="Default"/>
              <w:rPr>
                <w:sz w:val="22"/>
                <w:szCs w:val="22"/>
              </w:rPr>
            </w:pPr>
            <w:r w:rsidRPr="0ADB7BD1">
              <w:rPr>
                <w:sz w:val="18"/>
                <w:szCs w:val="18"/>
              </w:rPr>
              <w:t xml:space="preserve">Ten behoeve van de doelmatigheid is het van belang iom fragmentatie van programma’s, projecten en activiteiten te voorkomen. Fragmentatie leidt </w:t>
            </w:r>
            <w:r w:rsidR="002D18D7">
              <w:rPr>
                <w:sz w:val="18"/>
                <w:szCs w:val="18"/>
              </w:rPr>
              <w:t xml:space="preserve">ook </w:t>
            </w:r>
            <w:r w:rsidRPr="0ADB7BD1" w:rsidR="002D18D7">
              <w:rPr>
                <w:sz w:val="18"/>
                <w:szCs w:val="18"/>
              </w:rPr>
              <w:t>tot</w:t>
            </w:r>
            <w:r w:rsidRPr="0ADB7BD1">
              <w:rPr>
                <w:sz w:val="18"/>
                <w:szCs w:val="18"/>
              </w:rPr>
              <w:t xml:space="preserve"> </w:t>
            </w:r>
            <w:r w:rsidR="00E50A38">
              <w:rPr>
                <w:sz w:val="18"/>
                <w:szCs w:val="18"/>
              </w:rPr>
              <w:t xml:space="preserve">een </w:t>
            </w:r>
            <w:r w:rsidRPr="0ADB7BD1">
              <w:rPr>
                <w:sz w:val="18"/>
                <w:szCs w:val="18"/>
              </w:rPr>
              <w:t xml:space="preserve">(te) grote </w:t>
            </w:r>
            <w:proofErr w:type="spellStart"/>
            <w:r w:rsidRPr="0ADB7BD1">
              <w:rPr>
                <w:sz w:val="18"/>
                <w:szCs w:val="18"/>
              </w:rPr>
              <w:t>beheerslast</w:t>
            </w:r>
            <w:proofErr w:type="spellEnd"/>
            <w:r w:rsidRPr="0ADB7BD1">
              <w:rPr>
                <w:sz w:val="18"/>
                <w:szCs w:val="18"/>
              </w:rPr>
              <w:t xml:space="preserve"> en gaat ten koste van kwaliteit van programmabeheer. Ook met het oog op de taakstelling is dit een risico. </w:t>
            </w:r>
          </w:p>
          <w:p w:rsidRPr="004D201D" w:rsidR="008F363F" w:rsidP="00666EFA" w:rsidRDefault="008F363F" w14:paraId="2476BC90" w14:textId="1EE74F0E">
            <w:pPr>
              <w:spacing w:before="52"/>
              <w:ind w:left="89"/>
              <w:rPr>
                <w:rFonts w:asciiTheme="minorHAnsi" w:hAnsiTheme="minorHAnsi" w:cstheme="minorHAnsi"/>
                <w:sz w:val="18"/>
                <w:szCs w:val="18"/>
              </w:rPr>
            </w:pPr>
          </w:p>
        </w:tc>
      </w:tr>
      <w:tr w:rsidRPr="00C925AE" w:rsidR="00BA72B0" w:rsidTr="0ADB7BD1" w14:paraId="32F345EA" w14:textId="77777777">
        <w:trPr>
          <w:trHeight w:val="354"/>
        </w:trPr>
        <w:tc>
          <w:tcPr>
            <w:tcW w:w="1168" w:type="pct"/>
            <w:tcBorders>
              <w:top w:val="single" w:color="017BC7" w:sz="8" w:space="0"/>
              <w:left w:val="nil"/>
              <w:bottom w:val="single" w:color="017BC7" w:sz="8" w:space="0"/>
              <w:right w:val="nil"/>
            </w:tcBorders>
            <w:shd w:val="clear" w:color="auto" w:fill="D6EFF9"/>
            <w:hideMark/>
          </w:tcPr>
          <w:p w:rsidRPr="004D201D" w:rsidR="00BA72B0" w:rsidP="00666EFA" w:rsidRDefault="0ADB7BD1" w14:paraId="1FCEC8C6" w14:textId="75CE1FA9">
            <w:pPr>
              <w:pStyle w:val="TableParagraph"/>
              <w:spacing w:before="52" w:line="252" w:lineRule="auto"/>
              <w:ind w:left="89"/>
              <w:rPr>
                <w:rFonts w:asciiTheme="minorHAnsi" w:hAnsiTheme="minorHAnsi" w:cstheme="minorBidi"/>
                <w:b/>
                <w:bCs/>
                <w:sz w:val="18"/>
                <w:szCs w:val="18"/>
                <w:lang w:val="en-US"/>
              </w:rPr>
            </w:pPr>
            <w:r w:rsidRPr="0ADB7BD1">
              <w:rPr>
                <w:rFonts w:asciiTheme="minorHAnsi" w:hAnsiTheme="minorHAnsi" w:cstheme="minorBidi"/>
                <w:b/>
                <w:bCs/>
                <w:sz w:val="18"/>
                <w:szCs w:val="18"/>
                <w:lang w:val="en-US"/>
              </w:rPr>
              <w:t xml:space="preserve">6. </w:t>
            </w:r>
            <w:proofErr w:type="spellStart"/>
            <w:r w:rsidRPr="0ADB7BD1">
              <w:rPr>
                <w:rFonts w:asciiTheme="minorHAnsi" w:hAnsiTheme="minorHAnsi" w:cstheme="minorBidi"/>
                <w:b/>
                <w:bCs/>
                <w:sz w:val="18"/>
                <w:szCs w:val="18"/>
                <w:lang w:val="en-US"/>
              </w:rPr>
              <w:t>Evaluatieparagraaf</w:t>
            </w:r>
            <w:proofErr w:type="spellEnd"/>
          </w:p>
        </w:tc>
        <w:tc>
          <w:tcPr>
            <w:tcW w:w="3832" w:type="pct"/>
            <w:tcBorders>
              <w:top w:val="single" w:color="017BC7" w:sz="8" w:space="0"/>
              <w:left w:val="nil"/>
              <w:bottom w:val="single" w:color="017BC7" w:sz="8" w:space="0"/>
              <w:right w:val="nil"/>
            </w:tcBorders>
            <w:shd w:val="clear" w:color="auto" w:fill="auto"/>
          </w:tcPr>
          <w:p w:rsidR="00933554" w:rsidP="00666EFA" w:rsidRDefault="00933554" w14:paraId="4AC562AE" w14:textId="7449CD37">
            <w:pPr>
              <w:pStyle w:val="TableParagraph"/>
              <w:numPr>
                <w:ilvl w:val="0"/>
                <w:numId w:val="49"/>
              </w:numPr>
              <w:spacing w:before="4" w:line="252" w:lineRule="auto"/>
              <w:rPr>
                <w:sz w:val="18"/>
                <w:szCs w:val="18"/>
              </w:rPr>
            </w:pPr>
            <w:r w:rsidRPr="00933554">
              <w:rPr>
                <w:sz w:val="18"/>
                <w:szCs w:val="18"/>
              </w:rPr>
              <w:t xml:space="preserve">Directie Internationaal Onderzoek en Beleidsevaluatie </w:t>
            </w:r>
            <w:r w:rsidRPr="00933554" w:rsidR="0ADB7BD1">
              <w:rPr>
                <w:sz w:val="18"/>
                <w:szCs w:val="18"/>
              </w:rPr>
              <w:t>voert periodiek evaluaties uit van beleid en uitvoering van beleid en uitvoering van Buitenlandse Zaken. Onderliggend bestedingsvoorstel valt in de Strategische Evaluatie Agenda.</w:t>
            </w:r>
          </w:p>
          <w:p w:rsidR="00933554" w:rsidP="00666EFA" w:rsidRDefault="0ADB7BD1" w14:paraId="6A32A6A1" w14:textId="77777777">
            <w:pPr>
              <w:pStyle w:val="TableParagraph"/>
              <w:numPr>
                <w:ilvl w:val="0"/>
                <w:numId w:val="49"/>
              </w:numPr>
              <w:spacing w:before="4" w:line="252" w:lineRule="auto"/>
              <w:rPr>
                <w:sz w:val="18"/>
                <w:szCs w:val="18"/>
              </w:rPr>
            </w:pPr>
            <w:r w:rsidRPr="00281474">
              <w:rPr>
                <w:sz w:val="18"/>
                <w:szCs w:val="18"/>
              </w:rPr>
              <w:t>ODA-activiteiten binnen het Directoraat Generaal Internationale Samenwerking (DGIS) worden systematisch geëvalueerd. Voor activiteiten van meer dan EUR 5 miljoen wordt daarvoor een externe evaluator ingezet.</w:t>
            </w:r>
          </w:p>
          <w:p w:rsidRPr="006602DF" w:rsidR="00BA72B0" w:rsidP="00666EFA" w:rsidRDefault="0ADB7BD1" w14:paraId="63AE5B59" w14:textId="60E74135">
            <w:pPr>
              <w:pStyle w:val="TableParagraph"/>
              <w:numPr>
                <w:ilvl w:val="0"/>
                <w:numId w:val="49"/>
              </w:numPr>
              <w:spacing w:before="4" w:line="252" w:lineRule="auto"/>
              <w:rPr>
                <w:sz w:val="18"/>
                <w:szCs w:val="18"/>
              </w:rPr>
            </w:pPr>
            <w:r w:rsidRPr="000909CD">
              <w:rPr>
                <w:sz w:val="18"/>
                <w:szCs w:val="18"/>
              </w:rPr>
              <w:t xml:space="preserve">Op basis van jaarverslagen, voortgangsrapportages en de periodieke monitoring aan de hand van bijv. veldbezoeken, worden programma`s in overleg met de uitvoerder bijgesteld. </w:t>
            </w:r>
          </w:p>
        </w:tc>
      </w:tr>
    </w:tbl>
    <w:p w:rsidRPr="004D201D" w:rsidR="00DB18F5" w:rsidP="00666EFA" w:rsidRDefault="00DB18F5" w14:paraId="75DF85A4" w14:textId="77777777">
      <w:pPr>
        <w:rPr>
          <w:rFonts w:asciiTheme="minorHAnsi" w:hAnsiTheme="minorHAnsi" w:cstheme="minorHAnsi"/>
          <w:sz w:val="18"/>
          <w:szCs w:val="18"/>
        </w:rPr>
      </w:pPr>
    </w:p>
    <w:sectPr w:rsidRPr="004D201D" w:rsidR="00DB18F5" w:rsidSect="00B706E1">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pgNumType w:fmt="lowerRoman"/>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84BBB" w14:textId="77777777" w:rsidR="00E306EA" w:rsidRDefault="00E306EA" w:rsidP="00AD0168">
      <w:r>
        <w:separator/>
      </w:r>
    </w:p>
  </w:endnote>
  <w:endnote w:type="continuationSeparator" w:id="0">
    <w:p w14:paraId="36BA0108" w14:textId="77777777" w:rsidR="00E306EA" w:rsidRDefault="00E306EA" w:rsidP="00AD0168">
      <w:r>
        <w:continuationSeparator/>
      </w:r>
    </w:p>
  </w:endnote>
  <w:endnote w:type="continuationNotice" w:id="1">
    <w:p w14:paraId="0EE7B528" w14:textId="77777777" w:rsidR="00E306EA" w:rsidRDefault="00E30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7287D" w14:textId="77777777" w:rsidR="0009156C" w:rsidRDefault="00091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034080"/>
      <w:docPartObj>
        <w:docPartGallery w:val="Page Numbers (Bottom of Page)"/>
        <w:docPartUnique/>
      </w:docPartObj>
    </w:sdtPr>
    <w:sdtContent>
      <w:p w14:paraId="357EFF62" w14:textId="58501F88" w:rsidR="00F01E85" w:rsidRDefault="00F01E85">
        <w:pPr>
          <w:pStyle w:val="Footer"/>
          <w:jc w:val="right"/>
        </w:pPr>
        <w:r>
          <w:fldChar w:fldCharType="begin"/>
        </w:r>
        <w:r>
          <w:instrText>PAGE   \* MERGEFORMAT</w:instrText>
        </w:r>
        <w:r>
          <w:fldChar w:fldCharType="separate"/>
        </w:r>
        <w:r w:rsidR="00801F23">
          <w:rPr>
            <w:noProof/>
          </w:rPr>
          <w:t>viii</w:t>
        </w:r>
        <w:r>
          <w:fldChar w:fldCharType="end"/>
        </w:r>
      </w:p>
    </w:sdtContent>
  </w:sdt>
  <w:p w14:paraId="2A6E5307" w14:textId="77777777" w:rsidR="00F01E85" w:rsidRDefault="00F01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AA80" w14:textId="77777777" w:rsidR="0009156C" w:rsidRDefault="00091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05754" w14:textId="77777777" w:rsidR="00E306EA" w:rsidRDefault="00E306EA" w:rsidP="00AD0168">
      <w:r>
        <w:separator/>
      </w:r>
    </w:p>
  </w:footnote>
  <w:footnote w:type="continuationSeparator" w:id="0">
    <w:p w14:paraId="4B98158B" w14:textId="77777777" w:rsidR="00E306EA" w:rsidRDefault="00E306EA" w:rsidP="00AD0168">
      <w:r>
        <w:continuationSeparator/>
      </w:r>
    </w:p>
  </w:footnote>
  <w:footnote w:type="continuationNotice" w:id="1">
    <w:p w14:paraId="434445B7" w14:textId="77777777" w:rsidR="00E306EA" w:rsidRDefault="00E306EA"/>
  </w:footnote>
  <w:footnote w:id="2">
    <w:p w14:paraId="0EB87F99" w14:textId="017BE45E" w:rsidR="002C16FC" w:rsidRPr="006602DF" w:rsidRDefault="002C16FC" w:rsidP="0ADB7BD1">
      <w:pPr>
        <w:pStyle w:val="FootnoteText"/>
        <w:rPr>
          <w:sz w:val="16"/>
          <w:szCs w:val="16"/>
          <w:lang w:val="en-US"/>
        </w:rPr>
      </w:pPr>
      <w:r w:rsidRPr="006602DF">
        <w:rPr>
          <w:rStyle w:val="FootnoteReference"/>
          <w:sz w:val="16"/>
          <w:szCs w:val="16"/>
        </w:rPr>
        <w:footnoteRef/>
      </w:r>
      <w:r w:rsidRPr="006602DF">
        <w:rPr>
          <w:sz w:val="16"/>
          <w:szCs w:val="16"/>
          <w:lang w:val="en-US"/>
        </w:rPr>
        <w:t xml:space="preserve"> ‘Consistent Efforts, Persisting Challenges - Evaluation of Dutch contributions to Sexual and Reproductive Health and Rights (2012–2022)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2B09" w14:textId="77777777" w:rsidR="0009156C" w:rsidRDefault="00091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610872"/>
      <w:docPartObj>
        <w:docPartGallery w:val="Page Numbers (Top of Page)"/>
        <w:docPartUnique/>
      </w:docPartObj>
    </w:sdtPr>
    <w:sdtContent>
      <w:p w14:paraId="2153F2FE" w14:textId="461CB720" w:rsidR="00F01E85" w:rsidRDefault="00F01E85">
        <w:pPr>
          <w:pStyle w:val="Header"/>
          <w:jc w:val="right"/>
        </w:pPr>
        <w:r>
          <w:fldChar w:fldCharType="begin"/>
        </w:r>
        <w:r>
          <w:instrText>PAGE   \* MERGEFORMAT</w:instrText>
        </w:r>
        <w:r>
          <w:fldChar w:fldCharType="separate"/>
        </w:r>
        <w:r w:rsidR="00801F23">
          <w:rPr>
            <w:noProof/>
          </w:rPr>
          <w:t>viii</w:t>
        </w:r>
        <w:r>
          <w:fldChar w:fldCharType="end"/>
        </w:r>
      </w:p>
    </w:sdtContent>
  </w:sdt>
  <w:p w14:paraId="1DE1C92A" w14:textId="77777777" w:rsidR="00F01E85" w:rsidRDefault="00F01E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AC61" w14:textId="77777777" w:rsidR="0009156C" w:rsidRDefault="00091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133"/>
    <w:multiLevelType w:val="hybridMultilevel"/>
    <w:tmpl w:val="233AD6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0EC61D9"/>
    <w:multiLevelType w:val="hybridMultilevel"/>
    <w:tmpl w:val="2BF0EDF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13C10CA1"/>
    <w:multiLevelType w:val="hybridMultilevel"/>
    <w:tmpl w:val="730AB9D6"/>
    <w:lvl w:ilvl="0" w:tplc="D75EB91C">
      <w:start w:val="1"/>
      <w:numFmt w:val="decimal"/>
      <w:lvlText w:val="%1."/>
      <w:lvlJc w:val="left"/>
      <w:pPr>
        <w:ind w:left="1020" w:hanging="360"/>
      </w:pPr>
    </w:lvl>
    <w:lvl w:ilvl="1" w:tplc="D9C4DF2A">
      <w:start w:val="1"/>
      <w:numFmt w:val="decimal"/>
      <w:lvlText w:val="%2."/>
      <w:lvlJc w:val="left"/>
      <w:pPr>
        <w:ind w:left="1020" w:hanging="360"/>
      </w:pPr>
    </w:lvl>
    <w:lvl w:ilvl="2" w:tplc="EC18E820">
      <w:start w:val="1"/>
      <w:numFmt w:val="decimal"/>
      <w:lvlText w:val="%3."/>
      <w:lvlJc w:val="left"/>
      <w:pPr>
        <w:ind w:left="1020" w:hanging="360"/>
      </w:pPr>
    </w:lvl>
    <w:lvl w:ilvl="3" w:tplc="A97EC1AA">
      <w:start w:val="1"/>
      <w:numFmt w:val="decimal"/>
      <w:lvlText w:val="%4."/>
      <w:lvlJc w:val="left"/>
      <w:pPr>
        <w:ind w:left="1020" w:hanging="360"/>
      </w:pPr>
    </w:lvl>
    <w:lvl w:ilvl="4" w:tplc="31BEC55C">
      <w:start w:val="1"/>
      <w:numFmt w:val="decimal"/>
      <w:lvlText w:val="%5."/>
      <w:lvlJc w:val="left"/>
      <w:pPr>
        <w:ind w:left="1020" w:hanging="360"/>
      </w:pPr>
    </w:lvl>
    <w:lvl w:ilvl="5" w:tplc="CEE00F06">
      <w:start w:val="1"/>
      <w:numFmt w:val="decimal"/>
      <w:lvlText w:val="%6."/>
      <w:lvlJc w:val="left"/>
      <w:pPr>
        <w:ind w:left="1020" w:hanging="360"/>
      </w:pPr>
    </w:lvl>
    <w:lvl w:ilvl="6" w:tplc="A39AD0CE">
      <w:start w:val="1"/>
      <w:numFmt w:val="decimal"/>
      <w:lvlText w:val="%7."/>
      <w:lvlJc w:val="left"/>
      <w:pPr>
        <w:ind w:left="1020" w:hanging="360"/>
      </w:pPr>
    </w:lvl>
    <w:lvl w:ilvl="7" w:tplc="21F8791E">
      <w:start w:val="1"/>
      <w:numFmt w:val="decimal"/>
      <w:lvlText w:val="%8."/>
      <w:lvlJc w:val="left"/>
      <w:pPr>
        <w:ind w:left="1020" w:hanging="360"/>
      </w:pPr>
    </w:lvl>
    <w:lvl w:ilvl="8" w:tplc="F910675E">
      <w:start w:val="1"/>
      <w:numFmt w:val="decimal"/>
      <w:lvlText w:val="%9."/>
      <w:lvlJc w:val="left"/>
      <w:pPr>
        <w:ind w:left="1020" w:hanging="360"/>
      </w:pPr>
    </w:lvl>
  </w:abstractNum>
  <w:abstractNum w:abstractNumId="3" w15:restartNumberingAfterBreak="0">
    <w:nsid w:val="15F917EF"/>
    <w:multiLevelType w:val="hybridMultilevel"/>
    <w:tmpl w:val="6C0A5E8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845036"/>
    <w:multiLevelType w:val="hybridMultilevel"/>
    <w:tmpl w:val="ABF20DE2"/>
    <w:lvl w:ilvl="0" w:tplc="0413000B">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9AA47D1"/>
    <w:multiLevelType w:val="hybridMultilevel"/>
    <w:tmpl w:val="C0CE4404"/>
    <w:lvl w:ilvl="0" w:tplc="DCD092FA">
      <w:start w:val="1"/>
      <w:numFmt w:val="decimal"/>
      <w:lvlText w:val="%1."/>
      <w:lvlJc w:val="left"/>
      <w:pPr>
        <w:ind w:left="1440" w:hanging="360"/>
      </w:pPr>
    </w:lvl>
    <w:lvl w:ilvl="1" w:tplc="EB3E5EA4">
      <w:start w:val="1"/>
      <w:numFmt w:val="decimal"/>
      <w:lvlText w:val="%2."/>
      <w:lvlJc w:val="left"/>
      <w:pPr>
        <w:ind w:left="1440" w:hanging="360"/>
      </w:pPr>
    </w:lvl>
    <w:lvl w:ilvl="2" w:tplc="172EB85A">
      <w:start w:val="1"/>
      <w:numFmt w:val="decimal"/>
      <w:lvlText w:val="%3."/>
      <w:lvlJc w:val="left"/>
      <w:pPr>
        <w:ind w:left="1440" w:hanging="360"/>
      </w:pPr>
    </w:lvl>
    <w:lvl w:ilvl="3" w:tplc="D64010B6">
      <w:start w:val="1"/>
      <w:numFmt w:val="decimal"/>
      <w:lvlText w:val="%4."/>
      <w:lvlJc w:val="left"/>
      <w:pPr>
        <w:ind w:left="1440" w:hanging="360"/>
      </w:pPr>
    </w:lvl>
    <w:lvl w:ilvl="4" w:tplc="5B924504">
      <w:start w:val="1"/>
      <w:numFmt w:val="decimal"/>
      <w:lvlText w:val="%5."/>
      <w:lvlJc w:val="left"/>
      <w:pPr>
        <w:ind w:left="1440" w:hanging="360"/>
      </w:pPr>
    </w:lvl>
    <w:lvl w:ilvl="5" w:tplc="FA70458E">
      <w:start w:val="1"/>
      <w:numFmt w:val="decimal"/>
      <w:lvlText w:val="%6."/>
      <w:lvlJc w:val="left"/>
      <w:pPr>
        <w:ind w:left="1440" w:hanging="360"/>
      </w:pPr>
    </w:lvl>
    <w:lvl w:ilvl="6" w:tplc="B616099E">
      <w:start w:val="1"/>
      <w:numFmt w:val="decimal"/>
      <w:lvlText w:val="%7."/>
      <w:lvlJc w:val="left"/>
      <w:pPr>
        <w:ind w:left="1440" w:hanging="360"/>
      </w:pPr>
    </w:lvl>
    <w:lvl w:ilvl="7" w:tplc="52480608">
      <w:start w:val="1"/>
      <w:numFmt w:val="decimal"/>
      <w:lvlText w:val="%8."/>
      <w:lvlJc w:val="left"/>
      <w:pPr>
        <w:ind w:left="1440" w:hanging="360"/>
      </w:pPr>
    </w:lvl>
    <w:lvl w:ilvl="8" w:tplc="DBAE4018">
      <w:start w:val="1"/>
      <w:numFmt w:val="decimal"/>
      <w:lvlText w:val="%9."/>
      <w:lvlJc w:val="left"/>
      <w:pPr>
        <w:ind w:left="1440" w:hanging="360"/>
      </w:pPr>
    </w:lvl>
  </w:abstractNum>
  <w:abstractNum w:abstractNumId="6" w15:restartNumberingAfterBreak="0">
    <w:nsid w:val="19DC5363"/>
    <w:multiLevelType w:val="hybridMultilevel"/>
    <w:tmpl w:val="AE1AC996"/>
    <w:lvl w:ilvl="0" w:tplc="34400566">
      <w:numFmt w:val="bullet"/>
      <w:lvlText w:val="•"/>
      <w:lvlJc w:val="left"/>
      <w:pPr>
        <w:ind w:left="226" w:hanging="114"/>
      </w:pPr>
      <w:rPr>
        <w:rFonts w:ascii="Calibri" w:eastAsia="Calibri" w:hAnsi="Calibri" w:cs="Calibri" w:hint="default"/>
        <w:w w:val="57"/>
        <w:sz w:val="16"/>
        <w:szCs w:val="16"/>
        <w:lang w:val="nl-NL" w:eastAsia="en-US" w:bidi="ar-SA"/>
      </w:rPr>
    </w:lvl>
    <w:lvl w:ilvl="1" w:tplc="8A8A5628">
      <w:numFmt w:val="bullet"/>
      <w:lvlText w:val="•"/>
      <w:lvlJc w:val="left"/>
      <w:pPr>
        <w:ind w:left="1092" w:hanging="114"/>
      </w:pPr>
      <w:rPr>
        <w:lang w:val="nl-NL" w:eastAsia="en-US" w:bidi="ar-SA"/>
      </w:rPr>
    </w:lvl>
    <w:lvl w:ilvl="2" w:tplc="C53E9124">
      <w:numFmt w:val="bullet"/>
      <w:lvlText w:val="•"/>
      <w:lvlJc w:val="left"/>
      <w:pPr>
        <w:ind w:left="1965" w:hanging="114"/>
      </w:pPr>
      <w:rPr>
        <w:lang w:val="nl-NL" w:eastAsia="en-US" w:bidi="ar-SA"/>
      </w:rPr>
    </w:lvl>
    <w:lvl w:ilvl="3" w:tplc="9A40F4BE">
      <w:numFmt w:val="bullet"/>
      <w:lvlText w:val="•"/>
      <w:lvlJc w:val="left"/>
      <w:pPr>
        <w:ind w:left="2838" w:hanging="114"/>
      </w:pPr>
      <w:rPr>
        <w:lang w:val="nl-NL" w:eastAsia="en-US" w:bidi="ar-SA"/>
      </w:rPr>
    </w:lvl>
    <w:lvl w:ilvl="4" w:tplc="CC6825D6">
      <w:numFmt w:val="bullet"/>
      <w:lvlText w:val="•"/>
      <w:lvlJc w:val="left"/>
      <w:pPr>
        <w:ind w:left="3711" w:hanging="114"/>
      </w:pPr>
      <w:rPr>
        <w:lang w:val="nl-NL" w:eastAsia="en-US" w:bidi="ar-SA"/>
      </w:rPr>
    </w:lvl>
    <w:lvl w:ilvl="5" w:tplc="D5162320">
      <w:numFmt w:val="bullet"/>
      <w:lvlText w:val="•"/>
      <w:lvlJc w:val="left"/>
      <w:pPr>
        <w:ind w:left="4584" w:hanging="114"/>
      </w:pPr>
      <w:rPr>
        <w:lang w:val="nl-NL" w:eastAsia="en-US" w:bidi="ar-SA"/>
      </w:rPr>
    </w:lvl>
    <w:lvl w:ilvl="6" w:tplc="D19AAD9E">
      <w:numFmt w:val="bullet"/>
      <w:lvlText w:val="•"/>
      <w:lvlJc w:val="left"/>
      <w:pPr>
        <w:ind w:left="5457" w:hanging="114"/>
      </w:pPr>
      <w:rPr>
        <w:lang w:val="nl-NL" w:eastAsia="en-US" w:bidi="ar-SA"/>
      </w:rPr>
    </w:lvl>
    <w:lvl w:ilvl="7" w:tplc="F6246372">
      <w:numFmt w:val="bullet"/>
      <w:lvlText w:val="•"/>
      <w:lvlJc w:val="left"/>
      <w:pPr>
        <w:ind w:left="6330" w:hanging="114"/>
      </w:pPr>
      <w:rPr>
        <w:lang w:val="nl-NL" w:eastAsia="en-US" w:bidi="ar-SA"/>
      </w:rPr>
    </w:lvl>
    <w:lvl w:ilvl="8" w:tplc="8BB0734E">
      <w:numFmt w:val="bullet"/>
      <w:lvlText w:val="•"/>
      <w:lvlJc w:val="left"/>
      <w:pPr>
        <w:ind w:left="7203" w:hanging="114"/>
      </w:pPr>
      <w:rPr>
        <w:lang w:val="nl-NL" w:eastAsia="en-US" w:bidi="ar-SA"/>
      </w:rPr>
    </w:lvl>
  </w:abstractNum>
  <w:abstractNum w:abstractNumId="7" w15:restartNumberingAfterBreak="0">
    <w:nsid w:val="1B7E63B3"/>
    <w:multiLevelType w:val="hybridMultilevel"/>
    <w:tmpl w:val="46022DB0"/>
    <w:lvl w:ilvl="0" w:tplc="353C9D92">
      <w:start w:val="1"/>
      <w:numFmt w:val="decimal"/>
      <w:lvlText w:val="%1."/>
      <w:lvlJc w:val="left"/>
      <w:pPr>
        <w:ind w:left="1020" w:hanging="360"/>
      </w:pPr>
    </w:lvl>
    <w:lvl w:ilvl="1" w:tplc="806ACBA8">
      <w:start w:val="1"/>
      <w:numFmt w:val="decimal"/>
      <w:lvlText w:val="%2."/>
      <w:lvlJc w:val="left"/>
      <w:pPr>
        <w:ind w:left="1020" w:hanging="360"/>
      </w:pPr>
    </w:lvl>
    <w:lvl w:ilvl="2" w:tplc="8D78BAD8">
      <w:start w:val="1"/>
      <w:numFmt w:val="decimal"/>
      <w:lvlText w:val="%3."/>
      <w:lvlJc w:val="left"/>
      <w:pPr>
        <w:ind w:left="1020" w:hanging="360"/>
      </w:pPr>
    </w:lvl>
    <w:lvl w:ilvl="3" w:tplc="98800168">
      <w:start w:val="1"/>
      <w:numFmt w:val="decimal"/>
      <w:lvlText w:val="%4."/>
      <w:lvlJc w:val="left"/>
      <w:pPr>
        <w:ind w:left="1020" w:hanging="360"/>
      </w:pPr>
    </w:lvl>
    <w:lvl w:ilvl="4" w:tplc="2B38896E">
      <w:start w:val="1"/>
      <w:numFmt w:val="decimal"/>
      <w:lvlText w:val="%5."/>
      <w:lvlJc w:val="left"/>
      <w:pPr>
        <w:ind w:left="1020" w:hanging="360"/>
      </w:pPr>
    </w:lvl>
    <w:lvl w:ilvl="5" w:tplc="DFD8FC1C">
      <w:start w:val="1"/>
      <w:numFmt w:val="decimal"/>
      <w:lvlText w:val="%6."/>
      <w:lvlJc w:val="left"/>
      <w:pPr>
        <w:ind w:left="1020" w:hanging="360"/>
      </w:pPr>
    </w:lvl>
    <w:lvl w:ilvl="6" w:tplc="402A1D3A">
      <w:start w:val="1"/>
      <w:numFmt w:val="decimal"/>
      <w:lvlText w:val="%7."/>
      <w:lvlJc w:val="left"/>
      <w:pPr>
        <w:ind w:left="1020" w:hanging="360"/>
      </w:pPr>
    </w:lvl>
    <w:lvl w:ilvl="7" w:tplc="81AAC5A8">
      <w:start w:val="1"/>
      <w:numFmt w:val="decimal"/>
      <w:lvlText w:val="%8."/>
      <w:lvlJc w:val="left"/>
      <w:pPr>
        <w:ind w:left="1020" w:hanging="360"/>
      </w:pPr>
    </w:lvl>
    <w:lvl w:ilvl="8" w:tplc="3D84851C">
      <w:start w:val="1"/>
      <w:numFmt w:val="decimal"/>
      <w:lvlText w:val="%9."/>
      <w:lvlJc w:val="left"/>
      <w:pPr>
        <w:ind w:left="1020" w:hanging="360"/>
      </w:pPr>
    </w:lvl>
  </w:abstractNum>
  <w:abstractNum w:abstractNumId="8" w15:restartNumberingAfterBreak="0">
    <w:nsid w:val="1DA62ED6"/>
    <w:multiLevelType w:val="hybridMultilevel"/>
    <w:tmpl w:val="3C0CEBF0"/>
    <w:lvl w:ilvl="0" w:tplc="19CE709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E380CDB"/>
    <w:multiLevelType w:val="hybridMultilevel"/>
    <w:tmpl w:val="2CD67006"/>
    <w:lvl w:ilvl="0" w:tplc="D85E448C">
      <w:start w:val="14"/>
      <w:numFmt w:val="bullet"/>
      <w:lvlText w:val=""/>
      <w:lvlJc w:val="left"/>
      <w:pPr>
        <w:ind w:left="449" w:hanging="360"/>
      </w:pPr>
      <w:rPr>
        <w:rFonts w:ascii="Wingdings" w:eastAsiaTheme="minorHAnsi" w:hAnsi="Wingdings" w:cs="Calibri" w:hint="default"/>
      </w:rPr>
    </w:lvl>
    <w:lvl w:ilvl="1" w:tplc="04130003" w:tentative="1">
      <w:start w:val="1"/>
      <w:numFmt w:val="bullet"/>
      <w:lvlText w:val="o"/>
      <w:lvlJc w:val="left"/>
      <w:pPr>
        <w:ind w:left="1169" w:hanging="360"/>
      </w:pPr>
      <w:rPr>
        <w:rFonts w:ascii="Courier New" w:hAnsi="Courier New" w:cs="Courier New" w:hint="default"/>
      </w:rPr>
    </w:lvl>
    <w:lvl w:ilvl="2" w:tplc="04130005" w:tentative="1">
      <w:start w:val="1"/>
      <w:numFmt w:val="bullet"/>
      <w:lvlText w:val=""/>
      <w:lvlJc w:val="left"/>
      <w:pPr>
        <w:ind w:left="1889" w:hanging="360"/>
      </w:pPr>
      <w:rPr>
        <w:rFonts w:ascii="Wingdings" w:hAnsi="Wingdings" w:hint="default"/>
      </w:rPr>
    </w:lvl>
    <w:lvl w:ilvl="3" w:tplc="04130001" w:tentative="1">
      <w:start w:val="1"/>
      <w:numFmt w:val="bullet"/>
      <w:lvlText w:val=""/>
      <w:lvlJc w:val="left"/>
      <w:pPr>
        <w:ind w:left="2609" w:hanging="360"/>
      </w:pPr>
      <w:rPr>
        <w:rFonts w:ascii="Symbol" w:hAnsi="Symbol" w:hint="default"/>
      </w:rPr>
    </w:lvl>
    <w:lvl w:ilvl="4" w:tplc="04130003" w:tentative="1">
      <w:start w:val="1"/>
      <w:numFmt w:val="bullet"/>
      <w:lvlText w:val="o"/>
      <w:lvlJc w:val="left"/>
      <w:pPr>
        <w:ind w:left="3329" w:hanging="360"/>
      </w:pPr>
      <w:rPr>
        <w:rFonts w:ascii="Courier New" w:hAnsi="Courier New" w:cs="Courier New" w:hint="default"/>
      </w:rPr>
    </w:lvl>
    <w:lvl w:ilvl="5" w:tplc="04130005" w:tentative="1">
      <w:start w:val="1"/>
      <w:numFmt w:val="bullet"/>
      <w:lvlText w:val=""/>
      <w:lvlJc w:val="left"/>
      <w:pPr>
        <w:ind w:left="4049" w:hanging="360"/>
      </w:pPr>
      <w:rPr>
        <w:rFonts w:ascii="Wingdings" w:hAnsi="Wingdings" w:hint="default"/>
      </w:rPr>
    </w:lvl>
    <w:lvl w:ilvl="6" w:tplc="04130001" w:tentative="1">
      <w:start w:val="1"/>
      <w:numFmt w:val="bullet"/>
      <w:lvlText w:val=""/>
      <w:lvlJc w:val="left"/>
      <w:pPr>
        <w:ind w:left="4769" w:hanging="360"/>
      </w:pPr>
      <w:rPr>
        <w:rFonts w:ascii="Symbol" w:hAnsi="Symbol" w:hint="default"/>
      </w:rPr>
    </w:lvl>
    <w:lvl w:ilvl="7" w:tplc="04130003" w:tentative="1">
      <w:start w:val="1"/>
      <w:numFmt w:val="bullet"/>
      <w:lvlText w:val="o"/>
      <w:lvlJc w:val="left"/>
      <w:pPr>
        <w:ind w:left="5489" w:hanging="360"/>
      </w:pPr>
      <w:rPr>
        <w:rFonts w:ascii="Courier New" w:hAnsi="Courier New" w:cs="Courier New" w:hint="default"/>
      </w:rPr>
    </w:lvl>
    <w:lvl w:ilvl="8" w:tplc="04130005" w:tentative="1">
      <w:start w:val="1"/>
      <w:numFmt w:val="bullet"/>
      <w:lvlText w:val=""/>
      <w:lvlJc w:val="left"/>
      <w:pPr>
        <w:ind w:left="6209" w:hanging="360"/>
      </w:pPr>
      <w:rPr>
        <w:rFonts w:ascii="Wingdings" w:hAnsi="Wingdings" w:hint="default"/>
      </w:rPr>
    </w:lvl>
  </w:abstractNum>
  <w:abstractNum w:abstractNumId="10" w15:restartNumberingAfterBreak="0">
    <w:nsid w:val="1F1A4F12"/>
    <w:multiLevelType w:val="hybridMultilevel"/>
    <w:tmpl w:val="EFC60C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F59568A"/>
    <w:multiLevelType w:val="hybridMultilevel"/>
    <w:tmpl w:val="5ECC53C8"/>
    <w:lvl w:ilvl="0" w:tplc="6ACED790">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16B3E1D"/>
    <w:multiLevelType w:val="hybridMultilevel"/>
    <w:tmpl w:val="503C7640"/>
    <w:lvl w:ilvl="0" w:tplc="04130001">
      <w:start w:val="1"/>
      <w:numFmt w:val="bullet"/>
      <w:lvlText w:val=""/>
      <w:lvlJc w:val="left"/>
      <w:pPr>
        <w:ind w:left="472" w:hanging="360"/>
      </w:pPr>
      <w:rPr>
        <w:rFonts w:ascii="Symbol" w:hAnsi="Symbol" w:hint="default"/>
      </w:rPr>
    </w:lvl>
    <w:lvl w:ilvl="1" w:tplc="04130003" w:tentative="1">
      <w:start w:val="1"/>
      <w:numFmt w:val="bullet"/>
      <w:lvlText w:val="o"/>
      <w:lvlJc w:val="left"/>
      <w:pPr>
        <w:ind w:left="1192" w:hanging="360"/>
      </w:pPr>
      <w:rPr>
        <w:rFonts w:ascii="Courier New" w:hAnsi="Courier New" w:cs="Courier New" w:hint="default"/>
      </w:rPr>
    </w:lvl>
    <w:lvl w:ilvl="2" w:tplc="04130005" w:tentative="1">
      <w:start w:val="1"/>
      <w:numFmt w:val="bullet"/>
      <w:lvlText w:val=""/>
      <w:lvlJc w:val="left"/>
      <w:pPr>
        <w:ind w:left="1912" w:hanging="360"/>
      </w:pPr>
      <w:rPr>
        <w:rFonts w:ascii="Wingdings" w:hAnsi="Wingdings" w:hint="default"/>
      </w:rPr>
    </w:lvl>
    <w:lvl w:ilvl="3" w:tplc="04130001" w:tentative="1">
      <w:start w:val="1"/>
      <w:numFmt w:val="bullet"/>
      <w:lvlText w:val=""/>
      <w:lvlJc w:val="left"/>
      <w:pPr>
        <w:ind w:left="2632" w:hanging="360"/>
      </w:pPr>
      <w:rPr>
        <w:rFonts w:ascii="Symbol" w:hAnsi="Symbol" w:hint="default"/>
      </w:rPr>
    </w:lvl>
    <w:lvl w:ilvl="4" w:tplc="04130003" w:tentative="1">
      <w:start w:val="1"/>
      <w:numFmt w:val="bullet"/>
      <w:lvlText w:val="o"/>
      <w:lvlJc w:val="left"/>
      <w:pPr>
        <w:ind w:left="3352" w:hanging="360"/>
      </w:pPr>
      <w:rPr>
        <w:rFonts w:ascii="Courier New" w:hAnsi="Courier New" w:cs="Courier New" w:hint="default"/>
      </w:rPr>
    </w:lvl>
    <w:lvl w:ilvl="5" w:tplc="04130005" w:tentative="1">
      <w:start w:val="1"/>
      <w:numFmt w:val="bullet"/>
      <w:lvlText w:val=""/>
      <w:lvlJc w:val="left"/>
      <w:pPr>
        <w:ind w:left="4072" w:hanging="360"/>
      </w:pPr>
      <w:rPr>
        <w:rFonts w:ascii="Wingdings" w:hAnsi="Wingdings" w:hint="default"/>
      </w:rPr>
    </w:lvl>
    <w:lvl w:ilvl="6" w:tplc="04130001" w:tentative="1">
      <w:start w:val="1"/>
      <w:numFmt w:val="bullet"/>
      <w:lvlText w:val=""/>
      <w:lvlJc w:val="left"/>
      <w:pPr>
        <w:ind w:left="4792" w:hanging="360"/>
      </w:pPr>
      <w:rPr>
        <w:rFonts w:ascii="Symbol" w:hAnsi="Symbol" w:hint="default"/>
      </w:rPr>
    </w:lvl>
    <w:lvl w:ilvl="7" w:tplc="04130003" w:tentative="1">
      <w:start w:val="1"/>
      <w:numFmt w:val="bullet"/>
      <w:lvlText w:val="o"/>
      <w:lvlJc w:val="left"/>
      <w:pPr>
        <w:ind w:left="5512" w:hanging="360"/>
      </w:pPr>
      <w:rPr>
        <w:rFonts w:ascii="Courier New" w:hAnsi="Courier New" w:cs="Courier New" w:hint="default"/>
      </w:rPr>
    </w:lvl>
    <w:lvl w:ilvl="8" w:tplc="04130005" w:tentative="1">
      <w:start w:val="1"/>
      <w:numFmt w:val="bullet"/>
      <w:lvlText w:val=""/>
      <w:lvlJc w:val="left"/>
      <w:pPr>
        <w:ind w:left="6232" w:hanging="360"/>
      </w:pPr>
      <w:rPr>
        <w:rFonts w:ascii="Wingdings" w:hAnsi="Wingdings" w:hint="default"/>
      </w:rPr>
    </w:lvl>
  </w:abstractNum>
  <w:abstractNum w:abstractNumId="13" w15:restartNumberingAfterBreak="0">
    <w:nsid w:val="246749E4"/>
    <w:multiLevelType w:val="hybridMultilevel"/>
    <w:tmpl w:val="D6528756"/>
    <w:lvl w:ilvl="0" w:tplc="92B8467E">
      <w:start w:val="4"/>
      <w:numFmt w:val="bullet"/>
      <w:lvlText w:val=""/>
      <w:lvlJc w:val="left"/>
      <w:pPr>
        <w:ind w:left="473" w:hanging="360"/>
      </w:pPr>
      <w:rPr>
        <w:rFonts w:ascii="Wingdings" w:eastAsiaTheme="minorHAnsi" w:hAnsi="Wingdings"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14" w15:restartNumberingAfterBreak="0">
    <w:nsid w:val="24BB579A"/>
    <w:multiLevelType w:val="hybridMultilevel"/>
    <w:tmpl w:val="CEDA0F0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6EC5C50"/>
    <w:multiLevelType w:val="hybridMultilevel"/>
    <w:tmpl w:val="5AB0720C"/>
    <w:lvl w:ilvl="0" w:tplc="C59EE23A">
      <w:start w:val="1"/>
      <w:numFmt w:val="decimal"/>
      <w:lvlText w:val="%1."/>
      <w:lvlJc w:val="left"/>
      <w:pPr>
        <w:ind w:left="1020" w:hanging="360"/>
      </w:pPr>
    </w:lvl>
    <w:lvl w:ilvl="1" w:tplc="5E101B98">
      <w:start w:val="1"/>
      <w:numFmt w:val="decimal"/>
      <w:lvlText w:val="%2."/>
      <w:lvlJc w:val="left"/>
      <w:pPr>
        <w:ind w:left="1020" w:hanging="360"/>
      </w:pPr>
    </w:lvl>
    <w:lvl w:ilvl="2" w:tplc="E9F031E6">
      <w:start w:val="1"/>
      <w:numFmt w:val="decimal"/>
      <w:lvlText w:val="%3."/>
      <w:lvlJc w:val="left"/>
      <w:pPr>
        <w:ind w:left="1020" w:hanging="360"/>
      </w:pPr>
    </w:lvl>
    <w:lvl w:ilvl="3" w:tplc="BB008002">
      <w:start w:val="1"/>
      <w:numFmt w:val="decimal"/>
      <w:lvlText w:val="%4."/>
      <w:lvlJc w:val="left"/>
      <w:pPr>
        <w:ind w:left="1020" w:hanging="360"/>
      </w:pPr>
    </w:lvl>
    <w:lvl w:ilvl="4" w:tplc="2AC08386">
      <w:start w:val="1"/>
      <w:numFmt w:val="decimal"/>
      <w:lvlText w:val="%5."/>
      <w:lvlJc w:val="left"/>
      <w:pPr>
        <w:ind w:left="1020" w:hanging="360"/>
      </w:pPr>
    </w:lvl>
    <w:lvl w:ilvl="5" w:tplc="3E9087FC">
      <w:start w:val="1"/>
      <w:numFmt w:val="decimal"/>
      <w:lvlText w:val="%6."/>
      <w:lvlJc w:val="left"/>
      <w:pPr>
        <w:ind w:left="1020" w:hanging="360"/>
      </w:pPr>
    </w:lvl>
    <w:lvl w:ilvl="6" w:tplc="601EDBFE">
      <w:start w:val="1"/>
      <w:numFmt w:val="decimal"/>
      <w:lvlText w:val="%7."/>
      <w:lvlJc w:val="left"/>
      <w:pPr>
        <w:ind w:left="1020" w:hanging="360"/>
      </w:pPr>
    </w:lvl>
    <w:lvl w:ilvl="7" w:tplc="4D400D10">
      <w:start w:val="1"/>
      <w:numFmt w:val="decimal"/>
      <w:lvlText w:val="%8."/>
      <w:lvlJc w:val="left"/>
      <w:pPr>
        <w:ind w:left="1020" w:hanging="360"/>
      </w:pPr>
    </w:lvl>
    <w:lvl w:ilvl="8" w:tplc="82F6B484">
      <w:start w:val="1"/>
      <w:numFmt w:val="decimal"/>
      <w:lvlText w:val="%9."/>
      <w:lvlJc w:val="left"/>
      <w:pPr>
        <w:ind w:left="1020" w:hanging="360"/>
      </w:pPr>
    </w:lvl>
  </w:abstractNum>
  <w:abstractNum w:abstractNumId="16" w15:restartNumberingAfterBreak="0">
    <w:nsid w:val="2C102D29"/>
    <w:multiLevelType w:val="hybridMultilevel"/>
    <w:tmpl w:val="E33C06F2"/>
    <w:lvl w:ilvl="0" w:tplc="CEE2514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CD51E08"/>
    <w:multiLevelType w:val="hybridMultilevel"/>
    <w:tmpl w:val="F3FCB9EC"/>
    <w:lvl w:ilvl="0" w:tplc="EED857F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3632BD"/>
    <w:multiLevelType w:val="hybridMultilevel"/>
    <w:tmpl w:val="47643836"/>
    <w:lvl w:ilvl="0" w:tplc="FB20A7D8">
      <w:start w:val="1"/>
      <w:numFmt w:val="decimal"/>
      <w:lvlText w:val="%1)"/>
      <w:lvlJc w:val="left"/>
      <w:pPr>
        <w:ind w:left="720" w:hanging="360"/>
      </w:pPr>
      <w:rPr>
        <w:rFonts w:ascii="Calibri" w:eastAsiaTheme="minorHAnsi" w:hAnsi="Calibri"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24820C2"/>
    <w:multiLevelType w:val="hybridMultilevel"/>
    <w:tmpl w:val="CAF248FA"/>
    <w:lvl w:ilvl="0" w:tplc="219481FC">
      <w:start w:val="1"/>
      <w:numFmt w:val="decimal"/>
      <w:lvlText w:val="%1)"/>
      <w:lvlJc w:val="left"/>
      <w:pPr>
        <w:ind w:left="586" w:hanging="360"/>
      </w:pPr>
      <w:rPr>
        <w:rFonts w:hint="default"/>
        <w:b/>
        <w:bCs/>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20" w15:restartNumberingAfterBreak="0">
    <w:nsid w:val="35A24708"/>
    <w:multiLevelType w:val="hybridMultilevel"/>
    <w:tmpl w:val="5DA85D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A1448B1"/>
    <w:multiLevelType w:val="hybridMultilevel"/>
    <w:tmpl w:val="DCFAEA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3A8377F3"/>
    <w:multiLevelType w:val="hybridMultilevel"/>
    <w:tmpl w:val="E164521A"/>
    <w:lvl w:ilvl="0" w:tplc="31D05AE6">
      <w:numFmt w:val="bullet"/>
      <w:lvlText w:val="•"/>
      <w:lvlJc w:val="left"/>
      <w:pPr>
        <w:ind w:left="226" w:hanging="114"/>
      </w:pPr>
      <w:rPr>
        <w:rFonts w:ascii="Calibri" w:eastAsia="Calibri" w:hAnsi="Calibri" w:cs="Calibri" w:hint="default"/>
        <w:w w:val="57"/>
        <w:sz w:val="16"/>
        <w:szCs w:val="16"/>
        <w:lang w:val="nl-NL" w:eastAsia="en-US" w:bidi="ar-SA"/>
      </w:rPr>
    </w:lvl>
    <w:lvl w:ilvl="1" w:tplc="A8A4458E">
      <w:numFmt w:val="bullet"/>
      <w:lvlText w:val="•"/>
      <w:lvlJc w:val="left"/>
      <w:pPr>
        <w:ind w:left="1092" w:hanging="114"/>
      </w:pPr>
      <w:rPr>
        <w:lang w:val="nl-NL" w:eastAsia="en-US" w:bidi="ar-SA"/>
      </w:rPr>
    </w:lvl>
    <w:lvl w:ilvl="2" w:tplc="DC00AB1E">
      <w:numFmt w:val="bullet"/>
      <w:lvlText w:val="•"/>
      <w:lvlJc w:val="left"/>
      <w:pPr>
        <w:ind w:left="1965" w:hanging="114"/>
      </w:pPr>
      <w:rPr>
        <w:lang w:val="nl-NL" w:eastAsia="en-US" w:bidi="ar-SA"/>
      </w:rPr>
    </w:lvl>
    <w:lvl w:ilvl="3" w:tplc="26ECA45C">
      <w:numFmt w:val="bullet"/>
      <w:lvlText w:val="•"/>
      <w:lvlJc w:val="left"/>
      <w:pPr>
        <w:ind w:left="2838" w:hanging="114"/>
      </w:pPr>
      <w:rPr>
        <w:lang w:val="nl-NL" w:eastAsia="en-US" w:bidi="ar-SA"/>
      </w:rPr>
    </w:lvl>
    <w:lvl w:ilvl="4" w:tplc="D8B8A70E">
      <w:numFmt w:val="bullet"/>
      <w:lvlText w:val="•"/>
      <w:lvlJc w:val="left"/>
      <w:pPr>
        <w:ind w:left="3711" w:hanging="114"/>
      </w:pPr>
      <w:rPr>
        <w:lang w:val="nl-NL" w:eastAsia="en-US" w:bidi="ar-SA"/>
      </w:rPr>
    </w:lvl>
    <w:lvl w:ilvl="5" w:tplc="6786172C">
      <w:numFmt w:val="bullet"/>
      <w:lvlText w:val="•"/>
      <w:lvlJc w:val="left"/>
      <w:pPr>
        <w:ind w:left="4584" w:hanging="114"/>
      </w:pPr>
      <w:rPr>
        <w:lang w:val="nl-NL" w:eastAsia="en-US" w:bidi="ar-SA"/>
      </w:rPr>
    </w:lvl>
    <w:lvl w:ilvl="6" w:tplc="321A812E">
      <w:numFmt w:val="bullet"/>
      <w:lvlText w:val="•"/>
      <w:lvlJc w:val="left"/>
      <w:pPr>
        <w:ind w:left="5457" w:hanging="114"/>
      </w:pPr>
      <w:rPr>
        <w:lang w:val="nl-NL" w:eastAsia="en-US" w:bidi="ar-SA"/>
      </w:rPr>
    </w:lvl>
    <w:lvl w:ilvl="7" w:tplc="559EDFC2">
      <w:numFmt w:val="bullet"/>
      <w:lvlText w:val="•"/>
      <w:lvlJc w:val="left"/>
      <w:pPr>
        <w:ind w:left="6330" w:hanging="114"/>
      </w:pPr>
      <w:rPr>
        <w:lang w:val="nl-NL" w:eastAsia="en-US" w:bidi="ar-SA"/>
      </w:rPr>
    </w:lvl>
    <w:lvl w:ilvl="8" w:tplc="BCA4717C">
      <w:numFmt w:val="bullet"/>
      <w:lvlText w:val="•"/>
      <w:lvlJc w:val="left"/>
      <w:pPr>
        <w:ind w:left="7203" w:hanging="114"/>
      </w:pPr>
      <w:rPr>
        <w:lang w:val="nl-NL" w:eastAsia="en-US" w:bidi="ar-SA"/>
      </w:rPr>
    </w:lvl>
  </w:abstractNum>
  <w:abstractNum w:abstractNumId="23" w15:restartNumberingAfterBreak="0">
    <w:nsid w:val="3D54715C"/>
    <w:multiLevelType w:val="hybridMultilevel"/>
    <w:tmpl w:val="342041B2"/>
    <w:lvl w:ilvl="0" w:tplc="6C9C1C90">
      <w:start w:val="8"/>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4" w15:restartNumberingAfterBreak="0">
    <w:nsid w:val="3FD20B77"/>
    <w:multiLevelType w:val="hybridMultilevel"/>
    <w:tmpl w:val="2940D8B4"/>
    <w:lvl w:ilvl="0" w:tplc="04130001">
      <w:start w:val="1"/>
      <w:numFmt w:val="bullet"/>
      <w:lvlText w:val=""/>
      <w:lvlJc w:val="left"/>
      <w:pPr>
        <w:ind w:left="473" w:hanging="360"/>
      </w:pPr>
      <w:rPr>
        <w:rFonts w:ascii="Symbol" w:hAnsi="Symbol"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5" w15:restartNumberingAfterBreak="0">
    <w:nsid w:val="433B5DA7"/>
    <w:multiLevelType w:val="hybridMultilevel"/>
    <w:tmpl w:val="887226E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6AB5FED"/>
    <w:multiLevelType w:val="hybridMultilevel"/>
    <w:tmpl w:val="C324C504"/>
    <w:lvl w:ilvl="0" w:tplc="FDC4F3D4">
      <w:start w:val="1"/>
      <w:numFmt w:val="bullet"/>
      <w:lvlText w:val="-"/>
      <w:lvlJc w:val="left"/>
      <w:pPr>
        <w:ind w:left="586" w:hanging="360"/>
      </w:pPr>
      <w:rPr>
        <w:rFonts w:ascii="Calibri" w:eastAsiaTheme="minorHAnsi" w:hAnsi="Calibri" w:cs="Calibri" w:hint="default"/>
      </w:rPr>
    </w:lvl>
    <w:lvl w:ilvl="1" w:tplc="04130003" w:tentative="1">
      <w:start w:val="1"/>
      <w:numFmt w:val="bullet"/>
      <w:lvlText w:val="o"/>
      <w:lvlJc w:val="left"/>
      <w:pPr>
        <w:ind w:left="1553" w:hanging="360"/>
      </w:pPr>
      <w:rPr>
        <w:rFonts w:ascii="Courier New" w:hAnsi="Courier New" w:cs="Courier New" w:hint="default"/>
      </w:rPr>
    </w:lvl>
    <w:lvl w:ilvl="2" w:tplc="04130005" w:tentative="1">
      <w:start w:val="1"/>
      <w:numFmt w:val="bullet"/>
      <w:lvlText w:val=""/>
      <w:lvlJc w:val="left"/>
      <w:pPr>
        <w:ind w:left="2273" w:hanging="360"/>
      </w:pPr>
      <w:rPr>
        <w:rFonts w:ascii="Wingdings" w:hAnsi="Wingdings" w:hint="default"/>
      </w:rPr>
    </w:lvl>
    <w:lvl w:ilvl="3" w:tplc="04130001" w:tentative="1">
      <w:start w:val="1"/>
      <w:numFmt w:val="bullet"/>
      <w:lvlText w:val=""/>
      <w:lvlJc w:val="left"/>
      <w:pPr>
        <w:ind w:left="2993" w:hanging="360"/>
      </w:pPr>
      <w:rPr>
        <w:rFonts w:ascii="Symbol" w:hAnsi="Symbol" w:hint="default"/>
      </w:rPr>
    </w:lvl>
    <w:lvl w:ilvl="4" w:tplc="04130003" w:tentative="1">
      <w:start w:val="1"/>
      <w:numFmt w:val="bullet"/>
      <w:lvlText w:val="o"/>
      <w:lvlJc w:val="left"/>
      <w:pPr>
        <w:ind w:left="3713" w:hanging="360"/>
      </w:pPr>
      <w:rPr>
        <w:rFonts w:ascii="Courier New" w:hAnsi="Courier New" w:cs="Courier New" w:hint="default"/>
      </w:rPr>
    </w:lvl>
    <w:lvl w:ilvl="5" w:tplc="04130005" w:tentative="1">
      <w:start w:val="1"/>
      <w:numFmt w:val="bullet"/>
      <w:lvlText w:val=""/>
      <w:lvlJc w:val="left"/>
      <w:pPr>
        <w:ind w:left="4433" w:hanging="360"/>
      </w:pPr>
      <w:rPr>
        <w:rFonts w:ascii="Wingdings" w:hAnsi="Wingdings" w:hint="default"/>
      </w:rPr>
    </w:lvl>
    <w:lvl w:ilvl="6" w:tplc="04130001" w:tentative="1">
      <w:start w:val="1"/>
      <w:numFmt w:val="bullet"/>
      <w:lvlText w:val=""/>
      <w:lvlJc w:val="left"/>
      <w:pPr>
        <w:ind w:left="5153" w:hanging="360"/>
      </w:pPr>
      <w:rPr>
        <w:rFonts w:ascii="Symbol" w:hAnsi="Symbol" w:hint="default"/>
      </w:rPr>
    </w:lvl>
    <w:lvl w:ilvl="7" w:tplc="04130003" w:tentative="1">
      <w:start w:val="1"/>
      <w:numFmt w:val="bullet"/>
      <w:lvlText w:val="o"/>
      <w:lvlJc w:val="left"/>
      <w:pPr>
        <w:ind w:left="5873" w:hanging="360"/>
      </w:pPr>
      <w:rPr>
        <w:rFonts w:ascii="Courier New" w:hAnsi="Courier New" w:cs="Courier New" w:hint="default"/>
      </w:rPr>
    </w:lvl>
    <w:lvl w:ilvl="8" w:tplc="04130005" w:tentative="1">
      <w:start w:val="1"/>
      <w:numFmt w:val="bullet"/>
      <w:lvlText w:val=""/>
      <w:lvlJc w:val="left"/>
      <w:pPr>
        <w:ind w:left="6593" w:hanging="360"/>
      </w:pPr>
      <w:rPr>
        <w:rFonts w:ascii="Wingdings" w:hAnsi="Wingdings" w:hint="default"/>
      </w:rPr>
    </w:lvl>
  </w:abstractNum>
  <w:abstractNum w:abstractNumId="27" w15:restartNumberingAfterBreak="0">
    <w:nsid w:val="4A6542FC"/>
    <w:multiLevelType w:val="hybridMultilevel"/>
    <w:tmpl w:val="2F1A5C6A"/>
    <w:lvl w:ilvl="0" w:tplc="D65AE532">
      <w:start w:val="4"/>
      <w:numFmt w:val="bullet"/>
      <w:lvlText w:val=""/>
      <w:lvlJc w:val="left"/>
      <w:pPr>
        <w:ind w:left="440" w:hanging="360"/>
      </w:pPr>
      <w:rPr>
        <w:rFonts w:ascii="Wingdings" w:eastAsiaTheme="minorHAnsi" w:hAnsi="Wingdings" w:cs="Calibri" w:hint="default"/>
      </w:rPr>
    </w:lvl>
    <w:lvl w:ilvl="1" w:tplc="04130003" w:tentative="1">
      <w:start w:val="1"/>
      <w:numFmt w:val="bullet"/>
      <w:lvlText w:val="o"/>
      <w:lvlJc w:val="left"/>
      <w:pPr>
        <w:ind w:left="1160" w:hanging="360"/>
      </w:pPr>
      <w:rPr>
        <w:rFonts w:ascii="Courier New" w:hAnsi="Courier New" w:cs="Courier New" w:hint="default"/>
      </w:rPr>
    </w:lvl>
    <w:lvl w:ilvl="2" w:tplc="04130005" w:tentative="1">
      <w:start w:val="1"/>
      <w:numFmt w:val="bullet"/>
      <w:lvlText w:val=""/>
      <w:lvlJc w:val="left"/>
      <w:pPr>
        <w:ind w:left="1880" w:hanging="360"/>
      </w:pPr>
      <w:rPr>
        <w:rFonts w:ascii="Wingdings" w:hAnsi="Wingdings" w:hint="default"/>
      </w:rPr>
    </w:lvl>
    <w:lvl w:ilvl="3" w:tplc="04130001" w:tentative="1">
      <w:start w:val="1"/>
      <w:numFmt w:val="bullet"/>
      <w:lvlText w:val=""/>
      <w:lvlJc w:val="left"/>
      <w:pPr>
        <w:ind w:left="2600" w:hanging="360"/>
      </w:pPr>
      <w:rPr>
        <w:rFonts w:ascii="Symbol" w:hAnsi="Symbol" w:hint="default"/>
      </w:rPr>
    </w:lvl>
    <w:lvl w:ilvl="4" w:tplc="04130003" w:tentative="1">
      <w:start w:val="1"/>
      <w:numFmt w:val="bullet"/>
      <w:lvlText w:val="o"/>
      <w:lvlJc w:val="left"/>
      <w:pPr>
        <w:ind w:left="3320" w:hanging="360"/>
      </w:pPr>
      <w:rPr>
        <w:rFonts w:ascii="Courier New" w:hAnsi="Courier New" w:cs="Courier New" w:hint="default"/>
      </w:rPr>
    </w:lvl>
    <w:lvl w:ilvl="5" w:tplc="04130005" w:tentative="1">
      <w:start w:val="1"/>
      <w:numFmt w:val="bullet"/>
      <w:lvlText w:val=""/>
      <w:lvlJc w:val="left"/>
      <w:pPr>
        <w:ind w:left="4040" w:hanging="360"/>
      </w:pPr>
      <w:rPr>
        <w:rFonts w:ascii="Wingdings" w:hAnsi="Wingdings" w:hint="default"/>
      </w:rPr>
    </w:lvl>
    <w:lvl w:ilvl="6" w:tplc="04130001" w:tentative="1">
      <w:start w:val="1"/>
      <w:numFmt w:val="bullet"/>
      <w:lvlText w:val=""/>
      <w:lvlJc w:val="left"/>
      <w:pPr>
        <w:ind w:left="4760" w:hanging="360"/>
      </w:pPr>
      <w:rPr>
        <w:rFonts w:ascii="Symbol" w:hAnsi="Symbol" w:hint="default"/>
      </w:rPr>
    </w:lvl>
    <w:lvl w:ilvl="7" w:tplc="04130003" w:tentative="1">
      <w:start w:val="1"/>
      <w:numFmt w:val="bullet"/>
      <w:lvlText w:val="o"/>
      <w:lvlJc w:val="left"/>
      <w:pPr>
        <w:ind w:left="5480" w:hanging="360"/>
      </w:pPr>
      <w:rPr>
        <w:rFonts w:ascii="Courier New" w:hAnsi="Courier New" w:cs="Courier New" w:hint="default"/>
      </w:rPr>
    </w:lvl>
    <w:lvl w:ilvl="8" w:tplc="04130005" w:tentative="1">
      <w:start w:val="1"/>
      <w:numFmt w:val="bullet"/>
      <w:lvlText w:val=""/>
      <w:lvlJc w:val="left"/>
      <w:pPr>
        <w:ind w:left="6200" w:hanging="360"/>
      </w:pPr>
      <w:rPr>
        <w:rFonts w:ascii="Wingdings" w:hAnsi="Wingdings" w:hint="default"/>
      </w:rPr>
    </w:lvl>
  </w:abstractNum>
  <w:abstractNum w:abstractNumId="28" w15:restartNumberingAfterBreak="0">
    <w:nsid w:val="4F7455CC"/>
    <w:multiLevelType w:val="hybridMultilevel"/>
    <w:tmpl w:val="1D2C976E"/>
    <w:lvl w:ilvl="0" w:tplc="21788364">
      <w:start w:val="270"/>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3A81DD8"/>
    <w:multiLevelType w:val="multilevel"/>
    <w:tmpl w:val="4000CE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1B5FEB"/>
    <w:multiLevelType w:val="hybridMultilevel"/>
    <w:tmpl w:val="1EA857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5EE4EE1"/>
    <w:multiLevelType w:val="hybridMultilevel"/>
    <w:tmpl w:val="2BF0ED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6C16DFD"/>
    <w:multiLevelType w:val="hybridMultilevel"/>
    <w:tmpl w:val="9FFE5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81F6B4C"/>
    <w:multiLevelType w:val="hybridMultilevel"/>
    <w:tmpl w:val="ED1A91C6"/>
    <w:lvl w:ilvl="0" w:tplc="5B6EEDA8">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AFD6C83"/>
    <w:multiLevelType w:val="hybridMultilevel"/>
    <w:tmpl w:val="360CF860"/>
    <w:lvl w:ilvl="0" w:tplc="04130001">
      <w:start w:val="1"/>
      <w:numFmt w:val="bullet"/>
      <w:lvlText w:val=""/>
      <w:lvlJc w:val="left"/>
      <w:pPr>
        <w:ind w:left="472" w:hanging="360"/>
      </w:pPr>
      <w:rPr>
        <w:rFonts w:ascii="Symbol" w:hAnsi="Symbol" w:hint="default"/>
      </w:rPr>
    </w:lvl>
    <w:lvl w:ilvl="1" w:tplc="04130003">
      <w:start w:val="1"/>
      <w:numFmt w:val="bullet"/>
      <w:lvlText w:val="o"/>
      <w:lvlJc w:val="left"/>
      <w:pPr>
        <w:ind w:left="1192" w:hanging="360"/>
      </w:pPr>
      <w:rPr>
        <w:rFonts w:ascii="Courier New" w:hAnsi="Courier New" w:cs="Courier New" w:hint="default"/>
      </w:rPr>
    </w:lvl>
    <w:lvl w:ilvl="2" w:tplc="04130005" w:tentative="1">
      <w:start w:val="1"/>
      <w:numFmt w:val="bullet"/>
      <w:lvlText w:val=""/>
      <w:lvlJc w:val="left"/>
      <w:pPr>
        <w:ind w:left="1912" w:hanging="360"/>
      </w:pPr>
      <w:rPr>
        <w:rFonts w:ascii="Wingdings" w:hAnsi="Wingdings" w:hint="default"/>
      </w:rPr>
    </w:lvl>
    <w:lvl w:ilvl="3" w:tplc="04130001" w:tentative="1">
      <w:start w:val="1"/>
      <w:numFmt w:val="bullet"/>
      <w:lvlText w:val=""/>
      <w:lvlJc w:val="left"/>
      <w:pPr>
        <w:ind w:left="2632" w:hanging="360"/>
      </w:pPr>
      <w:rPr>
        <w:rFonts w:ascii="Symbol" w:hAnsi="Symbol" w:hint="default"/>
      </w:rPr>
    </w:lvl>
    <w:lvl w:ilvl="4" w:tplc="04130003" w:tentative="1">
      <w:start w:val="1"/>
      <w:numFmt w:val="bullet"/>
      <w:lvlText w:val="o"/>
      <w:lvlJc w:val="left"/>
      <w:pPr>
        <w:ind w:left="3352" w:hanging="360"/>
      </w:pPr>
      <w:rPr>
        <w:rFonts w:ascii="Courier New" w:hAnsi="Courier New" w:cs="Courier New" w:hint="default"/>
      </w:rPr>
    </w:lvl>
    <w:lvl w:ilvl="5" w:tplc="04130005" w:tentative="1">
      <w:start w:val="1"/>
      <w:numFmt w:val="bullet"/>
      <w:lvlText w:val=""/>
      <w:lvlJc w:val="left"/>
      <w:pPr>
        <w:ind w:left="4072" w:hanging="360"/>
      </w:pPr>
      <w:rPr>
        <w:rFonts w:ascii="Wingdings" w:hAnsi="Wingdings" w:hint="default"/>
      </w:rPr>
    </w:lvl>
    <w:lvl w:ilvl="6" w:tplc="04130001" w:tentative="1">
      <w:start w:val="1"/>
      <w:numFmt w:val="bullet"/>
      <w:lvlText w:val=""/>
      <w:lvlJc w:val="left"/>
      <w:pPr>
        <w:ind w:left="4792" w:hanging="360"/>
      </w:pPr>
      <w:rPr>
        <w:rFonts w:ascii="Symbol" w:hAnsi="Symbol" w:hint="default"/>
      </w:rPr>
    </w:lvl>
    <w:lvl w:ilvl="7" w:tplc="04130003" w:tentative="1">
      <w:start w:val="1"/>
      <w:numFmt w:val="bullet"/>
      <w:lvlText w:val="o"/>
      <w:lvlJc w:val="left"/>
      <w:pPr>
        <w:ind w:left="5512" w:hanging="360"/>
      </w:pPr>
      <w:rPr>
        <w:rFonts w:ascii="Courier New" w:hAnsi="Courier New" w:cs="Courier New" w:hint="default"/>
      </w:rPr>
    </w:lvl>
    <w:lvl w:ilvl="8" w:tplc="04130005" w:tentative="1">
      <w:start w:val="1"/>
      <w:numFmt w:val="bullet"/>
      <w:lvlText w:val=""/>
      <w:lvlJc w:val="left"/>
      <w:pPr>
        <w:ind w:left="6232" w:hanging="360"/>
      </w:pPr>
      <w:rPr>
        <w:rFonts w:ascii="Wingdings" w:hAnsi="Wingdings" w:hint="default"/>
      </w:rPr>
    </w:lvl>
  </w:abstractNum>
  <w:abstractNum w:abstractNumId="35" w15:restartNumberingAfterBreak="0">
    <w:nsid w:val="5B27257B"/>
    <w:multiLevelType w:val="hybridMultilevel"/>
    <w:tmpl w:val="518CDD5E"/>
    <w:lvl w:ilvl="0" w:tplc="64DCAEB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6" w15:restartNumberingAfterBreak="0">
    <w:nsid w:val="5C7837CE"/>
    <w:multiLevelType w:val="hybridMultilevel"/>
    <w:tmpl w:val="46E64B6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F4528A5"/>
    <w:multiLevelType w:val="hybridMultilevel"/>
    <w:tmpl w:val="1B4C9466"/>
    <w:lvl w:ilvl="0" w:tplc="CEE2514E">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5FEF2C8D"/>
    <w:multiLevelType w:val="hybridMultilevel"/>
    <w:tmpl w:val="2030207E"/>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08814AC"/>
    <w:multiLevelType w:val="hybridMultilevel"/>
    <w:tmpl w:val="B5D40DE6"/>
    <w:lvl w:ilvl="0" w:tplc="C22A80AC">
      <w:start w:val="2"/>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40" w15:restartNumberingAfterBreak="0">
    <w:nsid w:val="666B6F39"/>
    <w:multiLevelType w:val="hybridMultilevel"/>
    <w:tmpl w:val="4F3C0A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8316421"/>
    <w:multiLevelType w:val="hybridMultilevel"/>
    <w:tmpl w:val="DE805914"/>
    <w:lvl w:ilvl="0" w:tplc="E35CBB38">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C0A0BD2"/>
    <w:multiLevelType w:val="hybridMultilevel"/>
    <w:tmpl w:val="DA84A0D2"/>
    <w:lvl w:ilvl="0" w:tplc="7E1EA86C">
      <w:start w:val="4"/>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E3613C"/>
    <w:multiLevelType w:val="hybridMultilevel"/>
    <w:tmpl w:val="42587808"/>
    <w:lvl w:ilvl="0" w:tplc="3D14BB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6696F4D"/>
    <w:multiLevelType w:val="hybridMultilevel"/>
    <w:tmpl w:val="8E0E50D0"/>
    <w:lvl w:ilvl="0" w:tplc="8084CC5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7541DA4"/>
    <w:multiLevelType w:val="hybridMultilevel"/>
    <w:tmpl w:val="8B78EE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C5D5BE2"/>
    <w:multiLevelType w:val="hybridMultilevel"/>
    <w:tmpl w:val="34505EAA"/>
    <w:lvl w:ilvl="0" w:tplc="84E4AC7A">
      <w:start w:val="1"/>
      <w:numFmt w:val="bullet"/>
      <w:lvlText w:val=""/>
      <w:lvlJc w:val="left"/>
      <w:pPr>
        <w:ind w:left="473" w:hanging="360"/>
      </w:pPr>
      <w:rPr>
        <w:rFonts w:ascii="Wingdings" w:eastAsiaTheme="minorHAnsi" w:hAnsi="Wingdings"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num w:numId="1" w16cid:durableId="987588495">
    <w:abstractNumId w:val="4"/>
  </w:num>
  <w:num w:numId="2" w16cid:durableId="192352325">
    <w:abstractNumId w:val="6"/>
  </w:num>
  <w:num w:numId="3" w16cid:durableId="1653368349">
    <w:abstractNumId w:val="22"/>
  </w:num>
  <w:num w:numId="4" w16cid:durableId="953901657">
    <w:abstractNumId w:val="12"/>
  </w:num>
  <w:num w:numId="5" w16cid:durableId="1449547648">
    <w:abstractNumId w:val="34"/>
  </w:num>
  <w:num w:numId="6" w16cid:durableId="938023384">
    <w:abstractNumId w:val="24"/>
  </w:num>
  <w:num w:numId="7" w16cid:durableId="1400058906">
    <w:abstractNumId w:val="37"/>
  </w:num>
  <w:num w:numId="8" w16cid:durableId="725377612">
    <w:abstractNumId w:val="23"/>
  </w:num>
  <w:num w:numId="9" w16cid:durableId="650250528">
    <w:abstractNumId w:val="21"/>
  </w:num>
  <w:num w:numId="10" w16cid:durableId="309604167">
    <w:abstractNumId w:val="14"/>
  </w:num>
  <w:num w:numId="11" w16cid:durableId="1668092425">
    <w:abstractNumId w:val="16"/>
  </w:num>
  <w:num w:numId="12" w16cid:durableId="1655912166">
    <w:abstractNumId w:val="11"/>
  </w:num>
  <w:num w:numId="13" w16cid:durableId="1478035928">
    <w:abstractNumId w:val="17"/>
  </w:num>
  <w:num w:numId="14" w16cid:durableId="1188906478">
    <w:abstractNumId w:val="44"/>
  </w:num>
  <w:num w:numId="15" w16cid:durableId="310138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05967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3531626">
    <w:abstractNumId w:val="46"/>
  </w:num>
  <w:num w:numId="18" w16cid:durableId="1779250635">
    <w:abstractNumId w:val="39"/>
  </w:num>
  <w:num w:numId="19" w16cid:durableId="1908031631">
    <w:abstractNumId w:val="9"/>
  </w:num>
  <w:num w:numId="20" w16cid:durableId="1745644583">
    <w:abstractNumId w:val="41"/>
  </w:num>
  <w:num w:numId="21" w16cid:durableId="2057969246">
    <w:abstractNumId w:val="33"/>
  </w:num>
  <w:num w:numId="22" w16cid:durableId="1140419202">
    <w:abstractNumId w:val="35"/>
  </w:num>
  <w:num w:numId="23" w16cid:durableId="1960257684">
    <w:abstractNumId w:val="35"/>
  </w:num>
  <w:num w:numId="24" w16cid:durableId="1977836725">
    <w:abstractNumId w:val="1"/>
  </w:num>
  <w:num w:numId="25" w16cid:durableId="784688596">
    <w:abstractNumId w:val="20"/>
  </w:num>
  <w:num w:numId="26" w16cid:durableId="1762874518">
    <w:abstractNumId w:val="32"/>
  </w:num>
  <w:num w:numId="27" w16cid:durableId="439691556">
    <w:abstractNumId w:val="45"/>
  </w:num>
  <w:num w:numId="28" w16cid:durableId="2061439330">
    <w:abstractNumId w:val="28"/>
  </w:num>
  <w:num w:numId="29" w16cid:durableId="1756827219">
    <w:abstractNumId w:val="26"/>
  </w:num>
  <w:num w:numId="30" w16cid:durableId="1087463653">
    <w:abstractNumId w:val="27"/>
  </w:num>
  <w:num w:numId="31" w16cid:durableId="202788483">
    <w:abstractNumId w:val="42"/>
  </w:num>
  <w:num w:numId="32" w16cid:durableId="1791777102">
    <w:abstractNumId w:val="13"/>
  </w:num>
  <w:num w:numId="33" w16cid:durableId="113329874">
    <w:abstractNumId w:val="7"/>
  </w:num>
  <w:num w:numId="34" w16cid:durableId="1886482199">
    <w:abstractNumId w:val="15"/>
  </w:num>
  <w:num w:numId="35" w16cid:durableId="625892715">
    <w:abstractNumId w:val="5"/>
  </w:num>
  <w:num w:numId="36" w16cid:durableId="1547451306">
    <w:abstractNumId w:val="19"/>
  </w:num>
  <w:num w:numId="37" w16cid:durableId="204606003">
    <w:abstractNumId w:val="40"/>
  </w:num>
  <w:num w:numId="38" w16cid:durableId="1122849348">
    <w:abstractNumId w:val="18"/>
  </w:num>
  <w:num w:numId="39" w16cid:durableId="744374616">
    <w:abstractNumId w:val="10"/>
  </w:num>
  <w:num w:numId="40" w16cid:durableId="942498350">
    <w:abstractNumId w:val="30"/>
  </w:num>
  <w:num w:numId="41" w16cid:durableId="1377706453">
    <w:abstractNumId w:val="38"/>
  </w:num>
  <w:num w:numId="42" w16cid:durableId="1001739203">
    <w:abstractNumId w:val="36"/>
  </w:num>
  <w:num w:numId="43" w16cid:durableId="1195461609">
    <w:abstractNumId w:val="8"/>
  </w:num>
  <w:num w:numId="44" w16cid:durableId="935020051">
    <w:abstractNumId w:val="3"/>
  </w:num>
  <w:num w:numId="45" w16cid:durableId="741410215">
    <w:abstractNumId w:val="0"/>
  </w:num>
  <w:num w:numId="46" w16cid:durableId="1383017568">
    <w:abstractNumId w:val="43"/>
  </w:num>
  <w:num w:numId="47" w16cid:durableId="905652678">
    <w:abstractNumId w:val="29"/>
  </w:num>
  <w:num w:numId="48" w16cid:durableId="175117518">
    <w:abstractNumId w:val="2"/>
  </w:num>
  <w:num w:numId="49" w16cid:durableId="7299660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06"/>
    <w:rsid w:val="00000CF7"/>
    <w:rsid w:val="00010320"/>
    <w:rsid w:val="000123D6"/>
    <w:rsid w:val="00012486"/>
    <w:rsid w:val="00012541"/>
    <w:rsid w:val="000146B4"/>
    <w:rsid w:val="000156BD"/>
    <w:rsid w:val="00016A47"/>
    <w:rsid w:val="00017303"/>
    <w:rsid w:val="000177D2"/>
    <w:rsid w:val="00024727"/>
    <w:rsid w:val="00025E6A"/>
    <w:rsid w:val="00025EAA"/>
    <w:rsid w:val="0003262C"/>
    <w:rsid w:val="000338BC"/>
    <w:rsid w:val="00035555"/>
    <w:rsid w:val="000365B1"/>
    <w:rsid w:val="00042812"/>
    <w:rsid w:val="00053414"/>
    <w:rsid w:val="00054E41"/>
    <w:rsid w:val="00056959"/>
    <w:rsid w:val="00060F89"/>
    <w:rsid w:val="00064437"/>
    <w:rsid w:val="00064C47"/>
    <w:rsid w:val="000655C9"/>
    <w:rsid w:val="000667A1"/>
    <w:rsid w:val="0007094E"/>
    <w:rsid w:val="000737BF"/>
    <w:rsid w:val="0007399D"/>
    <w:rsid w:val="00077AFE"/>
    <w:rsid w:val="000832C3"/>
    <w:rsid w:val="000872A0"/>
    <w:rsid w:val="00087BAB"/>
    <w:rsid w:val="000901FC"/>
    <w:rsid w:val="000909CD"/>
    <w:rsid w:val="00090E86"/>
    <w:rsid w:val="00091193"/>
    <w:rsid w:val="0009156C"/>
    <w:rsid w:val="00091D07"/>
    <w:rsid w:val="000929B2"/>
    <w:rsid w:val="0009313C"/>
    <w:rsid w:val="00093A90"/>
    <w:rsid w:val="0009506A"/>
    <w:rsid w:val="000A27EB"/>
    <w:rsid w:val="000C6EE3"/>
    <w:rsid w:val="000D34F4"/>
    <w:rsid w:val="000D3A03"/>
    <w:rsid w:val="000D4B06"/>
    <w:rsid w:val="000D6E0C"/>
    <w:rsid w:val="000D73D3"/>
    <w:rsid w:val="000D768E"/>
    <w:rsid w:val="000D7760"/>
    <w:rsid w:val="000E2107"/>
    <w:rsid w:val="000E7E98"/>
    <w:rsid w:val="000F19CA"/>
    <w:rsid w:val="000F2BF5"/>
    <w:rsid w:val="000F7FB1"/>
    <w:rsid w:val="00103757"/>
    <w:rsid w:val="00113F46"/>
    <w:rsid w:val="00115875"/>
    <w:rsid w:val="001244AF"/>
    <w:rsid w:val="00125C5A"/>
    <w:rsid w:val="00127479"/>
    <w:rsid w:val="00130C4F"/>
    <w:rsid w:val="00130D34"/>
    <w:rsid w:val="00133030"/>
    <w:rsid w:val="00133106"/>
    <w:rsid w:val="001341C8"/>
    <w:rsid w:val="0013598F"/>
    <w:rsid w:val="001406E9"/>
    <w:rsid w:val="00141C4F"/>
    <w:rsid w:val="00141E62"/>
    <w:rsid w:val="00144CBA"/>
    <w:rsid w:val="00154433"/>
    <w:rsid w:val="00156714"/>
    <w:rsid w:val="0016133D"/>
    <w:rsid w:val="00171209"/>
    <w:rsid w:val="00180718"/>
    <w:rsid w:val="0018177C"/>
    <w:rsid w:val="001825A8"/>
    <w:rsid w:val="00183482"/>
    <w:rsid w:val="00183637"/>
    <w:rsid w:val="00185775"/>
    <w:rsid w:val="00186F47"/>
    <w:rsid w:val="00191822"/>
    <w:rsid w:val="001931CE"/>
    <w:rsid w:val="001A2AFC"/>
    <w:rsid w:val="001A442D"/>
    <w:rsid w:val="001B6175"/>
    <w:rsid w:val="001C2514"/>
    <w:rsid w:val="001C3CB0"/>
    <w:rsid w:val="001C40AC"/>
    <w:rsid w:val="001C7FF6"/>
    <w:rsid w:val="001D0044"/>
    <w:rsid w:val="001D19AF"/>
    <w:rsid w:val="001D49B4"/>
    <w:rsid w:val="001D56EC"/>
    <w:rsid w:val="001E0787"/>
    <w:rsid w:val="001E1CFC"/>
    <w:rsid w:val="001F2C47"/>
    <w:rsid w:val="001F5517"/>
    <w:rsid w:val="002030E4"/>
    <w:rsid w:val="002075EA"/>
    <w:rsid w:val="0021120F"/>
    <w:rsid w:val="00211737"/>
    <w:rsid w:val="002118C0"/>
    <w:rsid w:val="00216E05"/>
    <w:rsid w:val="0022217E"/>
    <w:rsid w:val="0022620B"/>
    <w:rsid w:val="00226646"/>
    <w:rsid w:val="002274C3"/>
    <w:rsid w:val="0022769D"/>
    <w:rsid w:val="00231448"/>
    <w:rsid w:val="00233423"/>
    <w:rsid w:val="00234BA4"/>
    <w:rsid w:val="00236849"/>
    <w:rsid w:val="00237312"/>
    <w:rsid w:val="00242087"/>
    <w:rsid w:val="0024599D"/>
    <w:rsid w:val="00251F42"/>
    <w:rsid w:val="00255F4D"/>
    <w:rsid w:val="002603FA"/>
    <w:rsid w:val="00262258"/>
    <w:rsid w:val="002731D6"/>
    <w:rsid w:val="00281474"/>
    <w:rsid w:val="002933C6"/>
    <w:rsid w:val="00296E09"/>
    <w:rsid w:val="00297727"/>
    <w:rsid w:val="002A26C2"/>
    <w:rsid w:val="002A58CF"/>
    <w:rsid w:val="002A699C"/>
    <w:rsid w:val="002B18AE"/>
    <w:rsid w:val="002B5EDF"/>
    <w:rsid w:val="002C16FC"/>
    <w:rsid w:val="002C5A78"/>
    <w:rsid w:val="002C6951"/>
    <w:rsid w:val="002D054E"/>
    <w:rsid w:val="002D18D7"/>
    <w:rsid w:val="002D1B25"/>
    <w:rsid w:val="002D27FF"/>
    <w:rsid w:val="002D5EB9"/>
    <w:rsid w:val="002E39B2"/>
    <w:rsid w:val="002F117B"/>
    <w:rsid w:val="002F155B"/>
    <w:rsid w:val="002F1C32"/>
    <w:rsid w:val="002F1DDE"/>
    <w:rsid w:val="002F40B6"/>
    <w:rsid w:val="002F5E7C"/>
    <w:rsid w:val="003042CA"/>
    <w:rsid w:val="00307FCB"/>
    <w:rsid w:val="003117C7"/>
    <w:rsid w:val="003131DD"/>
    <w:rsid w:val="003172A2"/>
    <w:rsid w:val="00317435"/>
    <w:rsid w:val="003204AA"/>
    <w:rsid w:val="00323793"/>
    <w:rsid w:val="003261C3"/>
    <w:rsid w:val="00330A4E"/>
    <w:rsid w:val="00334B42"/>
    <w:rsid w:val="003361EF"/>
    <w:rsid w:val="00342261"/>
    <w:rsid w:val="003476CE"/>
    <w:rsid w:val="00352400"/>
    <w:rsid w:val="003557A5"/>
    <w:rsid w:val="00355DAF"/>
    <w:rsid w:val="0036120D"/>
    <w:rsid w:val="003633A7"/>
    <w:rsid w:val="0036736B"/>
    <w:rsid w:val="003738A8"/>
    <w:rsid w:val="0037402C"/>
    <w:rsid w:val="00375A1C"/>
    <w:rsid w:val="003774C6"/>
    <w:rsid w:val="00377EAA"/>
    <w:rsid w:val="0038720A"/>
    <w:rsid w:val="003878D7"/>
    <w:rsid w:val="0039164F"/>
    <w:rsid w:val="00392BE3"/>
    <w:rsid w:val="00394F83"/>
    <w:rsid w:val="00395F90"/>
    <w:rsid w:val="003A1565"/>
    <w:rsid w:val="003A174A"/>
    <w:rsid w:val="003A7710"/>
    <w:rsid w:val="003A7DC5"/>
    <w:rsid w:val="003B2CA6"/>
    <w:rsid w:val="003B31CB"/>
    <w:rsid w:val="003B3B5C"/>
    <w:rsid w:val="003B407F"/>
    <w:rsid w:val="003B59A0"/>
    <w:rsid w:val="003B6DBD"/>
    <w:rsid w:val="003C5EAF"/>
    <w:rsid w:val="003D5590"/>
    <w:rsid w:val="003D5C0B"/>
    <w:rsid w:val="003E03AB"/>
    <w:rsid w:val="003E0B62"/>
    <w:rsid w:val="003E6D20"/>
    <w:rsid w:val="003F3DCA"/>
    <w:rsid w:val="0040243C"/>
    <w:rsid w:val="0041080B"/>
    <w:rsid w:val="0041268F"/>
    <w:rsid w:val="00417A58"/>
    <w:rsid w:val="00422CBA"/>
    <w:rsid w:val="004260BF"/>
    <w:rsid w:val="00426D0A"/>
    <w:rsid w:val="00430E7F"/>
    <w:rsid w:val="00431F00"/>
    <w:rsid w:val="0043339A"/>
    <w:rsid w:val="00436221"/>
    <w:rsid w:val="004441A8"/>
    <w:rsid w:val="00445ACB"/>
    <w:rsid w:val="00447E8D"/>
    <w:rsid w:val="00447EA5"/>
    <w:rsid w:val="004525D1"/>
    <w:rsid w:val="00452DC0"/>
    <w:rsid w:val="004615FD"/>
    <w:rsid w:val="00464D2A"/>
    <w:rsid w:val="00466230"/>
    <w:rsid w:val="0047157B"/>
    <w:rsid w:val="004723D3"/>
    <w:rsid w:val="00475269"/>
    <w:rsid w:val="0047618A"/>
    <w:rsid w:val="004803B8"/>
    <w:rsid w:val="004820E2"/>
    <w:rsid w:val="00485C52"/>
    <w:rsid w:val="00486C55"/>
    <w:rsid w:val="00487FBD"/>
    <w:rsid w:val="00493A45"/>
    <w:rsid w:val="00494169"/>
    <w:rsid w:val="0049484C"/>
    <w:rsid w:val="00496626"/>
    <w:rsid w:val="0049685B"/>
    <w:rsid w:val="004A5081"/>
    <w:rsid w:val="004B05F6"/>
    <w:rsid w:val="004B2F12"/>
    <w:rsid w:val="004B4F1D"/>
    <w:rsid w:val="004B760B"/>
    <w:rsid w:val="004C011D"/>
    <w:rsid w:val="004C559F"/>
    <w:rsid w:val="004C79BC"/>
    <w:rsid w:val="004D201D"/>
    <w:rsid w:val="004D2598"/>
    <w:rsid w:val="004D2D77"/>
    <w:rsid w:val="004D52A1"/>
    <w:rsid w:val="004D6D72"/>
    <w:rsid w:val="004E4BD2"/>
    <w:rsid w:val="004E7E5C"/>
    <w:rsid w:val="004F0B32"/>
    <w:rsid w:val="004F0EE5"/>
    <w:rsid w:val="004F5BAD"/>
    <w:rsid w:val="004F7CF1"/>
    <w:rsid w:val="00503ABD"/>
    <w:rsid w:val="005069D7"/>
    <w:rsid w:val="00510ED4"/>
    <w:rsid w:val="0051282D"/>
    <w:rsid w:val="00516799"/>
    <w:rsid w:val="00520DAA"/>
    <w:rsid w:val="00526D1C"/>
    <w:rsid w:val="00526FB3"/>
    <w:rsid w:val="0053005C"/>
    <w:rsid w:val="00531A17"/>
    <w:rsid w:val="00535274"/>
    <w:rsid w:val="0053653A"/>
    <w:rsid w:val="00537A32"/>
    <w:rsid w:val="00545CA0"/>
    <w:rsid w:val="00550841"/>
    <w:rsid w:val="00554733"/>
    <w:rsid w:val="00557ED7"/>
    <w:rsid w:val="00561B9A"/>
    <w:rsid w:val="0056216D"/>
    <w:rsid w:val="00562904"/>
    <w:rsid w:val="00564BAE"/>
    <w:rsid w:val="00565719"/>
    <w:rsid w:val="005701F7"/>
    <w:rsid w:val="00572095"/>
    <w:rsid w:val="00574272"/>
    <w:rsid w:val="00582484"/>
    <w:rsid w:val="00584313"/>
    <w:rsid w:val="00585E38"/>
    <w:rsid w:val="00590146"/>
    <w:rsid w:val="00590866"/>
    <w:rsid w:val="00592EAC"/>
    <w:rsid w:val="00593F07"/>
    <w:rsid w:val="00596CC5"/>
    <w:rsid w:val="00596FD4"/>
    <w:rsid w:val="005A0FB7"/>
    <w:rsid w:val="005A13F6"/>
    <w:rsid w:val="005A1709"/>
    <w:rsid w:val="005A21FC"/>
    <w:rsid w:val="005A326A"/>
    <w:rsid w:val="005A61B9"/>
    <w:rsid w:val="005A76A7"/>
    <w:rsid w:val="005B0953"/>
    <w:rsid w:val="005B1753"/>
    <w:rsid w:val="005B196D"/>
    <w:rsid w:val="005B23F7"/>
    <w:rsid w:val="005B2878"/>
    <w:rsid w:val="005B37F2"/>
    <w:rsid w:val="005B5A0B"/>
    <w:rsid w:val="005D33DF"/>
    <w:rsid w:val="005D51C9"/>
    <w:rsid w:val="005D6AFA"/>
    <w:rsid w:val="005D7900"/>
    <w:rsid w:val="005D7E43"/>
    <w:rsid w:val="005E1053"/>
    <w:rsid w:val="005E40A0"/>
    <w:rsid w:val="005E41E8"/>
    <w:rsid w:val="005F45CA"/>
    <w:rsid w:val="005F63DE"/>
    <w:rsid w:val="0060043E"/>
    <w:rsid w:val="00604FA4"/>
    <w:rsid w:val="00613076"/>
    <w:rsid w:val="006132DB"/>
    <w:rsid w:val="006157B2"/>
    <w:rsid w:val="00615E3F"/>
    <w:rsid w:val="0062319F"/>
    <w:rsid w:val="00624202"/>
    <w:rsid w:val="00624D2F"/>
    <w:rsid w:val="00632E93"/>
    <w:rsid w:val="00633D26"/>
    <w:rsid w:val="00640AE5"/>
    <w:rsid w:val="0064156F"/>
    <w:rsid w:val="00641DBE"/>
    <w:rsid w:val="006446D5"/>
    <w:rsid w:val="00645F0F"/>
    <w:rsid w:val="00651363"/>
    <w:rsid w:val="00654439"/>
    <w:rsid w:val="006602DF"/>
    <w:rsid w:val="00661238"/>
    <w:rsid w:val="00666265"/>
    <w:rsid w:val="00666EFA"/>
    <w:rsid w:val="006724C0"/>
    <w:rsid w:val="0067385F"/>
    <w:rsid w:val="00674013"/>
    <w:rsid w:val="00674A19"/>
    <w:rsid w:val="006755F2"/>
    <w:rsid w:val="00676311"/>
    <w:rsid w:val="00685119"/>
    <w:rsid w:val="00690714"/>
    <w:rsid w:val="00695B1C"/>
    <w:rsid w:val="00696A33"/>
    <w:rsid w:val="006A4D5D"/>
    <w:rsid w:val="006B080F"/>
    <w:rsid w:val="006B1361"/>
    <w:rsid w:val="006B1760"/>
    <w:rsid w:val="006B25DA"/>
    <w:rsid w:val="006C2A2C"/>
    <w:rsid w:val="006C515E"/>
    <w:rsid w:val="006C623A"/>
    <w:rsid w:val="006D006E"/>
    <w:rsid w:val="006D0E77"/>
    <w:rsid w:val="006D31A9"/>
    <w:rsid w:val="006D335E"/>
    <w:rsid w:val="006F2228"/>
    <w:rsid w:val="006F35CD"/>
    <w:rsid w:val="0070754A"/>
    <w:rsid w:val="0071068B"/>
    <w:rsid w:val="007139F1"/>
    <w:rsid w:val="00714B13"/>
    <w:rsid w:val="00721975"/>
    <w:rsid w:val="00722281"/>
    <w:rsid w:val="00726B06"/>
    <w:rsid w:val="007307E0"/>
    <w:rsid w:val="0073261B"/>
    <w:rsid w:val="00733141"/>
    <w:rsid w:val="00735109"/>
    <w:rsid w:val="00741B64"/>
    <w:rsid w:val="00745692"/>
    <w:rsid w:val="00750B74"/>
    <w:rsid w:val="00753F16"/>
    <w:rsid w:val="007608F8"/>
    <w:rsid w:val="00762F36"/>
    <w:rsid w:val="00767557"/>
    <w:rsid w:val="00777FB2"/>
    <w:rsid w:val="00783168"/>
    <w:rsid w:val="007839B4"/>
    <w:rsid w:val="007870EC"/>
    <w:rsid w:val="00787234"/>
    <w:rsid w:val="0079785B"/>
    <w:rsid w:val="00797952"/>
    <w:rsid w:val="007A03DF"/>
    <w:rsid w:val="007A6EA4"/>
    <w:rsid w:val="007A6FBD"/>
    <w:rsid w:val="007B00B0"/>
    <w:rsid w:val="007B377F"/>
    <w:rsid w:val="007B6A3E"/>
    <w:rsid w:val="007B7912"/>
    <w:rsid w:val="007D0FD8"/>
    <w:rsid w:val="007D1CAC"/>
    <w:rsid w:val="007D2954"/>
    <w:rsid w:val="007D3E8C"/>
    <w:rsid w:val="007E023A"/>
    <w:rsid w:val="007E1584"/>
    <w:rsid w:val="007E181C"/>
    <w:rsid w:val="007E1FFA"/>
    <w:rsid w:val="007E3AF0"/>
    <w:rsid w:val="007E3F24"/>
    <w:rsid w:val="007E7793"/>
    <w:rsid w:val="00800EDB"/>
    <w:rsid w:val="00801F23"/>
    <w:rsid w:val="00804BD1"/>
    <w:rsid w:val="0080538F"/>
    <w:rsid w:val="008148C9"/>
    <w:rsid w:val="0082368D"/>
    <w:rsid w:val="0082404E"/>
    <w:rsid w:val="00826ECE"/>
    <w:rsid w:val="00827C01"/>
    <w:rsid w:val="00833A3A"/>
    <w:rsid w:val="00844B10"/>
    <w:rsid w:val="00846C5A"/>
    <w:rsid w:val="0084738B"/>
    <w:rsid w:val="0085032C"/>
    <w:rsid w:val="00852587"/>
    <w:rsid w:val="00852FB6"/>
    <w:rsid w:val="00855496"/>
    <w:rsid w:val="00862DB1"/>
    <w:rsid w:val="008639D7"/>
    <w:rsid w:val="008749C0"/>
    <w:rsid w:val="00877DDA"/>
    <w:rsid w:val="008913EF"/>
    <w:rsid w:val="00894DB8"/>
    <w:rsid w:val="00895661"/>
    <w:rsid w:val="00897355"/>
    <w:rsid w:val="00897738"/>
    <w:rsid w:val="008A7BD7"/>
    <w:rsid w:val="008B1BF6"/>
    <w:rsid w:val="008D0913"/>
    <w:rsid w:val="008D5624"/>
    <w:rsid w:val="008E65E6"/>
    <w:rsid w:val="008E65F1"/>
    <w:rsid w:val="008E71E2"/>
    <w:rsid w:val="008F1457"/>
    <w:rsid w:val="008F23BF"/>
    <w:rsid w:val="008F2670"/>
    <w:rsid w:val="008F363F"/>
    <w:rsid w:val="008F4708"/>
    <w:rsid w:val="00902C87"/>
    <w:rsid w:val="00903380"/>
    <w:rsid w:val="00903A34"/>
    <w:rsid w:val="0091113D"/>
    <w:rsid w:val="009121B9"/>
    <w:rsid w:val="00912C99"/>
    <w:rsid w:val="00913BAB"/>
    <w:rsid w:val="00926E1D"/>
    <w:rsid w:val="00930D23"/>
    <w:rsid w:val="009311EF"/>
    <w:rsid w:val="00933554"/>
    <w:rsid w:val="009469FB"/>
    <w:rsid w:val="00946A77"/>
    <w:rsid w:val="00947EA7"/>
    <w:rsid w:val="0095541A"/>
    <w:rsid w:val="00955729"/>
    <w:rsid w:val="009560AE"/>
    <w:rsid w:val="00956CD7"/>
    <w:rsid w:val="00960018"/>
    <w:rsid w:val="0096442B"/>
    <w:rsid w:val="00964C2D"/>
    <w:rsid w:val="00967FDC"/>
    <w:rsid w:val="00974552"/>
    <w:rsid w:val="00990300"/>
    <w:rsid w:val="00991AFD"/>
    <w:rsid w:val="00996C83"/>
    <w:rsid w:val="009A4030"/>
    <w:rsid w:val="009A5B21"/>
    <w:rsid w:val="009B0293"/>
    <w:rsid w:val="009B100A"/>
    <w:rsid w:val="009B4E97"/>
    <w:rsid w:val="009B694A"/>
    <w:rsid w:val="009B6F07"/>
    <w:rsid w:val="009C3200"/>
    <w:rsid w:val="009C76E1"/>
    <w:rsid w:val="009C7F9B"/>
    <w:rsid w:val="009D1A77"/>
    <w:rsid w:val="009D47DF"/>
    <w:rsid w:val="009D72DE"/>
    <w:rsid w:val="009D7915"/>
    <w:rsid w:val="009E67AB"/>
    <w:rsid w:val="009E6A5A"/>
    <w:rsid w:val="009F2881"/>
    <w:rsid w:val="009F3DD4"/>
    <w:rsid w:val="00A002E7"/>
    <w:rsid w:val="00A02D10"/>
    <w:rsid w:val="00A03F78"/>
    <w:rsid w:val="00A07095"/>
    <w:rsid w:val="00A1005A"/>
    <w:rsid w:val="00A1409C"/>
    <w:rsid w:val="00A258F1"/>
    <w:rsid w:val="00A26BB4"/>
    <w:rsid w:val="00A26CBF"/>
    <w:rsid w:val="00A273A2"/>
    <w:rsid w:val="00A279B8"/>
    <w:rsid w:val="00A31695"/>
    <w:rsid w:val="00A32C53"/>
    <w:rsid w:val="00A35EF2"/>
    <w:rsid w:val="00A37326"/>
    <w:rsid w:val="00A46D04"/>
    <w:rsid w:val="00A55F51"/>
    <w:rsid w:val="00A615FB"/>
    <w:rsid w:val="00A66104"/>
    <w:rsid w:val="00A767C3"/>
    <w:rsid w:val="00A806FC"/>
    <w:rsid w:val="00A875F7"/>
    <w:rsid w:val="00A942E2"/>
    <w:rsid w:val="00AA1CD2"/>
    <w:rsid w:val="00AB4E2B"/>
    <w:rsid w:val="00AC1872"/>
    <w:rsid w:val="00AC4278"/>
    <w:rsid w:val="00AC5332"/>
    <w:rsid w:val="00AC6B55"/>
    <w:rsid w:val="00AD0168"/>
    <w:rsid w:val="00AD0193"/>
    <w:rsid w:val="00AD22CA"/>
    <w:rsid w:val="00AF06FD"/>
    <w:rsid w:val="00AF1E9E"/>
    <w:rsid w:val="00AF2958"/>
    <w:rsid w:val="00AF29AD"/>
    <w:rsid w:val="00AF2D61"/>
    <w:rsid w:val="00AF5BD6"/>
    <w:rsid w:val="00B0260E"/>
    <w:rsid w:val="00B03318"/>
    <w:rsid w:val="00B03C13"/>
    <w:rsid w:val="00B063DA"/>
    <w:rsid w:val="00B15D11"/>
    <w:rsid w:val="00B20B7C"/>
    <w:rsid w:val="00B30A53"/>
    <w:rsid w:val="00B33510"/>
    <w:rsid w:val="00B40053"/>
    <w:rsid w:val="00B428AB"/>
    <w:rsid w:val="00B435EC"/>
    <w:rsid w:val="00B45DCD"/>
    <w:rsid w:val="00B4747C"/>
    <w:rsid w:val="00B51620"/>
    <w:rsid w:val="00B5340B"/>
    <w:rsid w:val="00B55790"/>
    <w:rsid w:val="00B61434"/>
    <w:rsid w:val="00B67B64"/>
    <w:rsid w:val="00B70646"/>
    <w:rsid w:val="00B706E1"/>
    <w:rsid w:val="00B75C78"/>
    <w:rsid w:val="00B77DB2"/>
    <w:rsid w:val="00B81645"/>
    <w:rsid w:val="00B85C07"/>
    <w:rsid w:val="00B867B3"/>
    <w:rsid w:val="00B90080"/>
    <w:rsid w:val="00B902C5"/>
    <w:rsid w:val="00B92C3D"/>
    <w:rsid w:val="00B94CC3"/>
    <w:rsid w:val="00B9542E"/>
    <w:rsid w:val="00BA72B0"/>
    <w:rsid w:val="00BB028C"/>
    <w:rsid w:val="00BB08E4"/>
    <w:rsid w:val="00BB2629"/>
    <w:rsid w:val="00BB6591"/>
    <w:rsid w:val="00BC1DC8"/>
    <w:rsid w:val="00BC2513"/>
    <w:rsid w:val="00BD001D"/>
    <w:rsid w:val="00BE1D22"/>
    <w:rsid w:val="00BE241F"/>
    <w:rsid w:val="00BE24AB"/>
    <w:rsid w:val="00BE48DD"/>
    <w:rsid w:val="00BE5114"/>
    <w:rsid w:val="00BE62B1"/>
    <w:rsid w:val="00C004DA"/>
    <w:rsid w:val="00C1287E"/>
    <w:rsid w:val="00C14B40"/>
    <w:rsid w:val="00C1512B"/>
    <w:rsid w:val="00C16133"/>
    <w:rsid w:val="00C163D0"/>
    <w:rsid w:val="00C233C9"/>
    <w:rsid w:val="00C23E1C"/>
    <w:rsid w:val="00C24F6D"/>
    <w:rsid w:val="00C260A1"/>
    <w:rsid w:val="00C27B95"/>
    <w:rsid w:val="00C36639"/>
    <w:rsid w:val="00C3754D"/>
    <w:rsid w:val="00C40045"/>
    <w:rsid w:val="00C404A0"/>
    <w:rsid w:val="00C44B45"/>
    <w:rsid w:val="00C44C9D"/>
    <w:rsid w:val="00C45BDD"/>
    <w:rsid w:val="00C51D79"/>
    <w:rsid w:val="00C5348F"/>
    <w:rsid w:val="00C54545"/>
    <w:rsid w:val="00C56B81"/>
    <w:rsid w:val="00C57AF1"/>
    <w:rsid w:val="00C607B6"/>
    <w:rsid w:val="00C63A33"/>
    <w:rsid w:val="00C6416E"/>
    <w:rsid w:val="00C643AB"/>
    <w:rsid w:val="00C6618D"/>
    <w:rsid w:val="00C664C4"/>
    <w:rsid w:val="00C727FD"/>
    <w:rsid w:val="00C8058D"/>
    <w:rsid w:val="00C80781"/>
    <w:rsid w:val="00C80CBC"/>
    <w:rsid w:val="00C842D9"/>
    <w:rsid w:val="00C861D1"/>
    <w:rsid w:val="00C90EE6"/>
    <w:rsid w:val="00C925AE"/>
    <w:rsid w:val="00CA0E31"/>
    <w:rsid w:val="00CA104F"/>
    <w:rsid w:val="00CB27B0"/>
    <w:rsid w:val="00CB2E5A"/>
    <w:rsid w:val="00CB4BC6"/>
    <w:rsid w:val="00CC3D59"/>
    <w:rsid w:val="00CC7FBA"/>
    <w:rsid w:val="00CD33B5"/>
    <w:rsid w:val="00CD5658"/>
    <w:rsid w:val="00CE192E"/>
    <w:rsid w:val="00CF4ECF"/>
    <w:rsid w:val="00CF4FE4"/>
    <w:rsid w:val="00CF5A74"/>
    <w:rsid w:val="00D020F8"/>
    <w:rsid w:val="00D060B0"/>
    <w:rsid w:val="00D06C51"/>
    <w:rsid w:val="00D13558"/>
    <w:rsid w:val="00D149F1"/>
    <w:rsid w:val="00D15BD9"/>
    <w:rsid w:val="00D21C3E"/>
    <w:rsid w:val="00D24230"/>
    <w:rsid w:val="00D31D85"/>
    <w:rsid w:val="00D34E5C"/>
    <w:rsid w:val="00D40043"/>
    <w:rsid w:val="00D41088"/>
    <w:rsid w:val="00D4251E"/>
    <w:rsid w:val="00D5043B"/>
    <w:rsid w:val="00D50EA6"/>
    <w:rsid w:val="00D5560E"/>
    <w:rsid w:val="00D55B32"/>
    <w:rsid w:val="00D62BE8"/>
    <w:rsid w:val="00D640BE"/>
    <w:rsid w:val="00D67431"/>
    <w:rsid w:val="00D74269"/>
    <w:rsid w:val="00D75F29"/>
    <w:rsid w:val="00D77BFD"/>
    <w:rsid w:val="00D80C36"/>
    <w:rsid w:val="00D8117A"/>
    <w:rsid w:val="00D81665"/>
    <w:rsid w:val="00D83DC3"/>
    <w:rsid w:val="00D8403E"/>
    <w:rsid w:val="00D84693"/>
    <w:rsid w:val="00D8476A"/>
    <w:rsid w:val="00D84DF8"/>
    <w:rsid w:val="00D91A47"/>
    <w:rsid w:val="00DA48FF"/>
    <w:rsid w:val="00DB18F5"/>
    <w:rsid w:val="00DB2AE9"/>
    <w:rsid w:val="00DC453B"/>
    <w:rsid w:val="00DC5D91"/>
    <w:rsid w:val="00DC6053"/>
    <w:rsid w:val="00DE1ED5"/>
    <w:rsid w:val="00DE57C2"/>
    <w:rsid w:val="00DE738A"/>
    <w:rsid w:val="00DF1A5B"/>
    <w:rsid w:val="00DF761A"/>
    <w:rsid w:val="00E0615C"/>
    <w:rsid w:val="00E10248"/>
    <w:rsid w:val="00E13DCA"/>
    <w:rsid w:val="00E1742E"/>
    <w:rsid w:val="00E2187B"/>
    <w:rsid w:val="00E22816"/>
    <w:rsid w:val="00E2315F"/>
    <w:rsid w:val="00E258F5"/>
    <w:rsid w:val="00E306EA"/>
    <w:rsid w:val="00E36B76"/>
    <w:rsid w:val="00E3765F"/>
    <w:rsid w:val="00E43D2F"/>
    <w:rsid w:val="00E45A5C"/>
    <w:rsid w:val="00E47FAF"/>
    <w:rsid w:val="00E501B6"/>
    <w:rsid w:val="00E50A38"/>
    <w:rsid w:val="00E540D8"/>
    <w:rsid w:val="00E56811"/>
    <w:rsid w:val="00E6111F"/>
    <w:rsid w:val="00E6128B"/>
    <w:rsid w:val="00E648EC"/>
    <w:rsid w:val="00E65CAC"/>
    <w:rsid w:val="00E66F8A"/>
    <w:rsid w:val="00E70624"/>
    <w:rsid w:val="00E70EC9"/>
    <w:rsid w:val="00E72B22"/>
    <w:rsid w:val="00E77655"/>
    <w:rsid w:val="00E8042E"/>
    <w:rsid w:val="00E8427B"/>
    <w:rsid w:val="00E85708"/>
    <w:rsid w:val="00E910F2"/>
    <w:rsid w:val="00E91933"/>
    <w:rsid w:val="00E91B84"/>
    <w:rsid w:val="00E932E7"/>
    <w:rsid w:val="00EA43C0"/>
    <w:rsid w:val="00EB493D"/>
    <w:rsid w:val="00EB63BD"/>
    <w:rsid w:val="00EB6B33"/>
    <w:rsid w:val="00EB713E"/>
    <w:rsid w:val="00EB7302"/>
    <w:rsid w:val="00ED23A1"/>
    <w:rsid w:val="00EE2BBB"/>
    <w:rsid w:val="00EE6096"/>
    <w:rsid w:val="00EF12AB"/>
    <w:rsid w:val="00EF5D89"/>
    <w:rsid w:val="00EF6DF9"/>
    <w:rsid w:val="00EF6EF0"/>
    <w:rsid w:val="00EF7BA7"/>
    <w:rsid w:val="00F01E85"/>
    <w:rsid w:val="00F12332"/>
    <w:rsid w:val="00F13947"/>
    <w:rsid w:val="00F21906"/>
    <w:rsid w:val="00F22589"/>
    <w:rsid w:val="00F23046"/>
    <w:rsid w:val="00F256D8"/>
    <w:rsid w:val="00F26DE0"/>
    <w:rsid w:val="00F30E14"/>
    <w:rsid w:val="00F31779"/>
    <w:rsid w:val="00F33E61"/>
    <w:rsid w:val="00F35BD1"/>
    <w:rsid w:val="00F41433"/>
    <w:rsid w:val="00F55C85"/>
    <w:rsid w:val="00F56344"/>
    <w:rsid w:val="00F56B3F"/>
    <w:rsid w:val="00F7779B"/>
    <w:rsid w:val="00F96423"/>
    <w:rsid w:val="00FA12DB"/>
    <w:rsid w:val="00FA2904"/>
    <w:rsid w:val="00FA5721"/>
    <w:rsid w:val="00FB30AE"/>
    <w:rsid w:val="00FB75C9"/>
    <w:rsid w:val="00FC132D"/>
    <w:rsid w:val="00FC1A62"/>
    <w:rsid w:val="00FC716A"/>
    <w:rsid w:val="00FD0C42"/>
    <w:rsid w:val="00FD2DA2"/>
    <w:rsid w:val="00FD3A49"/>
    <w:rsid w:val="00FD7D18"/>
    <w:rsid w:val="00FE26B2"/>
    <w:rsid w:val="00FE65A7"/>
    <w:rsid w:val="00FF3376"/>
    <w:rsid w:val="00FF3403"/>
    <w:rsid w:val="00FF777F"/>
    <w:rsid w:val="0ADB7BD1"/>
    <w:rsid w:val="0B34E9C5"/>
    <w:rsid w:val="2082383C"/>
    <w:rsid w:val="216C3CA9"/>
    <w:rsid w:val="34FE9E15"/>
    <w:rsid w:val="7A4C8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B7E5F"/>
  <w15:chartTrackingRefBased/>
  <w15:docId w15:val="{DE1498E2-CB42-4009-B0C5-55D234D4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17E"/>
    <w:pPr>
      <w:spacing w:after="0" w:line="240" w:lineRule="auto"/>
    </w:pPr>
    <w:rPr>
      <w:rFonts w:ascii="Calibri" w:hAnsi="Calibri" w:cs="Calibri"/>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2217E"/>
  </w:style>
  <w:style w:type="paragraph" w:customStyle="1" w:styleId="TableParagraph">
    <w:name w:val="Table Paragraph"/>
    <w:basedOn w:val="Normal"/>
    <w:uiPriority w:val="1"/>
    <w:rsid w:val="0022217E"/>
    <w:pPr>
      <w:autoSpaceDE w:val="0"/>
      <w:autoSpaceDN w:val="0"/>
      <w:spacing w:before="82"/>
      <w:ind w:left="113"/>
    </w:p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2217E"/>
    <w:pPr>
      <w:spacing w:line="240" w:lineRule="atLeast"/>
      <w:ind w:left="720"/>
      <w:contextualSpacing/>
    </w:pPr>
    <w:rPr>
      <w:rFonts w:ascii="Verdana" w:eastAsia="Times New Roman" w:hAnsi="Verdana" w:cs="Times New Roman"/>
      <w:sz w:val="18"/>
      <w:szCs w:val="24"/>
      <w:lang w:eastAsia="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22217E"/>
    <w:rPr>
      <w:rFonts w:ascii="Verdana" w:eastAsia="Times New Roman" w:hAnsi="Verdana" w:cs="Times New Roman"/>
      <w:sz w:val="18"/>
      <w:szCs w:val="24"/>
      <w:lang w:val="nl-NL" w:eastAsia="nl-NL"/>
    </w:rPr>
  </w:style>
  <w:style w:type="character" w:styleId="Hyperlink">
    <w:name w:val="Hyperlink"/>
    <w:basedOn w:val="DefaultParagraphFont"/>
    <w:uiPriority w:val="99"/>
    <w:unhideWhenUsed/>
    <w:rsid w:val="0022217E"/>
    <w:rPr>
      <w:color w:val="0563C1"/>
      <w:u w:val="single"/>
    </w:rPr>
  </w:style>
  <w:style w:type="paragraph" w:styleId="Header">
    <w:name w:val="header"/>
    <w:basedOn w:val="Normal"/>
    <w:link w:val="HeaderChar"/>
    <w:uiPriority w:val="99"/>
    <w:unhideWhenUsed/>
    <w:rsid w:val="00AD0168"/>
    <w:pPr>
      <w:tabs>
        <w:tab w:val="center" w:pos="4513"/>
        <w:tab w:val="right" w:pos="9026"/>
      </w:tabs>
    </w:pPr>
  </w:style>
  <w:style w:type="character" w:customStyle="1" w:styleId="HeaderChar">
    <w:name w:val="Header Char"/>
    <w:basedOn w:val="DefaultParagraphFont"/>
    <w:link w:val="Header"/>
    <w:uiPriority w:val="99"/>
    <w:rsid w:val="00AD0168"/>
    <w:rPr>
      <w:rFonts w:ascii="Calibri" w:hAnsi="Calibri" w:cs="Calibri"/>
      <w:lang w:val="nl-NL"/>
    </w:rPr>
  </w:style>
  <w:style w:type="paragraph" w:styleId="Footer">
    <w:name w:val="footer"/>
    <w:basedOn w:val="Normal"/>
    <w:link w:val="FooterChar"/>
    <w:uiPriority w:val="99"/>
    <w:unhideWhenUsed/>
    <w:rsid w:val="00AD0168"/>
    <w:pPr>
      <w:tabs>
        <w:tab w:val="center" w:pos="4513"/>
        <w:tab w:val="right" w:pos="9026"/>
      </w:tabs>
    </w:pPr>
  </w:style>
  <w:style w:type="character" w:customStyle="1" w:styleId="FooterChar">
    <w:name w:val="Footer Char"/>
    <w:basedOn w:val="DefaultParagraphFont"/>
    <w:link w:val="Footer"/>
    <w:uiPriority w:val="99"/>
    <w:rsid w:val="00AD0168"/>
    <w:rPr>
      <w:rFonts w:ascii="Calibri" w:hAnsi="Calibri" w:cs="Calibri"/>
      <w:lang w:val="nl-NL"/>
    </w:rPr>
  </w:style>
  <w:style w:type="character" w:styleId="CommentReference">
    <w:name w:val="annotation reference"/>
    <w:basedOn w:val="DefaultParagraphFont"/>
    <w:uiPriority w:val="99"/>
    <w:semiHidden/>
    <w:unhideWhenUsed/>
    <w:rsid w:val="00DE1ED5"/>
    <w:rPr>
      <w:sz w:val="16"/>
      <w:szCs w:val="16"/>
    </w:rPr>
  </w:style>
  <w:style w:type="paragraph" w:styleId="CommentText">
    <w:name w:val="annotation text"/>
    <w:basedOn w:val="Normal"/>
    <w:link w:val="CommentTextChar"/>
    <w:uiPriority w:val="99"/>
    <w:unhideWhenUsed/>
    <w:rsid w:val="00DE1ED5"/>
    <w:rPr>
      <w:sz w:val="20"/>
      <w:szCs w:val="20"/>
    </w:rPr>
  </w:style>
  <w:style w:type="character" w:customStyle="1" w:styleId="CommentTextChar">
    <w:name w:val="Comment Text Char"/>
    <w:basedOn w:val="DefaultParagraphFont"/>
    <w:link w:val="CommentText"/>
    <w:uiPriority w:val="99"/>
    <w:rsid w:val="00DE1ED5"/>
    <w:rPr>
      <w:rFonts w:ascii="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DE1ED5"/>
    <w:rPr>
      <w:b/>
      <w:bCs/>
    </w:rPr>
  </w:style>
  <w:style w:type="character" w:customStyle="1" w:styleId="CommentSubjectChar">
    <w:name w:val="Comment Subject Char"/>
    <w:basedOn w:val="CommentTextChar"/>
    <w:link w:val="CommentSubject"/>
    <w:uiPriority w:val="99"/>
    <w:semiHidden/>
    <w:rsid w:val="00DE1ED5"/>
    <w:rPr>
      <w:rFonts w:ascii="Calibri" w:hAnsi="Calibri" w:cs="Calibri"/>
      <w:b/>
      <w:bCs/>
      <w:sz w:val="20"/>
      <w:szCs w:val="20"/>
      <w:lang w:val="nl-NL"/>
    </w:rPr>
  </w:style>
  <w:style w:type="paragraph" w:styleId="BalloonText">
    <w:name w:val="Balloon Text"/>
    <w:basedOn w:val="Normal"/>
    <w:link w:val="BalloonTextChar"/>
    <w:uiPriority w:val="99"/>
    <w:semiHidden/>
    <w:unhideWhenUsed/>
    <w:rsid w:val="00DE1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ED5"/>
    <w:rPr>
      <w:rFonts w:ascii="Segoe UI" w:hAnsi="Segoe UI" w:cs="Segoe UI"/>
      <w:sz w:val="18"/>
      <w:szCs w:val="18"/>
      <w:lang w:val="nl-NL"/>
    </w:rPr>
  </w:style>
  <w:style w:type="character" w:styleId="FollowedHyperlink">
    <w:name w:val="FollowedHyperlink"/>
    <w:basedOn w:val="DefaultParagraphFont"/>
    <w:uiPriority w:val="99"/>
    <w:semiHidden/>
    <w:unhideWhenUsed/>
    <w:rsid w:val="00833A3A"/>
    <w:rPr>
      <w:color w:val="954F72" w:themeColor="followedHyperlink"/>
      <w:u w:val="single"/>
    </w:rPr>
  </w:style>
  <w:style w:type="character" w:styleId="UnresolvedMention">
    <w:name w:val="Unresolved Mention"/>
    <w:basedOn w:val="DefaultParagraphFont"/>
    <w:uiPriority w:val="99"/>
    <w:semiHidden/>
    <w:unhideWhenUsed/>
    <w:rsid w:val="00833A3A"/>
    <w:rPr>
      <w:color w:val="605E5C"/>
      <w:shd w:val="clear" w:color="auto" w:fill="E1DFDD"/>
    </w:rPr>
  </w:style>
  <w:style w:type="character" w:customStyle="1" w:styleId="cf01">
    <w:name w:val="cf01"/>
    <w:basedOn w:val="DefaultParagraphFont"/>
    <w:rsid w:val="009E67AB"/>
    <w:rPr>
      <w:rFonts w:ascii="Segoe UI" w:hAnsi="Segoe UI" w:cs="Segoe UI" w:hint="default"/>
      <w:sz w:val="18"/>
      <w:szCs w:val="18"/>
    </w:rPr>
  </w:style>
  <w:style w:type="paragraph" w:styleId="Revision">
    <w:name w:val="Revision"/>
    <w:hidden/>
    <w:uiPriority w:val="99"/>
    <w:semiHidden/>
    <w:rsid w:val="003E0B62"/>
    <w:pPr>
      <w:spacing w:after="0" w:line="240" w:lineRule="auto"/>
    </w:pPr>
    <w:rPr>
      <w:rFonts w:ascii="Calibri" w:hAnsi="Calibri" w:cs="Calibri"/>
      <w:lang w:val="nl-NL"/>
    </w:rPr>
  </w:style>
  <w:style w:type="paragraph" w:styleId="FootnoteText">
    <w:name w:val="footnote text"/>
    <w:basedOn w:val="Normal"/>
    <w:link w:val="FootnoteTextChar"/>
    <w:uiPriority w:val="99"/>
    <w:unhideWhenUsed/>
    <w:rsid w:val="00862DB1"/>
    <w:rPr>
      <w:sz w:val="20"/>
      <w:szCs w:val="20"/>
    </w:rPr>
  </w:style>
  <w:style w:type="character" w:customStyle="1" w:styleId="FootnoteTextChar">
    <w:name w:val="Footnote Text Char"/>
    <w:basedOn w:val="DefaultParagraphFont"/>
    <w:link w:val="FootnoteText"/>
    <w:uiPriority w:val="99"/>
    <w:rsid w:val="00862DB1"/>
    <w:rPr>
      <w:rFonts w:ascii="Calibri" w:hAnsi="Calibri" w:cs="Calibri"/>
      <w:sz w:val="20"/>
      <w:szCs w:val="20"/>
      <w:lang w:val="nl-NL"/>
    </w:rPr>
  </w:style>
  <w:style w:type="character" w:styleId="FootnoteReference">
    <w:name w:val="footnote reference"/>
    <w:basedOn w:val="DefaultParagraphFont"/>
    <w:uiPriority w:val="99"/>
    <w:unhideWhenUsed/>
    <w:rsid w:val="00862DB1"/>
    <w:rPr>
      <w:vertAlign w:val="superscript"/>
    </w:rPr>
  </w:style>
  <w:style w:type="paragraph" w:styleId="Quote">
    <w:name w:val="Quote"/>
    <w:basedOn w:val="Normal"/>
    <w:next w:val="Normal"/>
    <w:link w:val="QuoteChar"/>
    <w:uiPriority w:val="98"/>
    <w:qFormat/>
    <w:rsid w:val="00BE5114"/>
    <w:pPr>
      <w:autoSpaceDN w:val="0"/>
      <w:spacing w:before="200" w:after="160" w:line="240" w:lineRule="exact"/>
      <w:ind w:left="861"/>
      <w:jc w:val="center"/>
      <w:textAlignment w:val="baseline"/>
    </w:pPr>
    <w:rPr>
      <w:rFonts w:ascii="Verdana" w:eastAsia="DejaVu Sans" w:hAnsi="Verdana" w:cs="Lohit Hindi"/>
      <w:i/>
      <w:color w:val="404040"/>
      <w:sz w:val="18"/>
      <w:szCs w:val="18"/>
      <w:lang w:eastAsia="nl-NL"/>
    </w:rPr>
  </w:style>
  <w:style w:type="character" w:customStyle="1" w:styleId="QuoteChar">
    <w:name w:val="Quote Char"/>
    <w:basedOn w:val="DefaultParagraphFont"/>
    <w:link w:val="Quote"/>
    <w:uiPriority w:val="98"/>
    <w:rsid w:val="00BE5114"/>
    <w:rPr>
      <w:rFonts w:ascii="Verdana" w:eastAsia="DejaVu Sans" w:hAnsi="Verdana" w:cs="Lohit Hindi"/>
      <w:i/>
      <w:color w:val="404040"/>
      <w:sz w:val="18"/>
      <w:szCs w:val="18"/>
      <w:lang w:val="nl-NL" w:eastAsia="nl-NL"/>
    </w:rPr>
  </w:style>
  <w:style w:type="paragraph" w:styleId="NormalWeb">
    <w:name w:val="Normal (Web)"/>
    <w:basedOn w:val="Normal"/>
    <w:uiPriority w:val="99"/>
    <w:semiHidden/>
    <w:unhideWhenUsed/>
    <w:rsid w:val="00141C4F"/>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Default">
    <w:name w:val="Default"/>
    <w:rsid w:val="00955729"/>
    <w:pPr>
      <w:autoSpaceDE w:val="0"/>
      <w:autoSpaceDN w:val="0"/>
      <w:adjustRightInd w:val="0"/>
      <w:spacing w:after="0" w:line="240" w:lineRule="auto"/>
    </w:pPr>
    <w:rPr>
      <w:rFonts w:ascii="Calibri" w:hAnsi="Calibri" w:cs="Calibri"/>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414">
      <w:bodyDiv w:val="1"/>
      <w:marLeft w:val="0"/>
      <w:marRight w:val="0"/>
      <w:marTop w:val="0"/>
      <w:marBottom w:val="0"/>
      <w:divBdr>
        <w:top w:val="none" w:sz="0" w:space="0" w:color="auto"/>
        <w:left w:val="none" w:sz="0" w:space="0" w:color="auto"/>
        <w:bottom w:val="none" w:sz="0" w:space="0" w:color="auto"/>
        <w:right w:val="none" w:sz="0" w:space="0" w:color="auto"/>
      </w:divBdr>
    </w:div>
    <w:div w:id="97526861">
      <w:bodyDiv w:val="1"/>
      <w:marLeft w:val="0"/>
      <w:marRight w:val="0"/>
      <w:marTop w:val="0"/>
      <w:marBottom w:val="0"/>
      <w:divBdr>
        <w:top w:val="none" w:sz="0" w:space="0" w:color="auto"/>
        <w:left w:val="none" w:sz="0" w:space="0" w:color="auto"/>
        <w:bottom w:val="none" w:sz="0" w:space="0" w:color="auto"/>
        <w:right w:val="none" w:sz="0" w:space="0" w:color="auto"/>
      </w:divBdr>
    </w:div>
    <w:div w:id="338703189">
      <w:bodyDiv w:val="1"/>
      <w:marLeft w:val="0"/>
      <w:marRight w:val="0"/>
      <w:marTop w:val="0"/>
      <w:marBottom w:val="0"/>
      <w:divBdr>
        <w:top w:val="none" w:sz="0" w:space="0" w:color="auto"/>
        <w:left w:val="none" w:sz="0" w:space="0" w:color="auto"/>
        <w:bottom w:val="none" w:sz="0" w:space="0" w:color="auto"/>
        <w:right w:val="none" w:sz="0" w:space="0" w:color="auto"/>
      </w:divBdr>
    </w:div>
    <w:div w:id="366490018">
      <w:bodyDiv w:val="1"/>
      <w:marLeft w:val="0"/>
      <w:marRight w:val="0"/>
      <w:marTop w:val="0"/>
      <w:marBottom w:val="0"/>
      <w:divBdr>
        <w:top w:val="none" w:sz="0" w:space="0" w:color="auto"/>
        <w:left w:val="none" w:sz="0" w:space="0" w:color="auto"/>
        <w:bottom w:val="none" w:sz="0" w:space="0" w:color="auto"/>
        <w:right w:val="none" w:sz="0" w:space="0" w:color="auto"/>
      </w:divBdr>
    </w:div>
    <w:div w:id="802894860">
      <w:bodyDiv w:val="1"/>
      <w:marLeft w:val="0"/>
      <w:marRight w:val="0"/>
      <w:marTop w:val="0"/>
      <w:marBottom w:val="0"/>
      <w:divBdr>
        <w:top w:val="none" w:sz="0" w:space="0" w:color="auto"/>
        <w:left w:val="none" w:sz="0" w:space="0" w:color="auto"/>
        <w:bottom w:val="none" w:sz="0" w:space="0" w:color="auto"/>
        <w:right w:val="none" w:sz="0" w:space="0" w:color="auto"/>
      </w:divBdr>
    </w:div>
    <w:div w:id="807740887">
      <w:bodyDiv w:val="1"/>
      <w:marLeft w:val="0"/>
      <w:marRight w:val="0"/>
      <w:marTop w:val="0"/>
      <w:marBottom w:val="0"/>
      <w:divBdr>
        <w:top w:val="none" w:sz="0" w:space="0" w:color="auto"/>
        <w:left w:val="none" w:sz="0" w:space="0" w:color="auto"/>
        <w:bottom w:val="none" w:sz="0" w:space="0" w:color="auto"/>
        <w:right w:val="none" w:sz="0" w:space="0" w:color="auto"/>
      </w:divBdr>
    </w:div>
    <w:div w:id="879128698">
      <w:bodyDiv w:val="1"/>
      <w:marLeft w:val="0"/>
      <w:marRight w:val="0"/>
      <w:marTop w:val="0"/>
      <w:marBottom w:val="0"/>
      <w:divBdr>
        <w:top w:val="none" w:sz="0" w:space="0" w:color="auto"/>
        <w:left w:val="none" w:sz="0" w:space="0" w:color="auto"/>
        <w:bottom w:val="none" w:sz="0" w:space="0" w:color="auto"/>
        <w:right w:val="none" w:sz="0" w:space="0" w:color="auto"/>
      </w:divBdr>
    </w:div>
    <w:div w:id="936670333">
      <w:bodyDiv w:val="1"/>
      <w:marLeft w:val="0"/>
      <w:marRight w:val="0"/>
      <w:marTop w:val="0"/>
      <w:marBottom w:val="0"/>
      <w:divBdr>
        <w:top w:val="none" w:sz="0" w:space="0" w:color="auto"/>
        <w:left w:val="none" w:sz="0" w:space="0" w:color="auto"/>
        <w:bottom w:val="none" w:sz="0" w:space="0" w:color="auto"/>
        <w:right w:val="none" w:sz="0" w:space="0" w:color="auto"/>
      </w:divBdr>
    </w:div>
    <w:div w:id="1122382884">
      <w:bodyDiv w:val="1"/>
      <w:marLeft w:val="0"/>
      <w:marRight w:val="0"/>
      <w:marTop w:val="0"/>
      <w:marBottom w:val="0"/>
      <w:divBdr>
        <w:top w:val="none" w:sz="0" w:space="0" w:color="auto"/>
        <w:left w:val="none" w:sz="0" w:space="0" w:color="auto"/>
        <w:bottom w:val="none" w:sz="0" w:space="0" w:color="auto"/>
        <w:right w:val="none" w:sz="0" w:space="0" w:color="auto"/>
      </w:divBdr>
    </w:div>
    <w:div w:id="1183784809">
      <w:bodyDiv w:val="1"/>
      <w:marLeft w:val="0"/>
      <w:marRight w:val="0"/>
      <w:marTop w:val="0"/>
      <w:marBottom w:val="0"/>
      <w:divBdr>
        <w:top w:val="none" w:sz="0" w:space="0" w:color="auto"/>
        <w:left w:val="none" w:sz="0" w:space="0" w:color="auto"/>
        <w:bottom w:val="none" w:sz="0" w:space="0" w:color="auto"/>
        <w:right w:val="none" w:sz="0" w:space="0" w:color="auto"/>
      </w:divBdr>
    </w:div>
    <w:div w:id="1228496320">
      <w:bodyDiv w:val="1"/>
      <w:marLeft w:val="0"/>
      <w:marRight w:val="0"/>
      <w:marTop w:val="0"/>
      <w:marBottom w:val="0"/>
      <w:divBdr>
        <w:top w:val="none" w:sz="0" w:space="0" w:color="auto"/>
        <w:left w:val="none" w:sz="0" w:space="0" w:color="auto"/>
        <w:bottom w:val="none" w:sz="0" w:space="0" w:color="auto"/>
        <w:right w:val="none" w:sz="0" w:space="0" w:color="auto"/>
      </w:divBdr>
    </w:div>
    <w:div w:id="1264991208">
      <w:bodyDiv w:val="1"/>
      <w:marLeft w:val="0"/>
      <w:marRight w:val="0"/>
      <w:marTop w:val="0"/>
      <w:marBottom w:val="0"/>
      <w:divBdr>
        <w:top w:val="none" w:sz="0" w:space="0" w:color="auto"/>
        <w:left w:val="none" w:sz="0" w:space="0" w:color="auto"/>
        <w:bottom w:val="none" w:sz="0" w:space="0" w:color="auto"/>
        <w:right w:val="none" w:sz="0" w:space="0" w:color="auto"/>
      </w:divBdr>
    </w:div>
    <w:div w:id="1364746604">
      <w:bodyDiv w:val="1"/>
      <w:marLeft w:val="0"/>
      <w:marRight w:val="0"/>
      <w:marTop w:val="0"/>
      <w:marBottom w:val="0"/>
      <w:divBdr>
        <w:top w:val="none" w:sz="0" w:space="0" w:color="auto"/>
        <w:left w:val="none" w:sz="0" w:space="0" w:color="auto"/>
        <w:bottom w:val="none" w:sz="0" w:space="0" w:color="auto"/>
        <w:right w:val="none" w:sz="0" w:space="0" w:color="auto"/>
      </w:divBdr>
    </w:div>
    <w:div w:id="1759207249">
      <w:bodyDiv w:val="1"/>
      <w:marLeft w:val="0"/>
      <w:marRight w:val="0"/>
      <w:marTop w:val="0"/>
      <w:marBottom w:val="0"/>
      <w:divBdr>
        <w:top w:val="none" w:sz="0" w:space="0" w:color="auto"/>
        <w:left w:val="none" w:sz="0" w:space="0" w:color="auto"/>
        <w:bottom w:val="none" w:sz="0" w:space="0" w:color="auto"/>
        <w:right w:val="none" w:sz="0" w:space="0" w:color="auto"/>
      </w:divBdr>
    </w:div>
    <w:div w:id="1937126731">
      <w:bodyDiv w:val="1"/>
      <w:marLeft w:val="0"/>
      <w:marRight w:val="0"/>
      <w:marTop w:val="0"/>
      <w:marBottom w:val="0"/>
      <w:divBdr>
        <w:top w:val="none" w:sz="0" w:space="0" w:color="auto"/>
        <w:left w:val="none" w:sz="0" w:space="0" w:color="auto"/>
        <w:bottom w:val="none" w:sz="0" w:space="0" w:color="auto"/>
        <w:right w:val="none" w:sz="0" w:space="0" w:color="auto"/>
      </w:divBdr>
    </w:div>
    <w:div w:id="2002005279">
      <w:bodyDiv w:val="1"/>
      <w:marLeft w:val="0"/>
      <w:marRight w:val="0"/>
      <w:marTop w:val="0"/>
      <w:marBottom w:val="0"/>
      <w:divBdr>
        <w:top w:val="none" w:sz="0" w:space="0" w:color="auto"/>
        <w:left w:val="none" w:sz="0" w:space="0" w:color="auto"/>
        <w:bottom w:val="none" w:sz="0" w:space="0" w:color="auto"/>
        <w:right w:val="none" w:sz="0" w:space="0" w:color="auto"/>
      </w:divBdr>
    </w:div>
    <w:div w:id="201264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1627</ap:Words>
  <ap:Characters>8954</ap:Characters>
  <ap:DocSecurity>0</ap:DocSecurity>
  <ap:Lines>74</ap:Lines>
  <ap:Paragraphs>21</ap:Paragraphs>
  <ap:ScaleCrop>false</ap:ScaleCrop>
  <ap:HeadingPairs>
    <vt:vector baseType="variant" size="2">
      <vt:variant>
        <vt:lpstr>Title</vt:lpstr>
      </vt:variant>
      <vt:variant>
        <vt:i4>1</vt:i4>
      </vt:variant>
    </vt:vector>
  </ap:HeadingPairs>
  <ap:TitlesOfParts>
    <vt:vector baseType="lpstr" size="1">
      <vt:lpstr>Uitwerkingsbrief BHOS 2022 (maartbrief)</vt:lpstr>
    </vt:vector>
  </ap:TitlesOfParts>
  <ap:LinksUpToDate>false</ap:LinksUpToDate>
  <ap:CharactersWithSpaces>10560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2024-11-06T18:41:00.0000000Z</lastPrinted>
  <dcterms:created xsi:type="dcterms:W3CDTF">2025-03-12T11:53:00.0000000Z</dcterms:created>
  <dcterms:modified xsi:type="dcterms:W3CDTF">2025-03-12T11:53:00.0000000Z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DepartementDirectie">
    <vt:lpwstr>2;#FEZ|373dcec0-742b-4b0b-82fd-da9f3dd3c25f</vt:lpwstr>
  </property>
  <property fmtid="{D5CDD505-2E9C-101B-9397-08002B2CF9AE}" pid="4" name="_dlc_DocIdItemGuid">
    <vt:lpwstr>f2bd54f8-e006-4456-b3a8-8616cd7d11cd</vt:lpwstr>
  </property>
  <property fmtid="{D5CDD505-2E9C-101B-9397-08002B2CF9AE}" pid="5" name="_docset_NoMedatataSyncRequired">
    <vt:lpwstr>False</vt:lpwstr>
  </property>
  <property fmtid="{D5CDD505-2E9C-101B-9397-08002B2CF9AE}" pid="6" name="BZ_Country">
    <vt:lpwstr>10;#Not applicable|ec01d90b-9d0f-4785-8785-e1ea615196bf</vt:lpwstr>
  </property>
  <property fmtid="{D5CDD505-2E9C-101B-9397-08002B2CF9AE}" pid="7" name="BZ_Classification">
    <vt:lpwstr>4;#UNCLASSIFIED|d92c6340-bc14-4cb2-a9a6-6deda93c493b;#5;#NO MARKING|879e64ec-6597-483b-94db-f5f70afd7299</vt:lpwstr>
  </property>
  <property fmtid="{D5CDD505-2E9C-101B-9397-08002B2CF9AE}" pid="8" name="BZ_Forum">
    <vt:lpwstr>3;#Not applicable|0049e722-bfb1-4a3f-9d08-af7366a9af40</vt:lpwstr>
  </property>
  <property fmtid="{D5CDD505-2E9C-101B-9397-08002B2CF9AE}" pid="9" name="BZ_Theme">
    <vt:lpwstr>9;#Budget and accountability|72935488-e8d7-4765-95c3-88216b1ea696</vt:lpwstr>
  </property>
  <property fmtid="{D5CDD505-2E9C-101B-9397-08002B2CF9AE}" pid="10" name="MSIP_Label_f5339f15-c483-4670-87f9-f365ba551dce_Enabled">
    <vt:lpwstr>true</vt:lpwstr>
  </property>
  <property fmtid="{D5CDD505-2E9C-101B-9397-08002B2CF9AE}" pid="11" name="MSIP_Label_f5339f15-c483-4670-87f9-f365ba551dce_SetDate">
    <vt:lpwstr>2022-03-09T15:04:38Z</vt:lpwstr>
  </property>
  <property fmtid="{D5CDD505-2E9C-101B-9397-08002B2CF9AE}" pid="12" name="MSIP_Label_f5339f15-c483-4670-87f9-f365ba551dce_Method">
    <vt:lpwstr>Standard</vt:lpwstr>
  </property>
  <property fmtid="{D5CDD505-2E9C-101B-9397-08002B2CF9AE}" pid="13" name="MSIP_Label_f5339f15-c483-4670-87f9-f365ba551dce_Name">
    <vt:lpwstr>FIN-IRF-Dep. V.</vt:lpwstr>
  </property>
  <property fmtid="{D5CDD505-2E9C-101B-9397-08002B2CF9AE}" pid="14" name="MSIP_Label_f5339f15-c483-4670-87f9-f365ba551dce_SiteId">
    <vt:lpwstr>84712536-f524-40a0-913b-5d25ba502732</vt:lpwstr>
  </property>
  <property fmtid="{D5CDD505-2E9C-101B-9397-08002B2CF9AE}" pid="15" name="MSIP_Label_f5339f15-c483-4670-87f9-f365ba551dce_ActionId">
    <vt:lpwstr>571c4808-44bc-49d0-b581-4eaa6501126e</vt:lpwstr>
  </property>
  <property fmtid="{D5CDD505-2E9C-101B-9397-08002B2CF9AE}" pid="16" name="MSIP_Label_f5339f15-c483-4670-87f9-f365ba551dce_ContentBits">
    <vt:lpwstr>0</vt:lpwstr>
  </property>
  <property fmtid="{D5CDD505-2E9C-101B-9397-08002B2CF9AE}" pid="17" name="BZForumOrganisation">
    <vt:lpwstr>2;#Not applicable|0049e722-bfb1-4a3f-9d08-af7366a9af40</vt:lpwstr>
  </property>
  <property fmtid="{D5CDD505-2E9C-101B-9397-08002B2CF9AE}" pid="18" name="BZMarking">
    <vt:lpwstr>5;#NO MARKING|0a4eb9ae-69eb-4d9e-b573-43ab99ef8592</vt:lpwstr>
  </property>
  <property fmtid="{D5CDD505-2E9C-101B-9397-08002B2CF9AE}" pid="19" name="BZClassification">
    <vt:lpwstr>4;#UNCLASSIFIED (U)|284e6a62-15ab-4017-be27-a1e965f4e940</vt:lpwstr>
  </property>
  <property fmtid="{D5CDD505-2E9C-101B-9397-08002B2CF9AE}" pid="20" name="BZTheme">
    <vt:lpwstr>1;#Not applicable|ec01d90b-9d0f-4785-8785-e1ea615196bf</vt:lpwstr>
  </property>
  <property fmtid="{D5CDD505-2E9C-101B-9397-08002B2CF9AE}" pid="21" name="BZCountryState">
    <vt:lpwstr>3;#Not applicable|ec01d90b-9d0f-4785-8785-e1ea615196bf</vt:lpwstr>
  </property>
</Properties>
</file>