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2025Z04498</w:t>
        <w:br/>
      </w:r>
      <w:proofErr w:type="spellEnd"/>
    </w:p>
    <w:p>
      <w:pPr>
        <w:pStyle w:val="Normal"/>
        <w:rPr>
          <w:b w:val="1"/>
          <w:bCs w:val="1"/>
        </w:rPr>
      </w:pPr>
      <w:r w:rsidR="250AE766">
        <w:rPr>
          <w:b w:val="0"/>
          <w:bCs w:val="0"/>
        </w:rPr>
        <w:t>(ingezonden 12 maart 2025)</w:t>
        <w:br/>
      </w:r>
    </w:p>
    <w:p>
      <w:r>
        <w:t xml:space="preserve">Vragen van de leden Inge van Dijk en Vedder (beiden CDA) aan de minister van Volkshuisvesting en Ruimtelijke Ordening en de staatssecretaris van Financiën over het bericht ’Combinatie box 3 en Wet betaalbare huur belangrijkste reden om uit te ponden'</w:t>
      </w:r>
      <w:r>
        <w:br/>
      </w:r>
    </w:p>
    <w:p>
      <w:r>
        <w:t xml:space="preserve">  </w:t>
      </w:r>
      <w:r>
        <w:br/>
      </w:r>
    </w:p>
    <w:p>
      <w:pPr>
        <w:pStyle w:val="ListParagraph"/>
        <w:numPr>
          <w:ilvl w:val="0"/>
          <w:numId w:val="100471260"/>
        </w:numPr>
        <w:ind w:left="360"/>
      </w:pPr>
      <w:r>
        <w:t>Passen de resultaten van de peiling van Vastgoedinsider.nl onder 368 respondenten bij uw beeld van de belangrijkste redenen voor uitponding van verhuurd vastgoed met een zwaartepunt bij Box 3, de combinatie Box 3 en de Wet Betaalbare Huur? 1)</w:t>
      </w:r>
      <w:r>
        <w:br/>
      </w:r>
    </w:p>
    <w:p>
      <w:pPr>
        <w:pStyle w:val="ListParagraph"/>
        <w:numPr>
          <w:ilvl w:val="0"/>
          <w:numId w:val="100471260"/>
        </w:numPr>
        <w:ind w:left="360"/>
      </w:pPr>
      <w:r>
        <w:t>Deelt u de mening dat, ondanks dat dit geen formele steekproef betreft, deze peiling onder vastgoedbeleggers wel een signaal geeft over de belangrijkste redenen waarom vastgoedbeleggers overgaan tot uitponding?  </w:t>
      </w:r>
      <w:r>
        <w:br/>
      </w:r>
    </w:p>
    <w:p>
      <w:pPr>
        <w:pStyle w:val="ListParagraph"/>
        <w:numPr>
          <w:ilvl w:val="0"/>
          <w:numId w:val="100471260"/>
        </w:numPr>
        <w:ind w:left="360"/>
      </w:pPr>
      <w:r>
        <w:t>Bent u het met ons eens dat de redenen voor de verkoopgolf zo snel mogelijk ook door de ministeries van Volkshuisvesting en Ruimtelijke Ordening én Financiën moeten worden onderzocht, zowel door gesprekken met de sector, als ook door actualisering van het onderzoek naar de effecten van stapeling van fiscale en niet-fiscale maatregelen, zodat we zo snel mogelijk gerichte maatregelen kunnen nemen? </w:t>
      </w:r>
      <w:r>
        <w:br/>
      </w:r>
    </w:p>
    <w:p>
      <w:pPr>
        <w:pStyle w:val="ListParagraph"/>
        <w:numPr>
          <w:ilvl w:val="0"/>
          <w:numId w:val="100471260"/>
        </w:numPr>
        <w:ind w:left="360"/>
      </w:pPr>
      <w:r>
        <w:t>Indien ja, op welke termijn kan de Kamer uitkomsten van een dergelijk stapelingsonderzoek verwachten? </w:t>
      </w:r>
      <w:r>
        <w:br/>
      </w:r>
    </w:p>
    <w:p>
      <w:pPr>
        <w:pStyle w:val="ListParagraph"/>
        <w:numPr>
          <w:ilvl w:val="0"/>
          <w:numId w:val="100471260"/>
        </w:numPr>
        <w:ind w:left="360"/>
      </w:pPr>
      <w:r>
        <w:t>Hoe kijkt u naar aanpassingen in de voorgenomen tegenbewijsregeling onder het overbruggingsstelsel op korte termijn, waar ook een meerderheid van de Kamer om heeft gevraagd, om verdere uitponding te voorkomen?</w:t>
      </w:r>
      <w:r>
        <w:br/>
      </w:r>
    </w:p>
    <w:p>
      <w:pPr>
        <w:pStyle w:val="ListParagraph"/>
        <w:numPr>
          <w:ilvl w:val="0"/>
          <w:numId w:val="100471260"/>
        </w:numPr>
        <w:ind w:left="360"/>
      </w:pPr>
      <w:r>
        <w:t>Indien u niet bereid bent hier stappen op te zetten, wat is hiervan de reden? </w:t>
      </w:r>
      <w:r>
        <w:br/>
      </w:r>
    </w:p>
    <w:p>
      <w:r>
        <w:t xml:space="preserve"> </w:t>
      </w:r>
      <w:r>
        <w:br/>
      </w:r>
    </w:p>
    <w:p>
      <w:r>
        <w:t xml:space="preserve">1) Vastgoedinsider.nl, 9 maart 2025, 'Combinatie box 3 en Wet betaalbare huur belangrijkste reden om uit te ponden – Ministeries zullen samen moeten werken', https://vastgoedinsider.nl/combinatie-box-3-en-wet-betaalbare-huur-belangrijkste-reden-om-uit-te-ponden/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