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2025Z04499</w:t>
        <w:br/>
      </w:r>
      <w:proofErr w:type="spellEnd"/>
    </w:p>
    <w:p>
      <w:pPr>
        <w:pStyle w:val="Normal"/>
        <w:rPr>
          <w:b w:val="1"/>
          <w:bCs w:val="1"/>
        </w:rPr>
      </w:pPr>
      <w:r w:rsidR="250AE766">
        <w:rPr>
          <w:b w:val="0"/>
          <w:bCs w:val="0"/>
        </w:rPr>
        <w:t>(ingezonden 12 maart 2025)</w:t>
        <w:br/>
      </w:r>
    </w:p>
    <w:p>
      <w:r>
        <w:t xml:space="preserve">
          Vragen van het lid Welzijn (Nieuw Sociaal Contract) aan de minister van Volkshuisvesting en Ruimtelijke Ordening over het artikel 'Gemeente checkt of huurders niet te veel betalen; ‘Het is bij de beesten af’' 
          <w:br/>
        </w:t>
      </w:r>
      <w:r>
        <w:br/>
      </w:r>
    </w:p>
    <w:p>
      <w:pPr>
        <w:pStyle w:val="ListParagraph"/>
        <w:numPr>
          <w:ilvl w:val="0"/>
          <w:numId w:val="100471270"/>
        </w:numPr>
        <w:ind w:left="360"/>
      </w:pPr>
      <w:r>
        <w:t>Heeft u kennisgenomen van het NOS-artikel? 1) </w:t>
      </w:r>
      <w:r>
        <w:br/>
      </w:r>
    </w:p>
    <w:p>
      <w:pPr>
        <w:pStyle w:val="ListParagraph"/>
        <w:numPr>
          <w:ilvl w:val="0"/>
          <w:numId w:val="100471270"/>
        </w:numPr>
        <w:ind w:left="360"/>
      </w:pPr>
      <w:r>
        <w:t>Wat vindt u van situaties waarin huurders naast de huur die ze betalen daarboven op een bedrag onder de radar af moeten staan aan de verhuurder?  </w:t>
      </w:r>
      <w:r>
        <w:br/>
      </w:r>
    </w:p>
    <w:p>
      <w:pPr>
        <w:pStyle w:val="ListParagraph"/>
        <w:numPr>
          <w:ilvl w:val="0"/>
          <w:numId w:val="100471270"/>
        </w:numPr>
        <w:ind w:left="360"/>
      </w:pPr>
      <w:r>
        <w:t>Kunt u aangeven in welke mate deze situaties, waarbij huurders onder de radar een extra bedrag betalen aan de verhuurders, zich ontwikkelen c.q. zijn verergerd?  </w:t>
      </w:r>
      <w:r>
        <w:br/>
      </w:r>
    </w:p>
    <w:p>
      <w:pPr>
        <w:pStyle w:val="ListParagraph"/>
        <w:numPr>
          <w:ilvl w:val="0"/>
          <w:numId w:val="100471270"/>
        </w:numPr>
        <w:ind w:left="360"/>
      </w:pPr>
      <w:r>
        <w:t>Deelt u de zorgen over wat er in de praktijk met huurders gebeurt, ondanks de beschermende werking die uit moet gaan van wetten als de Wet goed verhuurderschap en de Wet betaalbare huur en kunt u uw antwoord onderbouwen? </w:t>
      </w:r>
      <w:r>
        <w:br/>
      </w:r>
    </w:p>
    <w:p>
      <w:pPr>
        <w:pStyle w:val="ListParagraph"/>
        <w:numPr>
          <w:ilvl w:val="0"/>
          <w:numId w:val="100471270"/>
        </w:numPr>
        <w:ind w:left="360"/>
      </w:pPr>
      <w:r>
        <w:t>Kunt u aangeven welke concrete resultaten er geboekt zijn met het ingaan van de Wet goed verhuurderschap op 1 juli 2023? </w:t>
      </w:r>
      <w:r>
        <w:br/>
      </w:r>
    </w:p>
    <w:p>
      <w:pPr>
        <w:pStyle w:val="ListParagraph"/>
        <w:numPr>
          <w:ilvl w:val="0"/>
          <w:numId w:val="100471270"/>
        </w:numPr>
        <w:ind w:left="360"/>
      </w:pPr>
      <w:r>
        <w:t>Bent u bereid om de Wet goed verhuurderschap na twee jaar te evalueren in plaats van na vijf jaar, zoals in de evaluatiebepaling van de wet staat en kunt u uw antwoord onderbouwen? </w:t>
      </w:r>
      <w:r>
        <w:br/>
      </w:r>
    </w:p>
    <w:p>
      <w:pPr>
        <w:pStyle w:val="ListParagraph"/>
        <w:numPr>
          <w:ilvl w:val="0"/>
          <w:numId w:val="100471270"/>
        </w:numPr>
        <w:ind w:left="360"/>
      </w:pPr>
      <w:r>
        <w:t>Kunt u aangeven waarom u wel of niet tevreden bent met de geboekte resultaten van de Wet goed verhuurderschap? </w:t>
      </w:r>
      <w:r>
        <w:br/>
      </w:r>
    </w:p>
    <w:p>
      <w:pPr>
        <w:pStyle w:val="ListParagraph"/>
        <w:numPr>
          <w:ilvl w:val="0"/>
          <w:numId w:val="100471270"/>
        </w:numPr>
        <w:ind w:left="360"/>
      </w:pPr>
      <w:r>
        <w:t>Kunt u aangeven in hoeverre alle gemeenten in Nederland voorzien zijn van een meldpunt waar huurders bij terecht kunnen? </w:t>
      </w:r>
      <w:r>
        <w:br/>
      </w:r>
    </w:p>
    <w:p>
      <w:pPr>
        <w:pStyle w:val="ListParagraph"/>
        <w:numPr>
          <w:ilvl w:val="0"/>
          <w:numId w:val="100471270"/>
        </w:numPr>
        <w:ind w:left="360"/>
      </w:pPr>
      <w:r>
        <w:t>Kunt u aangeven hoeveel huurders zich gemeld hebben bij gemeenten en in hoeveel gevallen er actief opgetreden is tegen verhuurders die te hoge huren van hun huurders verlangden? </w:t>
      </w:r>
      <w:r>
        <w:br/>
      </w:r>
    </w:p>
    <w:p>
      <w:pPr>
        <w:pStyle w:val="ListParagraph"/>
        <w:numPr>
          <w:ilvl w:val="0"/>
          <w:numId w:val="100471270"/>
        </w:numPr>
        <w:ind w:left="360"/>
      </w:pPr>
      <w:r>
        <w:t>Welke bestuursrechtelijke instrumenten staan gemeenten precies ter beschikking om op te kunnen treden tegen verhuurders die te hoge (woeker)huren vragen c.q. huren die niet in overeenstemming zijn met het puntensysteem van het woningwaarderingsstelsel?  </w:t>
      </w:r>
      <w:r>
        <w:br/>
      </w:r>
    </w:p>
    <w:p>
      <w:pPr>
        <w:pStyle w:val="ListParagraph"/>
        <w:numPr>
          <w:ilvl w:val="0"/>
          <w:numId w:val="100471270"/>
        </w:numPr>
        <w:ind w:left="360"/>
      </w:pPr>
      <w:r>
        <w:t>Hoe ziet u de relatie tussen enerzijds de gemeente waarvan het college geacht wordt in voorkomend geval op te treden op grond van de Wet betaalbare huur en anderzijds de bestaande huurcommissies die daarin eveneens een taak hebben? </w:t>
      </w:r>
      <w:r>
        <w:br/>
      </w:r>
    </w:p>
    <w:p>
      <w:pPr>
        <w:pStyle w:val="ListParagraph"/>
        <w:numPr>
          <w:ilvl w:val="0"/>
          <w:numId w:val="100471270"/>
        </w:numPr>
        <w:ind w:left="360"/>
      </w:pPr>
      <w:r>
        <w:t>Wat vindt u van het gegeven dat huurders, zolang de gewenste bouwopgaven van 100.000 woningen per jaar niet gerealiseerd worden, afhankelijk zijn van handhaving? </w:t>
      </w:r>
      <w:r>
        <w:br/>
      </w:r>
    </w:p>
    <w:p>
      <w:pPr>
        <w:pStyle w:val="ListParagraph"/>
        <w:numPr>
          <w:ilvl w:val="0"/>
          <w:numId w:val="100471270"/>
        </w:numPr>
        <w:ind w:left="360"/>
      </w:pPr>
      <w:r>
        <w:t>Hebben de gemeenten de capaciteit om te (blijven) handhaven en huurders die nu ten onrechte uitgeknepen worden te beschermen tegenover verhuurders met kwade bedoelingen? </w:t>
      </w:r>
      <w:r>
        <w:br/>
      </w:r>
    </w:p>
    <w:p>
      <w:pPr>
        <w:pStyle w:val="ListParagraph"/>
        <w:numPr>
          <w:ilvl w:val="0"/>
          <w:numId w:val="100471270"/>
        </w:numPr>
        <w:ind w:left="360"/>
      </w:pPr>
      <w:r>
        <w:t>Kunt u deze vragen één voor één en binnen drie weken beantwoorden? </w:t>
      </w:r>
      <w:r>
        <w:br/>
      </w:r>
    </w:p>
    <w:p>
      <w:r>
        <w:t xml:space="preserve"> </w:t>
      </w:r>
      <w:r>
        <w:br/>
      </w:r>
    </w:p>
    <w:p>
      <w:r>
        <w:t xml:space="preserve">[1] NOS, 10 maart 2025, NOS Artikel “Gemeente checkt of huurders niet te veel betalen; ‘Het is bij de beesten af’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