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2025Z04501</w:t>
        <w:br/>
      </w:r>
      <w:proofErr w:type="spellEnd"/>
    </w:p>
    <w:p>
      <w:pPr>
        <w:pStyle w:val="Normal"/>
        <w:rPr>
          <w:b w:val="1"/>
          <w:bCs w:val="1"/>
        </w:rPr>
      </w:pPr>
      <w:r w:rsidR="250AE766">
        <w:rPr>
          <w:b w:val="0"/>
          <w:bCs w:val="0"/>
        </w:rPr>
        <w:t>(ingezonden 12 maart 2025)</w:t>
        <w:br/>
      </w:r>
    </w:p>
    <w:p>
      <w:r>
        <w:t xml:space="preserve">Vragen van de leden Erkens (VVD) en Grinwis (ChristenUnie) aan de minister van Klimaat en Groene Groei over het bericht 'Zonnestroom is in 2027 geen cent meer waard, dus paneelbezitters zijn de dupe'</w:t>
      </w:r>
      <w:r>
        <w:br/>
      </w:r>
    </w:p>
    <w:p>
      <w:r>
        <w:t xml:space="preserve"> </w:t>
      </w:r>
      <w:r>
        <w:br/>
      </w:r>
    </w:p>
    <w:p>
      <w:pPr>
        <w:pStyle w:val="ListParagraph"/>
        <w:numPr>
          <w:ilvl w:val="0"/>
          <w:numId w:val="100471290"/>
        </w:numPr>
        <w:ind w:left="360"/>
      </w:pPr>
      <w:r>
        <w:t>Bent u bekend met het bericht 'Zonnestroom is in 2027 geen cent meer waard, dus paneelbezitters zijn de dupe'?[1]</w:t>
      </w:r>
      <w:r>
        <w:br/>
      </w:r>
    </w:p>
    <w:p>
      <w:pPr>
        <w:pStyle w:val="ListParagraph"/>
        <w:numPr>
          <w:ilvl w:val="0"/>
          <w:numId w:val="100471290"/>
        </w:numPr>
        <w:ind w:left="360"/>
      </w:pPr>
      <w:r>
        <w:t>Deelt u de mening dat consumenten een eerlijke terugleververgoeding verdienen?</w:t>
      </w:r>
      <w:r>
        <w:br/>
      </w:r>
      <w:r>
        <w:t>
	 </w:t>
      </w:r>
      <w:r>
        <w:br/>
      </w:r>
    </w:p>
    <w:p>
      <w:pPr>
        <w:pStyle w:val="ListParagraph"/>
        <w:numPr>
          <w:ilvl w:val="0"/>
          <w:numId w:val="100471290"/>
        </w:numPr>
        <w:ind w:left="360"/>
      </w:pPr>
      <w:r>
        <w:t>Hoe beoordeelt u de voorwaarden van Greenchoice voor 2027 waar zowel de terugleverkosten als terugleververgoeding dalen, waarbij er slechts  0,25 cent per Kilowattuur (kWh) verschil tussen zit? Hoe kijkt u naar het feit dat consumenten nauwelijks nog iets overhouden aan het terugleveren van zonnestroom hierdoor?</w:t>
      </w:r>
      <w:r>
        <w:br/>
      </w:r>
    </w:p>
    <w:p>
      <w:pPr>
        <w:pStyle w:val="ListParagraph"/>
        <w:numPr>
          <w:ilvl w:val="0"/>
          <w:numId w:val="100471290"/>
        </w:numPr>
        <w:ind w:left="360"/>
      </w:pPr>
      <w:r>
        <w:t>Kunt u aangeven hoe dit verschil rijmt met de eerdere schattingen van een netto waarde van 5 cent per kWh in 2027?</w:t>
      </w:r>
      <w:r>
        <w:br/>
      </w:r>
      <w:r>
        <w:t>
	 </w:t>
      </w:r>
      <w:r>
        <w:br/>
      </w:r>
    </w:p>
    <w:p>
      <w:pPr>
        <w:pStyle w:val="ListParagraph"/>
        <w:numPr>
          <w:ilvl w:val="0"/>
          <w:numId w:val="100471290"/>
        </w:numPr>
        <w:ind w:left="360"/>
      </w:pPr>
      <w:r>
        <w:t> In hoeverre acht u de voorwaarden van Greenchoice als ‘redelijke vergoeding’?</w:t>
      </w:r>
      <w:r>
        <w:br/>
      </w:r>
      <w:r>
        <w:t>
	 </w:t>
      </w:r>
      <w:r>
        <w:br/>
      </w:r>
    </w:p>
    <w:p>
      <w:pPr>
        <w:pStyle w:val="ListParagraph"/>
        <w:numPr>
          <w:ilvl w:val="0"/>
          <w:numId w:val="100471290"/>
        </w:numPr>
        <w:ind w:left="360"/>
      </w:pPr>
      <w:r>
        <w:t>Hoe rijmt u de voorgestelde lage terugleververgoeding met het aangenomen amendement Grinwis c.s. (Kamerstuk 36611, nr. 17) waarin wordt gevraagd om tot 1 januari 2030 de redelijke vergoeding vast te stellen op niet minder dan 50% van voor de levering overeengekomen prijs?</w:t>
      </w:r>
      <w:r>
        <w:br/>
      </w:r>
    </w:p>
    <w:p>
      <w:pPr>
        <w:pStyle w:val="ListParagraph"/>
        <w:numPr>
          <w:ilvl w:val="0"/>
          <w:numId w:val="100471290"/>
        </w:numPr>
        <w:ind w:left="360"/>
      </w:pPr>
      <w:r>
        <w:t>Bent u van mening dat er op dit moment voldoende controle is op energieleveranciers? Bent u van mening dat de Autoriteit Consument &amp; Markt (ACM) voldoende kan optreden conform het aangenomen amendement Erkens c.s. (Kamerstuk 36611, nr. 16) wanneer toch kosten voor saldering in rekening worden gebracht?</w:t>
      </w:r>
      <w:r>
        <w:br/>
      </w:r>
    </w:p>
    <w:p>
      <w:pPr>
        <w:pStyle w:val="ListParagraph"/>
        <w:numPr>
          <w:ilvl w:val="0"/>
          <w:numId w:val="100471290"/>
        </w:numPr>
        <w:ind w:left="360"/>
      </w:pPr>
      <w:r>
        <w:t>Hoe beoordeelt u de lage terugleververgoeding van Greenchoice in het licht van de wettelijke verplichting middels het amendement Erkens (Kamerstuk 35594, nr. 22) dat de minister vanaf 2027 tweejaarlijks een redelijke vergoeding vaststelt op advies van de ACM? Acht u 5,4 cent per kWh passend bij de belangen van afnemers volgens artikel 95a, eerste lid, van de Energiewet?</w:t>
      </w:r>
      <w:r>
        <w:br/>
      </w:r>
    </w:p>
    <w:p>
      <w:pPr>
        <w:pStyle w:val="ListParagraph"/>
        <w:numPr>
          <w:ilvl w:val="0"/>
          <w:numId w:val="100471290"/>
        </w:numPr>
        <w:ind w:left="360"/>
      </w:pPr>
      <w:r>
        <w:t>In hoeverre acht u de transparantie van andere partijen, naast Greenchoice, over de voorwaarden per 2027 van belang? Hoe ziet u dit in het licht van de verplichting om objectief aantoonbare kosten verbonden aan het hebben van zonnepanelen op een vergelijkbare wijze transparant te maken zodat huishoudens kunnen kiezen voor het beste aanbod (Kamerstuk 36611, nr. 16)?</w:t>
      </w:r>
      <w:r>
        <w:br/>
      </w:r>
    </w:p>
    <w:p>
      <w:pPr>
        <w:pStyle w:val="ListParagraph"/>
        <w:numPr>
          <w:ilvl w:val="0"/>
          <w:numId w:val="100471290"/>
        </w:numPr>
        <w:ind w:left="360"/>
      </w:pPr>
      <w:r>
        <w:t>In hoeverre voldoen de door Greenchoice gestelde terugleverkosten aan de beperkingen die de Energiewet hieraan stelt? Kan Greenchoice onderbouwen dat de kosten direct gerelateerd zijn aan het terugleveren van zelfopgewekte hernieuwbare elektriciteit door actieve afnemers? </w:t>
      </w:r>
      <w:r>
        <w:br/>
      </w:r>
      <w:r>
        <w:t>
	 </w:t>
      </w:r>
      <w:r>
        <w:br/>
      </w:r>
    </w:p>
    <w:p>
      <w:pPr>
        <w:pStyle w:val="ListParagraph"/>
        <w:numPr>
          <w:ilvl w:val="0"/>
          <w:numId w:val="100471290"/>
        </w:numPr>
        <w:ind w:left="360"/>
      </w:pPr>
      <w:r>
        <w:t>Hoe bent u van plan te waarborgen dat consumenten worden beschermd tegen lage terugleververgoedingen?</w:t>
      </w:r>
      <w:r>
        <w:br/>
      </w:r>
    </w:p>
    <w:p>
      <w:pPr>
        <w:pStyle w:val="ListParagraph"/>
        <w:numPr>
          <w:ilvl w:val="0"/>
          <w:numId w:val="100471290"/>
        </w:numPr>
        <w:ind w:left="360"/>
      </w:pPr>
      <w:r>
        <w:t>Welke stappen worden er genomen om het verschil tussen de verwachte netto waarde van 5 cent per kWh in 2027 en de werkelijke vergoeding aan consumenten aan te pakken?</w:t>
      </w:r>
      <w:r>
        <w:br/>
      </w:r>
      <w:r>
        <w:t>
	 </w:t>
      </w:r>
      <w:r>
        <w:br/>
      </w:r>
    </w:p>
    <w:p>
      <w:pPr>
        <w:pStyle w:val="ListParagraph"/>
        <w:numPr>
          <w:ilvl w:val="0"/>
          <w:numId w:val="100471290"/>
        </w:numPr>
        <w:ind w:left="360"/>
      </w:pPr>
      <w:r>
        <w:t>Wat voor maatregelen wilt u treffen om ervoor te zorgen dat de norm van 50% wordt gehaald bij de terugleververgoeding na 2027?</w:t>
      </w:r>
      <w:r>
        <w:br/>
      </w:r>
    </w:p>
    <w:p>
      <w:pPr>
        <w:pStyle w:val="ListParagraph"/>
        <w:numPr>
          <w:ilvl w:val="0"/>
          <w:numId w:val="100471290"/>
        </w:numPr>
        <w:ind w:left="360"/>
      </w:pPr>
      <w:r>
        <w:t>Welke maatregelen overweegt u om de controle op energieleveranciers te versterken en ervoor te zorgen dat de ACM voldoende kan optreden tegen onterecht in rekening gebrachte salderingskosten?    </w:t>
      </w:r>
      <w:r>
        <w:br/>
      </w:r>
    </w:p>
    <w:p>
      <w:pPr>
        <w:pStyle w:val="ListParagraph"/>
        <w:numPr>
          <w:ilvl w:val="0"/>
          <w:numId w:val="100471290"/>
        </w:numPr>
        <w:ind w:left="360"/>
      </w:pPr>
      <w:r>
        <w:t>Bent u van plan om de ACM op te roepen om de financiële overwegingen van Greenchoice te onderzoeken? Zo ja, wanneer kunnen we de uitkomsten van dit onderzoek verwachten? Zo nee, waarom niet?</w:t>
      </w:r>
      <w:r>
        <w:br/>
      </w:r>
    </w:p>
    <w:p>
      <w:pPr>
        <w:pStyle w:val="ListParagraph"/>
        <w:numPr>
          <w:ilvl w:val="0"/>
          <w:numId w:val="100471290"/>
        </w:numPr>
        <w:ind w:left="360"/>
      </w:pPr>
      <w:r>
        <w:t>Welke stappen gaat u nemen om de transparantie van energieleveranciers te verbeteren, zodat huishoudens met zonnepanelen duidelijk kunnen zien welke objectief aantoonbare kosten er verbonden zijn aan hun energiecontracten?</w:t>
      </w:r>
      <w:r>
        <w:br/>
      </w:r>
    </w:p>
    <w:p>
      <w:pPr>
        <w:pStyle w:val="ListParagraph"/>
        <w:numPr>
          <w:ilvl w:val="0"/>
          <w:numId w:val="100471290"/>
        </w:numPr>
        <w:ind w:left="360"/>
      </w:pPr>
      <w:r>
        <w:t>In hoeverre verwacht u dat andere energieleveranciers bij veranderingen in wet- en regelgeving de tarieven aanpassen ten nadele van consumenten? Welke maatregelen treft u mocht dit van toepassing zijn?</w:t>
      </w:r>
      <w:r>
        <w:br/>
      </w:r>
    </w:p>
    <w:p>
      <w:pPr>
        <w:pStyle w:val="ListParagraph"/>
        <w:numPr>
          <w:ilvl w:val="0"/>
          <w:numId w:val="100471290"/>
        </w:numPr>
        <w:ind w:left="360"/>
      </w:pPr>
      <w:r>
        <w:t>Kunt u deze vragen één voor één beantwoorden?</w:t>
      </w:r>
      <w:r>
        <w:br/>
      </w:r>
    </w:p>
    <w:p>
      <w:r>
        <w:t xml:space="preserve"> </w:t>
      </w:r>
      <w:r>
        <w:br/>
      </w:r>
    </w:p>
    <w:p>
      <w:r>
        <w:t xml:space="preserve"> </w:t>
      </w:r>
      <w:r>
        <w:br/>
      </w:r>
    </w:p>
    <w:p>
      <w:r>
        <w:t xml:space="preserve"> </w:t>
      </w:r>
      <w:r>
        <w:br/>
      </w:r>
    </w:p>
    <w:p>
      <w:r>
        <w:t xml:space="preserve">[1] AD, 11 maart 2025, “Zonnestroom is in 2027 geen cent meer waard, dus paneelbezitters zijn de dupe” (https://www.ad.nl/economie/zonnestroom-is-in-2027-geen-cent-meer-waard-dus-paneelbezitters-zijn-de-dupe~a4938d10/)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