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F1996" w:rsidR="00FF1996" w:rsidP="14DCBB0A" w:rsidRDefault="14DCBB0A" w14:paraId="086790A3" w14:textId="77777777">
      <w:pPr>
        <w:rPr>
          <w:rFonts w:ascii="Verdana" w:hAnsi="Verdana"/>
          <w:b/>
          <w:bCs/>
          <w:sz w:val="18"/>
          <w:szCs w:val="18"/>
        </w:rPr>
      </w:pPr>
      <w:r w:rsidRPr="14DCBB0A">
        <w:rPr>
          <w:rFonts w:ascii="Verdana" w:hAnsi="Verdana"/>
          <w:b/>
          <w:bCs/>
          <w:sz w:val="18"/>
          <w:szCs w:val="18"/>
        </w:rPr>
        <w:t xml:space="preserve">2025Z03240 (ingezonden 20 februari 2025) </w:t>
      </w:r>
    </w:p>
    <w:p w:rsidRPr="00FF1996" w:rsidR="00FF1996" w:rsidP="14DCBB0A" w:rsidRDefault="14DCBB0A" w14:paraId="3649ABA5" w14:textId="77777777">
      <w:pPr>
        <w:rPr>
          <w:rFonts w:ascii="Verdana" w:hAnsi="Verdana"/>
          <w:b/>
          <w:bCs/>
          <w:sz w:val="18"/>
          <w:szCs w:val="18"/>
        </w:rPr>
      </w:pPr>
      <w:r w:rsidRPr="14DCBB0A">
        <w:rPr>
          <w:rFonts w:ascii="Verdana" w:hAnsi="Verdana"/>
          <w:b/>
          <w:bCs/>
          <w:sz w:val="18"/>
          <w:szCs w:val="18"/>
        </w:rPr>
        <w:t xml:space="preserve">Vragen van het lid Aukje de Vries (VVD) aan de minister van Financiën over het bericht ‘Toezichthouders vragen versoepeling Europese bankenregels’. </w:t>
      </w:r>
    </w:p>
    <w:p w:rsidR="000C79CB" w:rsidP="14DCBB0A" w:rsidRDefault="00FF1996" w14:paraId="64C1F6CE" w14:textId="2F3C3637">
      <w:pPr>
        <w:rPr>
          <w:rFonts w:ascii="Verdana" w:hAnsi="Verdana"/>
          <w:sz w:val="18"/>
          <w:szCs w:val="18"/>
        </w:rPr>
      </w:pPr>
      <w:r w:rsidRPr="00FF1996">
        <w:rPr>
          <w:rFonts w:ascii="Verdana" w:hAnsi="Verdana"/>
          <w:b/>
          <w:bCs/>
          <w:sz w:val="18"/>
          <w:szCs w:val="18"/>
        </w:rPr>
        <w:t>Vraag 1</w:t>
      </w:r>
      <w:r>
        <w:rPr>
          <w:rFonts w:ascii="Verdana" w:hAnsi="Verdana"/>
          <w:sz w:val="18"/>
          <w:szCs w:val="18"/>
        </w:rPr>
        <w:br/>
      </w:r>
      <w:r w:rsidRPr="000C79CB">
        <w:rPr>
          <w:rFonts w:ascii="Verdana" w:hAnsi="Verdana"/>
          <w:b/>
          <w:bCs/>
          <w:sz w:val="18"/>
          <w:szCs w:val="18"/>
        </w:rPr>
        <w:t xml:space="preserve">Bent u bekend met het bericht “Toezichthouders vragen versoepeling Europese bankenregels” in het </w:t>
      </w:r>
      <w:proofErr w:type="spellStart"/>
      <w:r w:rsidRPr="000C79CB">
        <w:rPr>
          <w:rFonts w:ascii="Verdana" w:hAnsi="Verdana"/>
          <w:b/>
          <w:bCs/>
          <w:sz w:val="18"/>
          <w:szCs w:val="18"/>
        </w:rPr>
        <w:t>Financieele</w:t>
      </w:r>
      <w:proofErr w:type="spellEnd"/>
      <w:r w:rsidRPr="000C79CB">
        <w:rPr>
          <w:rFonts w:ascii="Verdana" w:hAnsi="Verdana"/>
          <w:b/>
          <w:bCs/>
          <w:sz w:val="18"/>
          <w:szCs w:val="18"/>
        </w:rPr>
        <w:t xml:space="preserve"> Dagblad van 19 februari 2025? Wat vindt u van dit bericht en welke knelpunten ziet u met betrekking tot de bankenregels?</w:t>
      </w:r>
      <w:r w:rsidRPr="000C79CB">
        <w:rPr>
          <w:rStyle w:val="Voetnootmarkering"/>
          <w:rFonts w:ascii="Verdana" w:hAnsi="Verdana"/>
          <w:b/>
          <w:bCs/>
          <w:sz w:val="18"/>
          <w:szCs w:val="18"/>
        </w:rPr>
        <w:footnoteReference w:id="1"/>
      </w:r>
      <w:r w:rsidR="00014551">
        <w:rPr>
          <w:rFonts w:ascii="Verdana" w:hAnsi="Verdana"/>
          <w:sz w:val="18"/>
          <w:szCs w:val="18"/>
        </w:rPr>
        <w:br/>
      </w:r>
      <w:r w:rsidR="00014551">
        <w:rPr>
          <w:rFonts w:ascii="Verdana" w:hAnsi="Verdana"/>
          <w:sz w:val="18"/>
          <w:szCs w:val="18"/>
        </w:rPr>
        <w:br/>
      </w:r>
      <w:r w:rsidRPr="14DCBB0A" w:rsidR="00014551">
        <w:rPr>
          <w:rFonts w:ascii="Verdana" w:hAnsi="Verdana"/>
          <w:i/>
          <w:iCs/>
          <w:sz w:val="18"/>
          <w:szCs w:val="18"/>
        </w:rPr>
        <w:t>Antwoord 1</w:t>
      </w:r>
      <w:r w:rsidR="00014551">
        <w:rPr>
          <w:rFonts w:ascii="Verdana" w:hAnsi="Verdana"/>
          <w:sz w:val="18"/>
          <w:szCs w:val="18"/>
        </w:rPr>
        <w:br/>
      </w:r>
      <w:r w:rsidR="009372DB">
        <w:rPr>
          <w:rFonts w:ascii="Verdana" w:hAnsi="Verdana"/>
          <w:sz w:val="18"/>
          <w:szCs w:val="18"/>
        </w:rPr>
        <w:t>Ik ben bekend met dit bericht. Ik vind het positief dat er aandacht is voor onnodige regeldruk en complexiteit</w:t>
      </w:r>
      <w:r w:rsidR="00C61A16">
        <w:rPr>
          <w:rFonts w:ascii="Verdana" w:hAnsi="Verdana"/>
          <w:sz w:val="18"/>
          <w:szCs w:val="18"/>
        </w:rPr>
        <w:t xml:space="preserve"> </w:t>
      </w:r>
      <w:r w:rsidR="002909DA">
        <w:rPr>
          <w:rFonts w:ascii="Verdana" w:hAnsi="Verdana"/>
          <w:sz w:val="18"/>
          <w:szCs w:val="18"/>
        </w:rPr>
        <w:t xml:space="preserve">in </w:t>
      </w:r>
      <w:r w:rsidR="00C61A16">
        <w:rPr>
          <w:rFonts w:ascii="Verdana" w:hAnsi="Verdana"/>
          <w:sz w:val="18"/>
          <w:szCs w:val="18"/>
        </w:rPr>
        <w:t>de regulering van banken</w:t>
      </w:r>
      <w:r w:rsidR="009372DB">
        <w:rPr>
          <w:rFonts w:ascii="Verdana" w:hAnsi="Verdana"/>
          <w:sz w:val="18"/>
          <w:szCs w:val="18"/>
        </w:rPr>
        <w:t xml:space="preserve">. Ik </w:t>
      </w:r>
      <w:r w:rsidR="00121FD6">
        <w:rPr>
          <w:rFonts w:ascii="Verdana" w:hAnsi="Verdana"/>
          <w:sz w:val="18"/>
          <w:szCs w:val="18"/>
        </w:rPr>
        <w:t>verwelkom</w:t>
      </w:r>
      <w:r w:rsidR="009372DB">
        <w:rPr>
          <w:rFonts w:ascii="Verdana" w:hAnsi="Verdana"/>
          <w:sz w:val="18"/>
          <w:szCs w:val="18"/>
        </w:rPr>
        <w:t xml:space="preserve"> initiatieven om deze regeldruk in kaart te brengen</w:t>
      </w:r>
      <w:r w:rsidR="000C79CB">
        <w:rPr>
          <w:rFonts w:ascii="Verdana" w:hAnsi="Verdana"/>
          <w:sz w:val="18"/>
          <w:szCs w:val="18"/>
        </w:rPr>
        <w:t xml:space="preserve"> </w:t>
      </w:r>
      <w:r w:rsidR="00E62576">
        <w:rPr>
          <w:rFonts w:ascii="Verdana" w:hAnsi="Verdana"/>
          <w:sz w:val="18"/>
          <w:szCs w:val="18"/>
        </w:rPr>
        <w:t>en om te kijken waar we regels eenvoudiger kunnen maken</w:t>
      </w:r>
      <w:r w:rsidR="000C79CB">
        <w:rPr>
          <w:rFonts w:ascii="Verdana" w:hAnsi="Verdana"/>
          <w:sz w:val="18"/>
          <w:szCs w:val="18"/>
        </w:rPr>
        <w:t xml:space="preserve">. </w:t>
      </w:r>
      <w:r w:rsidR="005404FE">
        <w:rPr>
          <w:rFonts w:ascii="Verdana" w:hAnsi="Verdana"/>
          <w:sz w:val="18"/>
          <w:szCs w:val="18"/>
        </w:rPr>
        <w:t xml:space="preserve">In de discussies hierover vind ik het belangrijk </w:t>
      </w:r>
      <w:r w:rsidR="002909DA">
        <w:rPr>
          <w:rFonts w:ascii="Verdana" w:hAnsi="Verdana"/>
          <w:sz w:val="18"/>
          <w:szCs w:val="18"/>
        </w:rPr>
        <w:t>ook oog te houden voor het belang</w:t>
      </w:r>
      <w:r w:rsidR="00C61A16">
        <w:rPr>
          <w:rFonts w:ascii="Verdana" w:hAnsi="Verdana"/>
          <w:sz w:val="18"/>
          <w:szCs w:val="18"/>
        </w:rPr>
        <w:t xml:space="preserve"> </w:t>
      </w:r>
      <w:r w:rsidR="009D528D">
        <w:rPr>
          <w:rFonts w:ascii="Verdana" w:hAnsi="Verdana"/>
          <w:sz w:val="18"/>
          <w:szCs w:val="18"/>
        </w:rPr>
        <w:t>van</w:t>
      </w:r>
      <w:r w:rsidR="000C79CB">
        <w:rPr>
          <w:rFonts w:ascii="Verdana" w:hAnsi="Verdana"/>
          <w:sz w:val="18"/>
          <w:szCs w:val="18"/>
        </w:rPr>
        <w:t xml:space="preserve"> </w:t>
      </w:r>
      <w:r w:rsidR="00445988">
        <w:rPr>
          <w:rFonts w:ascii="Verdana" w:hAnsi="Verdana"/>
          <w:sz w:val="18"/>
          <w:szCs w:val="18"/>
        </w:rPr>
        <w:t>een</w:t>
      </w:r>
      <w:r w:rsidR="000C79CB">
        <w:rPr>
          <w:rFonts w:ascii="Verdana" w:hAnsi="Verdana"/>
          <w:sz w:val="18"/>
          <w:szCs w:val="18"/>
        </w:rPr>
        <w:t xml:space="preserve"> financiële sector </w:t>
      </w:r>
      <w:r w:rsidR="00445988">
        <w:rPr>
          <w:rFonts w:ascii="Verdana" w:hAnsi="Verdana"/>
          <w:sz w:val="18"/>
          <w:szCs w:val="18"/>
        </w:rPr>
        <w:t xml:space="preserve">die </w:t>
      </w:r>
      <w:r w:rsidR="000C79CB">
        <w:rPr>
          <w:rFonts w:ascii="Verdana" w:hAnsi="Verdana"/>
          <w:sz w:val="18"/>
          <w:szCs w:val="18"/>
        </w:rPr>
        <w:t xml:space="preserve">stabiel en robuust </w:t>
      </w:r>
      <w:r w:rsidR="00445988">
        <w:rPr>
          <w:rFonts w:ascii="Verdana" w:hAnsi="Verdana"/>
          <w:sz w:val="18"/>
          <w:szCs w:val="18"/>
        </w:rPr>
        <w:t>is</w:t>
      </w:r>
      <w:r w:rsidR="000C79CB">
        <w:rPr>
          <w:rFonts w:ascii="Verdana" w:hAnsi="Verdana"/>
          <w:sz w:val="18"/>
          <w:szCs w:val="18"/>
        </w:rPr>
        <w:t xml:space="preserve">. </w:t>
      </w:r>
      <w:r w:rsidR="002909DA">
        <w:rPr>
          <w:rFonts w:ascii="Verdana" w:hAnsi="Verdana"/>
          <w:sz w:val="18"/>
          <w:szCs w:val="18"/>
        </w:rPr>
        <w:t>Samen met proportionele regels zijn dat de</w:t>
      </w:r>
      <w:r w:rsidR="000C79CB">
        <w:rPr>
          <w:rFonts w:ascii="Verdana" w:hAnsi="Verdana"/>
          <w:sz w:val="18"/>
          <w:szCs w:val="18"/>
        </w:rPr>
        <w:t xml:space="preserve"> randvoorwaarde</w:t>
      </w:r>
      <w:r w:rsidR="002909DA">
        <w:rPr>
          <w:rFonts w:ascii="Verdana" w:hAnsi="Verdana"/>
          <w:sz w:val="18"/>
          <w:szCs w:val="18"/>
        </w:rPr>
        <w:t>n</w:t>
      </w:r>
      <w:r w:rsidR="000C79CB">
        <w:rPr>
          <w:rFonts w:ascii="Verdana" w:hAnsi="Verdana"/>
          <w:sz w:val="18"/>
          <w:szCs w:val="18"/>
        </w:rPr>
        <w:t xml:space="preserve"> voor duurzame concurrentie.</w:t>
      </w:r>
      <w:r w:rsidR="00121FD6">
        <w:rPr>
          <w:rFonts w:ascii="Verdana" w:hAnsi="Verdana"/>
          <w:sz w:val="18"/>
          <w:szCs w:val="18"/>
        </w:rPr>
        <w:t xml:space="preserve"> </w:t>
      </w:r>
    </w:p>
    <w:p w:rsidR="00C62037" w:rsidP="14DCBB0A" w:rsidRDefault="14DCBB0A" w14:paraId="3A50CD6A" w14:textId="339EAD1B">
      <w:pPr>
        <w:rPr>
          <w:rFonts w:ascii="Verdana" w:hAnsi="Verdana"/>
          <w:sz w:val="18"/>
          <w:szCs w:val="18"/>
        </w:rPr>
      </w:pPr>
      <w:r w:rsidRPr="14DCBB0A">
        <w:rPr>
          <w:rFonts w:ascii="Verdana" w:hAnsi="Verdana"/>
          <w:sz w:val="18"/>
          <w:szCs w:val="18"/>
        </w:rPr>
        <w:t xml:space="preserve">Vanuit de sector horen we dat onnodige complexiteit met name zit in de technische standaarden en richtsnoeren. De Nederlandse Vereniging van Banken is de onnodige regeldruk en complexiteit in deze technische standaarden en richtsnoeren nader aan het concretiseren. Ik verwelkom hun input bij deze discussie. </w:t>
      </w:r>
    </w:p>
    <w:p w:rsidR="009D528D" w:rsidP="14DCBB0A" w:rsidRDefault="14DCBB0A" w14:paraId="10898CA3" w14:textId="6D47C037">
      <w:pPr>
        <w:rPr>
          <w:rFonts w:ascii="Verdana" w:hAnsi="Verdana"/>
          <w:sz w:val="18"/>
          <w:szCs w:val="18"/>
        </w:rPr>
      </w:pPr>
      <w:r w:rsidRPr="14DCBB0A">
        <w:rPr>
          <w:rFonts w:ascii="Verdana" w:hAnsi="Verdana"/>
          <w:b/>
          <w:bCs/>
          <w:sz w:val="18"/>
          <w:szCs w:val="18"/>
        </w:rPr>
        <w:t>Vraag 2</w:t>
      </w:r>
      <w:r w:rsidR="00FF1996">
        <w:br/>
      </w:r>
      <w:r w:rsidRPr="14DCBB0A">
        <w:rPr>
          <w:rFonts w:ascii="Verdana" w:hAnsi="Verdana"/>
          <w:b/>
          <w:bCs/>
          <w:sz w:val="18"/>
          <w:szCs w:val="18"/>
        </w:rPr>
        <w:t>Hoe kijkt u aan tegen deze oproep van de toezichthouders in Spanje, Duitsland, Frankrijk en Italië?</w:t>
      </w:r>
      <w:r w:rsidRPr="14DCBB0A">
        <w:rPr>
          <w:rFonts w:ascii="Verdana" w:hAnsi="Verdana"/>
          <w:sz w:val="18"/>
          <w:szCs w:val="18"/>
        </w:rPr>
        <w:t xml:space="preserve"> </w:t>
      </w:r>
      <w:r w:rsidR="00FF1996">
        <w:br/>
      </w:r>
      <w:r w:rsidR="00FF1996">
        <w:br/>
      </w:r>
      <w:r w:rsidRPr="14DCBB0A">
        <w:rPr>
          <w:rFonts w:ascii="Verdana" w:hAnsi="Verdana"/>
          <w:i/>
          <w:iCs/>
          <w:sz w:val="18"/>
          <w:szCs w:val="18"/>
        </w:rPr>
        <w:t>Antwoord 2</w:t>
      </w:r>
      <w:r w:rsidR="00FF1996">
        <w:br/>
      </w:r>
      <w:r w:rsidRPr="14DCBB0A">
        <w:rPr>
          <w:rFonts w:ascii="Verdana" w:hAnsi="Verdana"/>
          <w:sz w:val="18"/>
          <w:szCs w:val="18"/>
        </w:rPr>
        <w:t xml:space="preserve">Ik vind het positief dat er aandacht is voor onnodige regeldruk en complexiteit die mogelijk concurrentiebelemmerend kunnen werken. Ik verwelkom objectieve analyses die de knelpunten nader concretiseren. </w:t>
      </w:r>
    </w:p>
    <w:p w:rsidR="00291E92" w:rsidP="14DCBB0A" w:rsidRDefault="14DCBB0A" w14:paraId="1502D431" w14:textId="3726EA60">
      <w:pPr>
        <w:rPr>
          <w:rFonts w:ascii="Verdana" w:hAnsi="Verdana"/>
          <w:sz w:val="18"/>
          <w:szCs w:val="18"/>
        </w:rPr>
      </w:pPr>
      <w:r w:rsidRPr="14DCBB0A">
        <w:rPr>
          <w:rFonts w:ascii="Verdana" w:hAnsi="Verdana"/>
          <w:b/>
          <w:bCs/>
          <w:sz w:val="18"/>
          <w:szCs w:val="18"/>
        </w:rPr>
        <w:t>Vraag 3</w:t>
      </w:r>
      <w:r w:rsidR="00FF1996">
        <w:br/>
      </w:r>
      <w:r w:rsidRPr="14DCBB0A">
        <w:rPr>
          <w:rFonts w:ascii="Verdana" w:hAnsi="Verdana"/>
          <w:b/>
          <w:bCs/>
          <w:sz w:val="18"/>
          <w:szCs w:val="18"/>
        </w:rPr>
        <w:t>Bent u bereid om u aan te sluiten bij Spanje, Duitsland, Frankrijk en Italië om te kijken naar waar het Europese raamwerk onnodig complex is en waar het concurrentieverstoringen op internationaal niveau kan veroorzaken, zonder significante voordelen voor de financiële stabiliteit? Zo nee, waarom niet?</w:t>
      </w:r>
      <w:r w:rsidRPr="14DCBB0A">
        <w:rPr>
          <w:rFonts w:ascii="Verdana" w:hAnsi="Verdana"/>
          <w:sz w:val="18"/>
          <w:szCs w:val="18"/>
        </w:rPr>
        <w:t xml:space="preserve"> </w:t>
      </w:r>
      <w:r w:rsidR="00FF1996">
        <w:br/>
      </w:r>
      <w:r w:rsidR="00FF1996">
        <w:br/>
      </w:r>
      <w:r w:rsidRPr="14DCBB0A">
        <w:rPr>
          <w:rFonts w:ascii="Verdana" w:hAnsi="Verdana"/>
          <w:i/>
          <w:iCs/>
          <w:sz w:val="18"/>
          <w:szCs w:val="18"/>
        </w:rPr>
        <w:t>Antwoord 3</w:t>
      </w:r>
      <w:r w:rsidR="00FF1996">
        <w:br/>
      </w:r>
      <w:r w:rsidRPr="14DCBB0A">
        <w:rPr>
          <w:rFonts w:ascii="Verdana" w:hAnsi="Verdana"/>
          <w:sz w:val="18"/>
          <w:szCs w:val="18"/>
        </w:rPr>
        <w:t xml:space="preserve">De brief aan de Europese Commissie betreft een oproep van onafhankelijke centrale banken en niet van lidstaten en vraagt om een analyse door de Europese Commissie. Het verminderen van onnodige regeldruk en het bevorderen van het concurrentievermogen van de financiële sector is voor mij een belangrijke prioriteit. Mijn ministerie is nauw betrokken bij de verdere totstandkoming van de opdracht voor de expertgroep die een onderzoek naar de complexiteit van regelgeving moet </w:t>
      </w:r>
      <w:proofErr w:type="gramStart"/>
      <w:r w:rsidRPr="14DCBB0A">
        <w:rPr>
          <w:rFonts w:ascii="Verdana" w:hAnsi="Verdana"/>
          <w:sz w:val="18"/>
          <w:szCs w:val="18"/>
        </w:rPr>
        <w:t>gaan</w:t>
      </w:r>
      <w:proofErr w:type="gramEnd"/>
      <w:r w:rsidRPr="14DCBB0A">
        <w:rPr>
          <w:rFonts w:ascii="Verdana" w:hAnsi="Verdana"/>
          <w:sz w:val="18"/>
          <w:szCs w:val="18"/>
        </w:rPr>
        <w:t xml:space="preserve"> uitvoeren.</w:t>
      </w:r>
    </w:p>
    <w:p w:rsidR="006E0A49" w:rsidP="14DCBB0A" w:rsidRDefault="006E0A49" w14:paraId="6F6CA4B3" w14:textId="1E651752">
      <w:pPr>
        <w:rPr>
          <w:rFonts w:ascii="Verdana" w:hAnsi="Verdana"/>
          <w:sz w:val="18"/>
          <w:szCs w:val="18"/>
        </w:rPr>
      </w:pPr>
      <w:r>
        <w:rPr>
          <w:rFonts w:ascii="Verdana" w:hAnsi="Verdana"/>
          <w:sz w:val="18"/>
          <w:szCs w:val="18"/>
        </w:rPr>
        <w:t>In de ambtelijke studie ‘Beleidsrichtingen voor een weerbare bankensector’</w:t>
      </w:r>
      <w:r w:rsidR="00AD4998">
        <w:rPr>
          <w:rStyle w:val="Voetnootmarkering"/>
          <w:rFonts w:ascii="Verdana" w:hAnsi="Verdana"/>
          <w:sz w:val="18"/>
          <w:szCs w:val="18"/>
        </w:rPr>
        <w:footnoteReference w:id="2"/>
      </w:r>
      <w:r>
        <w:rPr>
          <w:rFonts w:ascii="Verdana" w:hAnsi="Verdana"/>
          <w:sz w:val="18"/>
          <w:szCs w:val="18"/>
        </w:rPr>
        <w:t xml:space="preserve"> </w:t>
      </w:r>
      <w:r w:rsidR="00C62037">
        <w:rPr>
          <w:rFonts w:ascii="Verdana" w:hAnsi="Verdana"/>
          <w:sz w:val="18"/>
          <w:szCs w:val="18"/>
        </w:rPr>
        <w:t>van een jaar geleden is ook gewezen op complexiteit van regelgeving</w:t>
      </w:r>
      <w:r w:rsidR="002F47C6">
        <w:rPr>
          <w:rFonts w:ascii="Verdana" w:hAnsi="Verdana"/>
          <w:sz w:val="18"/>
          <w:szCs w:val="18"/>
        </w:rPr>
        <w:t>, inclusief de vele technische standaarden,</w:t>
      </w:r>
      <w:r w:rsidR="00C62037">
        <w:rPr>
          <w:rFonts w:ascii="Verdana" w:hAnsi="Verdana"/>
          <w:sz w:val="18"/>
          <w:szCs w:val="18"/>
        </w:rPr>
        <w:t xml:space="preserve"> en </w:t>
      </w:r>
      <w:r>
        <w:rPr>
          <w:rFonts w:ascii="Verdana" w:hAnsi="Verdana"/>
          <w:sz w:val="18"/>
          <w:szCs w:val="18"/>
        </w:rPr>
        <w:t xml:space="preserve">is stilgestaan bij mogelijkheden voor versimpeling zonder dat dit ten koste gaat van financiële stabiliteit. </w:t>
      </w:r>
    </w:p>
    <w:p w:rsidR="006905CE" w:rsidP="14DCBB0A" w:rsidRDefault="14DCBB0A" w14:paraId="4CB3956D" w14:textId="56666226">
      <w:pPr>
        <w:rPr>
          <w:rFonts w:ascii="Verdana" w:hAnsi="Verdana"/>
          <w:sz w:val="18"/>
          <w:szCs w:val="18"/>
        </w:rPr>
      </w:pPr>
      <w:r w:rsidRPr="14DCBB0A">
        <w:rPr>
          <w:rFonts w:ascii="Verdana" w:hAnsi="Verdana"/>
          <w:b/>
          <w:bCs/>
          <w:sz w:val="18"/>
          <w:szCs w:val="18"/>
        </w:rPr>
        <w:t>Vraag 4</w:t>
      </w:r>
      <w:r w:rsidR="00FF1996">
        <w:br/>
      </w:r>
      <w:r w:rsidRPr="14DCBB0A">
        <w:rPr>
          <w:rFonts w:ascii="Verdana" w:hAnsi="Verdana"/>
          <w:b/>
          <w:bCs/>
          <w:sz w:val="18"/>
          <w:szCs w:val="18"/>
        </w:rPr>
        <w:t xml:space="preserve">Ziet u mogelijkheden om een vereenvoudiging van de Europese bankenregels te combineren met afspraken over een hogere spaarrente en meer ruimte voor bankfinanciering voor het MKB door afspraken met de Nederlandse banken? </w:t>
      </w:r>
      <w:r w:rsidR="00FF1996">
        <w:br/>
      </w:r>
      <w:r w:rsidR="00FF1996">
        <w:br/>
      </w:r>
      <w:r w:rsidRPr="14DCBB0A">
        <w:rPr>
          <w:rFonts w:ascii="Verdana" w:hAnsi="Verdana"/>
          <w:i/>
          <w:iCs/>
          <w:sz w:val="18"/>
          <w:szCs w:val="18"/>
        </w:rPr>
        <w:t>Antwoord 4</w:t>
      </w:r>
      <w:r w:rsidR="00FF1996">
        <w:br/>
      </w:r>
      <w:r w:rsidRPr="14DCBB0A">
        <w:rPr>
          <w:rFonts w:ascii="Verdana" w:hAnsi="Verdana"/>
          <w:sz w:val="18"/>
          <w:szCs w:val="18"/>
        </w:rPr>
        <w:t xml:space="preserve">Het primaire doel van het </w:t>
      </w:r>
      <w:proofErr w:type="spellStart"/>
      <w:r w:rsidRPr="14DCBB0A">
        <w:rPr>
          <w:rFonts w:ascii="Verdana" w:hAnsi="Verdana"/>
          <w:sz w:val="18"/>
          <w:szCs w:val="18"/>
        </w:rPr>
        <w:t>toezichtsraamwerk</w:t>
      </w:r>
      <w:proofErr w:type="spellEnd"/>
      <w:r w:rsidRPr="14DCBB0A">
        <w:rPr>
          <w:rFonts w:ascii="Verdana" w:hAnsi="Verdana"/>
          <w:sz w:val="18"/>
          <w:szCs w:val="18"/>
        </w:rPr>
        <w:t xml:space="preserve"> voor banken is om de stabiliteit en robuustheid van het financiële stelsel te waarborgen en consumenten te beschermen. Eventuele aanpassingen in </w:t>
      </w:r>
      <w:r w:rsidRPr="14DCBB0A">
        <w:rPr>
          <w:rFonts w:ascii="Verdana" w:hAnsi="Verdana"/>
          <w:sz w:val="18"/>
          <w:szCs w:val="18"/>
        </w:rPr>
        <w:lastRenderedPageBreak/>
        <w:t xml:space="preserve">het raamwerk dienen dus ook vanuit dat perspectief te worden gewogen – versimpeling van bankenregelgeving moet </w:t>
      </w:r>
      <w:proofErr w:type="spellStart"/>
      <w:r w:rsidRPr="14DCBB0A">
        <w:rPr>
          <w:rFonts w:ascii="Verdana" w:hAnsi="Verdana"/>
          <w:sz w:val="18"/>
          <w:szCs w:val="18"/>
        </w:rPr>
        <w:t>prudentieel</w:t>
      </w:r>
      <w:proofErr w:type="spellEnd"/>
      <w:r w:rsidRPr="14DCBB0A">
        <w:rPr>
          <w:rFonts w:ascii="Verdana" w:hAnsi="Verdana"/>
          <w:sz w:val="18"/>
          <w:szCs w:val="18"/>
        </w:rPr>
        <w:t xml:space="preserve"> verantwoord zijn. </w:t>
      </w:r>
    </w:p>
    <w:p w:rsidR="006905CE" w:rsidP="14DCBB0A" w:rsidRDefault="14DCBB0A" w14:paraId="39167D41" w14:textId="34AABBD5">
      <w:pPr>
        <w:rPr>
          <w:rFonts w:ascii="Verdana" w:hAnsi="Verdana"/>
          <w:sz w:val="18"/>
          <w:szCs w:val="18"/>
        </w:rPr>
      </w:pPr>
      <w:r w:rsidRPr="14DCBB0A">
        <w:rPr>
          <w:rFonts w:ascii="Verdana" w:hAnsi="Verdana"/>
          <w:sz w:val="18"/>
          <w:szCs w:val="18"/>
        </w:rPr>
        <w:t>Ik zie echter geen rechtstreekse koppeling tussen het aanpassen van regelgeving en bijvoorbeeld de hoogte van de spaarrentes. Dat laat onverlet dat, mochten bepaalde standaarden of (rapportage)eisen disproportioneel blijken en een belemmering vormen voor de betrokken publieke belangen, zoals het verstrekken van bankfinanciering aan het MKB, dan kan versimpeling op dat gebied deze financiering wel vergemakkelijken. Daarnaast blijf ik mij ook op andere vlakken – samen met de minister van Economische Zaken en de sector – inzetten voor betere toegang tot bancaire én non-bancaire financiering voor ondernemers. Voor wat betreft de spaarrente heb ik in mijn reactie op het ACM-rapport over concurrentie op de spaarmarkt reeds eens combinatie van maatregelen aangekondigd om de concurrentiedruk te verhogen en daarmee een verhoging van de spaarrentes te stimuleren. Ik ben momenteel aan de slag met deze maatregelen en houd de Kamer – zoals toegezegd – op de hoogte over de voortgang.</w:t>
      </w:r>
      <w:r w:rsidR="00FF1996">
        <w:br/>
      </w:r>
      <w:r w:rsidR="00FF1996">
        <w:br/>
      </w:r>
      <w:r w:rsidRPr="14DCBB0A">
        <w:rPr>
          <w:rFonts w:ascii="Verdana" w:hAnsi="Verdana"/>
          <w:b/>
          <w:bCs/>
          <w:sz w:val="18"/>
          <w:szCs w:val="18"/>
        </w:rPr>
        <w:t>Vraag 5</w:t>
      </w:r>
      <w:r w:rsidR="00FF1996">
        <w:br/>
      </w:r>
      <w:r w:rsidRPr="14DCBB0A">
        <w:rPr>
          <w:rFonts w:ascii="Verdana" w:hAnsi="Verdana"/>
          <w:b/>
          <w:bCs/>
          <w:sz w:val="18"/>
          <w:szCs w:val="18"/>
        </w:rPr>
        <w:t>Bent u bereid om het gesprek aan te gaan met de Nederlandse toezichthouders over hun visie ten aanzien van vereenvoudiging van de Europese bankenregels en de Tweede Kamer daarover voor het zomerreces te informeren? Zo nee, waarom niet?</w:t>
      </w:r>
      <w:r w:rsidRPr="14DCBB0A">
        <w:rPr>
          <w:rFonts w:ascii="Verdana" w:hAnsi="Verdana"/>
          <w:sz w:val="18"/>
          <w:szCs w:val="18"/>
        </w:rPr>
        <w:t xml:space="preserve"> </w:t>
      </w:r>
      <w:r w:rsidR="00FF1996">
        <w:br/>
      </w:r>
      <w:r w:rsidR="00FF1996">
        <w:br/>
      </w:r>
      <w:r w:rsidRPr="14DCBB0A">
        <w:rPr>
          <w:rFonts w:ascii="Verdana" w:hAnsi="Verdana"/>
          <w:i/>
          <w:iCs/>
          <w:sz w:val="18"/>
          <w:szCs w:val="18"/>
        </w:rPr>
        <w:t>Antwoord 5</w:t>
      </w:r>
      <w:r w:rsidR="00FF1996">
        <w:br/>
      </w:r>
      <w:r w:rsidRPr="14DCBB0A">
        <w:rPr>
          <w:rFonts w:ascii="Verdana" w:hAnsi="Verdana"/>
          <w:sz w:val="18"/>
          <w:szCs w:val="18"/>
        </w:rPr>
        <w:t xml:space="preserve">Ik ben bereid om hierover met de toezichthouders in gesprek te gaan en mijn opgedane inzichten naar aanleiding van deze gesprekken met uw Kamer te delen. Ook DNB geeft aan open te staan voor initiatieven om versimpeling van regulering te onderzoeken. </w:t>
      </w:r>
    </w:p>
    <w:p w:rsidR="00AB4383" w:rsidP="14DCBB0A" w:rsidRDefault="14DCBB0A" w14:paraId="4FCDB731" w14:textId="127B631A">
      <w:pPr>
        <w:rPr>
          <w:rFonts w:ascii="Verdana" w:hAnsi="Verdana"/>
          <w:sz w:val="18"/>
          <w:szCs w:val="18"/>
        </w:rPr>
      </w:pPr>
      <w:r w:rsidRPr="14DCBB0A">
        <w:rPr>
          <w:rFonts w:ascii="Verdana" w:hAnsi="Verdana"/>
          <w:b/>
          <w:bCs/>
          <w:sz w:val="18"/>
          <w:szCs w:val="18"/>
        </w:rPr>
        <w:t>Vraag 6</w:t>
      </w:r>
      <w:r w:rsidR="00FF1996">
        <w:br/>
      </w:r>
      <w:r w:rsidRPr="14DCBB0A">
        <w:rPr>
          <w:rFonts w:ascii="Verdana" w:hAnsi="Verdana"/>
          <w:b/>
          <w:bCs/>
          <w:sz w:val="18"/>
          <w:szCs w:val="18"/>
        </w:rPr>
        <w:t>Hoe kijkt u naar het concurrentievermogen van de Europese banken ten opzichte van de Amerikaanse banken?</w:t>
      </w:r>
      <w:r w:rsidRPr="14DCBB0A">
        <w:rPr>
          <w:rFonts w:ascii="Verdana" w:hAnsi="Verdana"/>
          <w:sz w:val="18"/>
          <w:szCs w:val="18"/>
        </w:rPr>
        <w:t xml:space="preserve"> </w:t>
      </w:r>
      <w:r w:rsidR="00FF1996">
        <w:br/>
      </w:r>
      <w:r w:rsidR="00FF1996">
        <w:br/>
      </w:r>
      <w:r w:rsidRPr="14DCBB0A">
        <w:rPr>
          <w:rFonts w:ascii="Verdana" w:hAnsi="Verdana"/>
          <w:i/>
          <w:iCs/>
          <w:sz w:val="18"/>
          <w:szCs w:val="18"/>
        </w:rPr>
        <w:t>Antwoord 6</w:t>
      </w:r>
      <w:r w:rsidR="00FF1996">
        <w:br/>
      </w:r>
      <w:r w:rsidRPr="14DCBB0A">
        <w:rPr>
          <w:rFonts w:ascii="Verdana" w:hAnsi="Verdana"/>
          <w:sz w:val="18"/>
          <w:szCs w:val="18"/>
        </w:rPr>
        <w:t xml:space="preserve">De Europese bankensector kenmerkt zich door het feit dat deze gefragmenteerd is en veelal langs nationale grenzen georganiseerd is. Zo werd in het </w:t>
      </w:r>
      <w:proofErr w:type="spellStart"/>
      <w:r w:rsidRPr="14DCBB0A">
        <w:rPr>
          <w:rFonts w:ascii="Verdana" w:hAnsi="Verdana"/>
          <w:sz w:val="18"/>
          <w:szCs w:val="18"/>
        </w:rPr>
        <w:t>Draghi</w:t>
      </w:r>
      <w:proofErr w:type="spellEnd"/>
      <w:r w:rsidRPr="14DCBB0A">
        <w:rPr>
          <w:rFonts w:ascii="Verdana" w:hAnsi="Verdana"/>
          <w:sz w:val="18"/>
          <w:szCs w:val="18"/>
        </w:rPr>
        <w:t xml:space="preserve">-rapport geconcludeerd dat Europese banken ten opzichte van Amerikaanse concurrenten minder winstgevend zijn, hogere kosten hebben en een lagere waardering hebben. Ik onderschrijf deze analyse, net als vaststelling dat de incomplete bankenunie bijdraagt aan deze fragmentatie. Overigens wordt in dit rapport het beeld geschetst dat Europese banken aanzienlijk kleiner zijn dan Amerikaanse banken. Dit klopt als wordt gekeken naar de lage marktwaardering, maar is in mindere mate het geval wanneer wordt gekeken naar de balansomvang. </w:t>
      </w:r>
      <w:r w:rsidR="00FF1996">
        <w:br/>
      </w:r>
      <w:r w:rsidR="00FF1996">
        <w:br/>
      </w:r>
      <w:r w:rsidRPr="14DCBB0A">
        <w:rPr>
          <w:rFonts w:ascii="Verdana" w:hAnsi="Verdana"/>
          <w:sz w:val="18"/>
          <w:szCs w:val="18"/>
        </w:rPr>
        <w:t xml:space="preserve">Desalniettemin moeten Europese banken internationaal concurrerender worden ten opzichte van grote concurrenten in de VS en Azië. Ik ben van mening dat Europese consolidatie hierbij een rol kan spelen, net als verdieping van de Europese kapitaalmarktunie. Daarnaast kan vervolmaking van de bankenunie bijdragen aan consolidatie en meer grensoverschrijdende, </w:t>
      </w:r>
      <w:proofErr w:type="spellStart"/>
      <w:r w:rsidRPr="14DCBB0A">
        <w:rPr>
          <w:rFonts w:ascii="Verdana" w:hAnsi="Verdana"/>
          <w:sz w:val="18"/>
          <w:szCs w:val="18"/>
        </w:rPr>
        <w:t>schaalvergrotende</w:t>
      </w:r>
      <w:proofErr w:type="spellEnd"/>
      <w:r w:rsidRPr="14DCBB0A">
        <w:rPr>
          <w:rFonts w:ascii="Verdana" w:hAnsi="Verdana"/>
          <w:sz w:val="18"/>
          <w:szCs w:val="18"/>
        </w:rPr>
        <w:t xml:space="preserve"> activiteiten. Ik ben er voorstander van om stappen te zetten op dit gebied, bijvoorbeeld voor een Europees depositogarantiestelsel (EDIS). Dat moet hand in hand gaan met verdere risicoreductie in de bankensector, zoals een goede risicoweging van staatsobligaties op bankbalansen. </w:t>
      </w:r>
    </w:p>
    <w:p w:rsidR="00D05723" w:rsidP="14DCBB0A" w:rsidRDefault="00FF1996" w14:paraId="6235955A" w14:textId="47207921">
      <w:pPr>
        <w:rPr>
          <w:rFonts w:ascii="Verdana" w:hAnsi="Verdana"/>
          <w:sz w:val="18"/>
          <w:szCs w:val="18"/>
        </w:rPr>
      </w:pPr>
      <w:r>
        <w:rPr>
          <w:rFonts w:ascii="Verdana" w:hAnsi="Verdana"/>
          <w:b/>
          <w:bCs/>
          <w:sz w:val="18"/>
          <w:szCs w:val="18"/>
        </w:rPr>
        <w:t>Vraag 7</w:t>
      </w:r>
      <w:r>
        <w:rPr>
          <w:rFonts w:ascii="Verdana" w:hAnsi="Verdana"/>
          <w:sz w:val="18"/>
          <w:szCs w:val="18"/>
        </w:rPr>
        <w:br/>
      </w:r>
      <w:r w:rsidRPr="005404FE">
        <w:rPr>
          <w:rFonts w:ascii="Verdana" w:hAnsi="Verdana"/>
          <w:b/>
          <w:bCs/>
          <w:sz w:val="18"/>
          <w:szCs w:val="18"/>
        </w:rPr>
        <w:t xml:space="preserve">Welke plannen heeft </w:t>
      </w:r>
      <w:proofErr w:type="spellStart"/>
      <w:r w:rsidRPr="005404FE">
        <w:rPr>
          <w:rFonts w:ascii="Verdana" w:hAnsi="Verdana"/>
          <w:b/>
          <w:bCs/>
          <w:sz w:val="18"/>
          <w:szCs w:val="18"/>
        </w:rPr>
        <w:t>Trump</w:t>
      </w:r>
      <w:proofErr w:type="spellEnd"/>
      <w:r w:rsidRPr="005404FE">
        <w:rPr>
          <w:rFonts w:ascii="Verdana" w:hAnsi="Verdana"/>
          <w:b/>
          <w:bCs/>
          <w:sz w:val="18"/>
          <w:szCs w:val="18"/>
        </w:rPr>
        <w:t xml:space="preserve"> voor versoepeling dan wel vereenvoudiging van</w:t>
      </w:r>
      <w:r w:rsidR="000646BA">
        <w:rPr>
          <w:rFonts w:ascii="Verdana" w:hAnsi="Verdana"/>
          <w:b/>
          <w:bCs/>
          <w:sz w:val="18"/>
          <w:szCs w:val="18"/>
        </w:rPr>
        <w:t xml:space="preserve"> regelgeving voor</w:t>
      </w:r>
      <w:r w:rsidRPr="005404FE">
        <w:rPr>
          <w:rFonts w:ascii="Verdana" w:hAnsi="Verdana"/>
          <w:b/>
          <w:bCs/>
          <w:sz w:val="18"/>
          <w:szCs w:val="18"/>
        </w:rPr>
        <w:t xml:space="preserve"> Amerikaanse banken? Hoe past dit in de internationale Ba</w:t>
      </w:r>
      <w:r w:rsidR="00FE3D6C">
        <w:rPr>
          <w:rFonts w:ascii="Verdana" w:hAnsi="Verdana"/>
          <w:b/>
          <w:bCs/>
          <w:sz w:val="18"/>
          <w:szCs w:val="18"/>
        </w:rPr>
        <w:t>z</w:t>
      </w:r>
      <w:r w:rsidRPr="005404FE">
        <w:rPr>
          <w:rFonts w:ascii="Verdana" w:hAnsi="Verdana"/>
          <w:b/>
          <w:bCs/>
          <w:sz w:val="18"/>
          <w:szCs w:val="18"/>
        </w:rPr>
        <w:t>el-afspraken?</w:t>
      </w:r>
      <w:r w:rsidRPr="00FF1996">
        <w:rPr>
          <w:rFonts w:ascii="Verdana" w:hAnsi="Verdana"/>
          <w:sz w:val="18"/>
          <w:szCs w:val="18"/>
        </w:rPr>
        <w:t xml:space="preserve"> </w:t>
      </w:r>
      <w:r w:rsidR="00EC5DDD">
        <w:rPr>
          <w:rFonts w:ascii="Verdana" w:hAnsi="Verdana"/>
          <w:sz w:val="18"/>
          <w:szCs w:val="18"/>
        </w:rPr>
        <w:br/>
      </w:r>
      <w:r w:rsidR="00014551">
        <w:rPr>
          <w:rFonts w:ascii="Verdana" w:hAnsi="Verdana"/>
          <w:sz w:val="18"/>
          <w:szCs w:val="18"/>
        </w:rPr>
        <w:br/>
      </w:r>
      <w:r w:rsidRPr="14DCBB0A" w:rsidR="00014551">
        <w:rPr>
          <w:rFonts w:ascii="Verdana" w:hAnsi="Verdana"/>
          <w:i/>
          <w:iCs/>
          <w:sz w:val="18"/>
          <w:szCs w:val="18"/>
        </w:rPr>
        <w:t>Antwoord 7</w:t>
      </w:r>
      <w:r w:rsidR="00014551">
        <w:rPr>
          <w:rFonts w:ascii="Verdana" w:hAnsi="Verdana"/>
          <w:sz w:val="18"/>
          <w:szCs w:val="18"/>
        </w:rPr>
        <w:br/>
      </w:r>
      <w:r w:rsidR="00D05723">
        <w:rPr>
          <w:rFonts w:ascii="Verdana" w:hAnsi="Verdana"/>
          <w:sz w:val="18"/>
          <w:szCs w:val="18"/>
        </w:rPr>
        <w:t xml:space="preserve">Nog voor het aantreden van </w:t>
      </w:r>
      <w:r w:rsidR="00957E80">
        <w:rPr>
          <w:rFonts w:ascii="Verdana" w:hAnsi="Verdana"/>
          <w:sz w:val="18"/>
          <w:szCs w:val="18"/>
        </w:rPr>
        <w:t xml:space="preserve">president </w:t>
      </w:r>
      <w:proofErr w:type="spellStart"/>
      <w:r w:rsidR="00D05723">
        <w:rPr>
          <w:rFonts w:ascii="Verdana" w:hAnsi="Verdana"/>
          <w:sz w:val="18"/>
          <w:szCs w:val="18"/>
        </w:rPr>
        <w:t>Trump</w:t>
      </w:r>
      <w:proofErr w:type="spellEnd"/>
      <w:r w:rsidR="00D05723">
        <w:rPr>
          <w:rFonts w:ascii="Verdana" w:hAnsi="Verdana"/>
          <w:sz w:val="18"/>
          <w:szCs w:val="18"/>
        </w:rPr>
        <w:t xml:space="preserve"> werd de voorgestelde regelgeving voor de implementatie van de</w:t>
      </w:r>
      <w:r w:rsidR="008861F2">
        <w:rPr>
          <w:rFonts w:ascii="Verdana" w:hAnsi="Verdana"/>
          <w:sz w:val="18"/>
          <w:szCs w:val="18"/>
        </w:rPr>
        <w:t xml:space="preserve"> finale</w:t>
      </w:r>
      <w:r w:rsidR="00D05723">
        <w:rPr>
          <w:rFonts w:ascii="Verdana" w:hAnsi="Verdana"/>
          <w:sz w:val="18"/>
          <w:szCs w:val="18"/>
        </w:rPr>
        <w:t xml:space="preserve"> Bazel</w:t>
      </w:r>
      <w:r w:rsidR="008861F2">
        <w:rPr>
          <w:rFonts w:ascii="Verdana" w:hAnsi="Verdana"/>
          <w:sz w:val="18"/>
          <w:szCs w:val="18"/>
        </w:rPr>
        <w:t xml:space="preserve"> III</w:t>
      </w:r>
      <w:r w:rsidR="00D05723">
        <w:rPr>
          <w:rFonts w:ascii="Verdana" w:hAnsi="Verdana"/>
          <w:sz w:val="18"/>
          <w:szCs w:val="18"/>
        </w:rPr>
        <w:t>-standaarden</w:t>
      </w:r>
      <w:r w:rsidR="006E6B73">
        <w:rPr>
          <w:rFonts w:ascii="Verdana" w:hAnsi="Verdana"/>
          <w:sz w:val="18"/>
          <w:szCs w:val="18"/>
        </w:rPr>
        <w:t xml:space="preserve"> geconsulteerd door de </w:t>
      </w:r>
      <w:r w:rsidR="00957E80">
        <w:rPr>
          <w:rFonts w:ascii="Verdana" w:hAnsi="Verdana"/>
          <w:sz w:val="18"/>
          <w:szCs w:val="18"/>
        </w:rPr>
        <w:t>f</w:t>
      </w:r>
      <w:r w:rsidR="006E6B73">
        <w:rPr>
          <w:rFonts w:ascii="Verdana" w:hAnsi="Verdana"/>
          <w:sz w:val="18"/>
          <w:szCs w:val="18"/>
        </w:rPr>
        <w:t>ederale toezichthouders</w:t>
      </w:r>
      <w:r w:rsidR="00D05723">
        <w:rPr>
          <w:rFonts w:ascii="Verdana" w:hAnsi="Verdana"/>
          <w:sz w:val="18"/>
          <w:szCs w:val="18"/>
        </w:rPr>
        <w:t>.</w:t>
      </w:r>
      <w:r w:rsidR="006E6B73">
        <w:rPr>
          <w:rStyle w:val="Voetnootmarkering"/>
          <w:rFonts w:ascii="Verdana" w:hAnsi="Verdana"/>
          <w:sz w:val="18"/>
          <w:szCs w:val="18"/>
        </w:rPr>
        <w:footnoteReference w:id="3"/>
      </w:r>
      <w:r w:rsidR="00D05723">
        <w:rPr>
          <w:rFonts w:ascii="Verdana" w:hAnsi="Verdana"/>
          <w:sz w:val="18"/>
          <w:szCs w:val="18"/>
        </w:rPr>
        <w:t xml:space="preserve"> </w:t>
      </w:r>
      <w:r w:rsidR="008861F2">
        <w:rPr>
          <w:rFonts w:ascii="Verdana" w:hAnsi="Verdana"/>
          <w:sz w:val="18"/>
          <w:szCs w:val="18"/>
        </w:rPr>
        <w:t xml:space="preserve">Daaruit </w:t>
      </w:r>
      <w:r w:rsidR="00A76606">
        <w:rPr>
          <w:rFonts w:ascii="Verdana" w:hAnsi="Verdana"/>
          <w:sz w:val="18"/>
          <w:szCs w:val="18"/>
        </w:rPr>
        <w:t xml:space="preserve">kwamen kritische geluiden van de bankensector en het Congres. </w:t>
      </w:r>
      <w:r w:rsidR="000646BA">
        <w:rPr>
          <w:rFonts w:ascii="Verdana" w:hAnsi="Verdana"/>
          <w:sz w:val="18"/>
          <w:szCs w:val="18"/>
        </w:rPr>
        <w:t xml:space="preserve">Een </w:t>
      </w:r>
      <w:r w:rsidR="000646BA">
        <w:rPr>
          <w:rFonts w:ascii="Verdana" w:hAnsi="Verdana"/>
          <w:sz w:val="18"/>
          <w:szCs w:val="18"/>
        </w:rPr>
        <w:lastRenderedPageBreak/>
        <w:t xml:space="preserve">nieuw voorstel is nog niet gedaan, maar het ligt in de lijn der verwachting dat dit voorstel een lichter </w:t>
      </w:r>
      <w:proofErr w:type="spellStart"/>
      <w:r w:rsidR="000646BA">
        <w:rPr>
          <w:rFonts w:ascii="Verdana" w:hAnsi="Verdana"/>
          <w:sz w:val="18"/>
          <w:szCs w:val="18"/>
        </w:rPr>
        <w:t>prudentieel</w:t>
      </w:r>
      <w:proofErr w:type="spellEnd"/>
      <w:r w:rsidR="000646BA">
        <w:rPr>
          <w:rFonts w:ascii="Verdana" w:hAnsi="Verdana"/>
          <w:sz w:val="18"/>
          <w:szCs w:val="18"/>
        </w:rPr>
        <w:t xml:space="preserve"> regime zal bevatten dan in de vorige consultatie. </w:t>
      </w:r>
    </w:p>
    <w:p w:rsidR="00A76606" w:rsidP="14DCBB0A" w:rsidRDefault="14DCBB0A" w14:paraId="10B266B0" w14:textId="1CA754A9">
      <w:pPr>
        <w:rPr>
          <w:rFonts w:ascii="Verdana" w:hAnsi="Verdana"/>
          <w:sz w:val="18"/>
          <w:szCs w:val="18"/>
        </w:rPr>
      </w:pPr>
      <w:r w:rsidRPr="14DCBB0A">
        <w:rPr>
          <w:rFonts w:ascii="Verdana" w:hAnsi="Verdana"/>
          <w:sz w:val="18"/>
          <w:szCs w:val="18"/>
        </w:rPr>
        <w:t>In de VS maken de federale agentschappen die verantwoordelijk zijn voor toezicht vaak ook de regels. Het Congres kan deze regels achteraf herzien. Sinds het aantreden van de nieuwe Amerikaanse regering zijn de hoofden van deze agentschappen vervangen. Ook wordt de regelgevende bevoegdheid verder ingeperkt door het Witte Huis en het Congres. Vanuit het Congres is aandacht voor het terugdraaien van sommige regels. Wij volgen deze ontwikkelingen, ook met het oog op stabiliteit en integriteit van het financieel systeem.</w:t>
      </w:r>
    </w:p>
    <w:p w:rsidRPr="00D05723" w:rsidR="00D05723" w:rsidP="14DCBB0A" w:rsidRDefault="14DCBB0A" w14:paraId="632D2B3D" w14:textId="213A00E2">
      <w:pPr>
        <w:rPr>
          <w:rFonts w:ascii="Verdana" w:hAnsi="Verdana"/>
          <w:sz w:val="18"/>
          <w:szCs w:val="18"/>
        </w:rPr>
      </w:pPr>
      <w:r w:rsidRPr="14DCBB0A">
        <w:rPr>
          <w:rFonts w:ascii="Verdana" w:hAnsi="Verdana"/>
          <w:sz w:val="18"/>
          <w:szCs w:val="18"/>
        </w:rPr>
        <w:t xml:space="preserve">Ik zet mij in voor een getrouwe wereldwijde implementatie van de Bazel-standaarden. Dat is belangrijk voor een internationaal gelijk speelveld en de internationale stabiliteit. Hoe een toekomstig voorstel voor bankregelgeving in de VS zich zal verhouden tot de Bazel-standaarden kan ik pas beoordelen wanneer dit voorstel gepubliceerd is. </w:t>
      </w:r>
    </w:p>
    <w:p w:rsidR="00AB4383" w:rsidP="14DCBB0A" w:rsidRDefault="00FF1996" w14:paraId="669DCF6D" w14:textId="45149745">
      <w:pPr>
        <w:rPr>
          <w:rFonts w:ascii="Verdana" w:hAnsi="Verdana"/>
          <w:sz w:val="18"/>
          <w:szCs w:val="18"/>
        </w:rPr>
      </w:pPr>
      <w:r>
        <w:rPr>
          <w:rFonts w:ascii="Verdana" w:hAnsi="Verdana"/>
          <w:b/>
          <w:bCs/>
          <w:sz w:val="18"/>
          <w:szCs w:val="18"/>
        </w:rPr>
        <w:t>Vraag 8</w:t>
      </w:r>
      <w:r>
        <w:rPr>
          <w:rFonts w:ascii="Verdana" w:hAnsi="Verdana"/>
          <w:sz w:val="18"/>
          <w:szCs w:val="18"/>
        </w:rPr>
        <w:br/>
      </w:r>
      <w:r w:rsidRPr="005404FE">
        <w:rPr>
          <w:rFonts w:ascii="Verdana" w:hAnsi="Verdana"/>
          <w:b/>
          <w:bCs/>
          <w:sz w:val="18"/>
          <w:szCs w:val="18"/>
        </w:rPr>
        <w:t>Hoe verschillen de bankenregels in Europa van die in Amerika? In hoeverre is er sprake van een ongelijk speelveld? En wat zijn daarvan de gevolgen?</w:t>
      </w:r>
      <w:r w:rsidRPr="00FF1996">
        <w:rPr>
          <w:rFonts w:ascii="Verdana" w:hAnsi="Verdana"/>
          <w:sz w:val="18"/>
          <w:szCs w:val="18"/>
        </w:rPr>
        <w:t xml:space="preserve"> </w:t>
      </w:r>
      <w:r w:rsidR="002B6932">
        <w:rPr>
          <w:rFonts w:ascii="Verdana" w:hAnsi="Verdana"/>
          <w:sz w:val="18"/>
          <w:szCs w:val="18"/>
        </w:rPr>
        <w:br/>
      </w:r>
      <w:r w:rsidR="00014551">
        <w:rPr>
          <w:rFonts w:ascii="Verdana" w:hAnsi="Verdana"/>
          <w:sz w:val="18"/>
          <w:szCs w:val="18"/>
        </w:rPr>
        <w:br/>
      </w:r>
      <w:r w:rsidRPr="14DCBB0A" w:rsidR="00014551">
        <w:rPr>
          <w:rFonts w:ascii="Verdana" w:hAnsi="Verdana"/>
          <w:i/>
          <w:iCs/>
          <w:sz w:val="18"/>
          <w:szCs w:val="18"/>
        </w:rPr>
        <w:t>Antwoord 8</w:t>
      </w:r>
      <w:r w:rsidR="00014551">
        <w:rPr>
          <w:rFonts w:ascii="Verdana" w:hAnsi="Verdana"/>
          <w:sz w:val="18"/>
          <w:szCs w:val="18"/>
        </w:rPr>
        <w:br/>
      </w:r>
      <w:r w:rsidR="002B6932">
        <w:rPr>
          <w:rFonts w:ascii="Verdana" w:hAnsi="Verdana"/>
          <w:sz w:val="18"/>
          <w:szCs w:val="18"/>
        </w:rPr>
        <w:t xml:space="preserve">De regelgeving van banken in de VS en in Europa is </w:t>
      </w:r>
      <w:r w:rsidR="008861F2">
        <w:rPr>
          <w:rFonts w:ascii="Verdana" w:hAnsi="Verdana"/>
          <w:sz w:val="18"/>
          <w:szCs w:val="18"/>
        </w:rPr>
        <w:t>deels</w:t>
      </w:r>
      <w:r w:rsidR="002B6932">
        <w:rPr>
          <w:rFonts w:ascii="Verdana" w:hAnsi="Verdana"/>
          <w:sz w:val="18"/>
          <w:szCs w:val="18"/>
        </w:rPr>
        <w:t xml:space="preserve"> vergelijkbaar, maar er zijn </w:t>
      </w:r>
      <w:r w:rsidR="00957E80">
        <w:rPr>
          <w:rFonts w:ascii="Verdana" w:hAnsi="Verdana"/>
          <w:sz w:val="18"/>
          <w:szCs w:val="18"/>
        </w:rPr>
        <w:t>ook</w:t>
      </w:r>
      <w:r w:rsidR="002B6932">
        <w:rPr>
          <w:rFonts w:ascii="Verdana" w:hAnsi="Verdana"/>
          <w:sz w:val="18"/>
          <w:szCs w:val="18"/>
        </w:rPr>
        <w:t xml:space="preserve"> verschillen. Zo hebben de VS op diverse onderdelen strengere regels dan de Bazel-standaarden voorschrijven, bijvoorbeeld ten aanzien van de</w:t>
      </w:r>
      <w:r w:rsidR="008861F2">
        <w:rPr>
          <w:rFonts w:ascii="Verdana" w:hAnsi="Verdana"/>
          <w:sz w:val="18"/>
          <w:szCs w:val="18"/>
        </w:rPr>
        <w:t xml:space="preserve"> hefboomratio</w:t>
      </w:r>
      <w:r w:rsidR="002B6932">
        <w:rPr>
          <w:rFonts w:ascii="Verdana" w:hAnsi="Verdana"/>
          <w:sz w:val="18"/>
          <w:szCs w:val="18"/>
        </w:rPr>
        <w:t xml:space="preserve"> </w:t>
      </w:r>
      <w:r w:rsidR="008861F2">
        <w:rPr>
          <w:rFonts w:ascii="Verdana" w:hAnsi="Verdana"/>
          <w:sz w:val="18"/>
          <w:szCs w:val="18"/>
        </w:rPr>
        <w:t>(</w:t>
      </w:r>
      <w:proofErr w:type="spellStart"/>
      <w:r w:rsidRPr="14DCBB0A" w:rsidR="002B6932">
        <w:rPr>
          <w:rFonts w:ascii="Verdana" w:hAnsi="Verdana"/>
          <w:i/>
          <w:iCs/>
          <w:sz w:val="18"/>
          <w:szCs w:val="18"/>
        </w:rPr>
        <w:t>leverage</w:t>
      </w:r>
      <w:proofErr w:type="spellEnd"/>
      <w:r w:rsidRPr="14DCBB0A" w:rsidR="002B6932">
        <w:rPr>
          <w:rFonts w:ascii="Verdana" w:hAnsi="Verdana"/>
          <w:i/>
          <w:iCs/>
          <w:sz w:val="18"/>
          <w:szCs w:val="18"/>
        </w:rPr>
        <w:t xml:space="preserve"> ratio</w:t>
      </w:r>
      <w:r w:rsidRPr="14DCBB0A" w:rsidR="008861F2">
        <w:rPr>
          <w:rFonts w:ascii="Verdana" w:hAnsi="Verdana"/>
          <w:i/>
          <w:iCs/>
          <w:sz w:val="18"/>
          <w:szCs w:val="18"/>
        </w:rPr>
        <w:t>,</w:t>
      </w:r>
      <w:r w:rsidR="002B6932">
        <w:rPr>
          <w:rFonts w:ascii="Verdana" w:hAnsi="Verdana"/>
          <w:sz w:val="18"/>
          <w:szCs w:val="18"/>
        </w:rPr>
        <w:t xml:space="preserve"> </w:t>
      </w:r>
      <w:r w:rsidR="008861F2">
        <w:rPr>
          <w:rFonts w:ascii="Verdana" w:hAnsi="Verdana"/>
          <w:sz w:val="18"/>
          <w:szCs w:val="18"/>
        </w:rPr>
        <w:t>ongewogen kapitaaleisen)</w:t>
      </w:r>
      <w:r w:rsidR="002B6932">
        <w:rPr>
          <w:rFonts w:ascii="Verdana" w:hAnsi="Verdana"/>
          <w:sz w:val="18"/>
          <w:szCs w:val="18"/>
        </w:rPr>
        <w:t xml:space="preserve">. </w:t>
      </w:r>
      <w:r w:rsidR="008861F2">
        <w:rPr>
          <w:rFonts w:ascii="Verdana" w:hAnsi="Verdana"/>
          <w:sz w:val="18"/>
          <w:szCs w:val="18"/>
        </w:rPr>
        <w:t>Uit analyses van de ECB – waarin de implementatie van de finale Bazel III-standaarden nog niet is meegenomen – blijkt dat met name Europese grootbanken m</w:t>
      </w:r>
      <w:r w:rsidR="00957E80">
        <w:rPr>
          <w:rFonts w:ascii="Verdana" w:hAnsi="Verdana"/>
          <w:sz w:val="18"/>
          <w:szCs w:val="18"/>
        </w:rPr>
        <w:t>éé</w:t>
      </w:r>
      <w:r w:rsidR="008861F2">
        <w:rPr>
          <w:rFonts w:ascii="Verdana" w:hAnsi="Verdana"/>
          <w:sz w:val="18"/>
          <w:szCs w:val="18"/>
        </w:rPr>
        <w:t>r kapitaal zouden moeten aanhouden a</w:t>
      </w:r>
      <w:r w:rsidR="002B6932">
        <w:rPr>
          <w:rFonts w:ascii="Verdana" w:hAnsi="Verdana"/>
          <w:sz w:val="18"/>
          <w:szCs w:val="18"/>
        </w:rPr>
        <w:t xml:space="preserve">ls </w:t>
      </w:r>
      <w:r w:rsidR="008861F2">
        <w:rPr>
          <w:rFonts w:ascii="Verdana" w:hAnsi="Verdana"/>
          <w:sz w:val="18"/>
          <w:szCs w:val="18"/>
        </w:rPr>
        <w:t>zij</w:t>
      </w:r>
      <w:r w:rsidR="002B6932">
        <w:rPr>
          <w:rFonts w:ascii="Verdana" w:hAnsi="Verdana"/>
          <w:sz w:val="18"/>
          <w:szCs w:val="18"/>
        </w:rPr>
        <w:t xml:space="preserve"> onder Amerikaanse bankregelgeving zouden vallen.</w:t>
      </w:r>
      <w:r w:rsidR="00BE50A3">
        <w:rPr>
          <w:rStyle w:val="Voetnootmarkering"/>
          <w:rFonts w:ascii="Verdana" w:hAnsi="Verdana"/>
          <w:sz w:val="18"/>
          <w:szCs w:val="18"/>
        </w:rPr>
        <w:footnoteReference w:id="4"/>
      </w:r>
      <w:r w:rsidR="002B6932">
        <w:rPr>
          <w:rFonts w:ascii="Verdana" w:hAnsi="Verdana"/>
          <w:sz w:val="18"/>
          <w:szCs w:val="18"/>
        </w:rPr>
        <w:t xml:space="preserve"> Voor kleinere en middelgrote banken</w:t>
      </w:r>
      <w:r w:rsidR="00900DCB">
        <w:rPr>
          <w:rFonts w:ascii="Verdana" w:hAnsi="Verdana"/>
          <w:sz w:val="18"/>
          <w:szCs w:val="18"/>
        </w:rPr>
        <w:t xml:space="preserve"> zou dit anders zijn</w:t>
      </w:r>
      <w:r w:rsidR="002B6932">
        <w:rPr>
          <w:rFonts w:ascii="Verdana" w:hAnsi="Verdana"/>
          <w:sz w:val="18"/>
          <w:szCs w:val="18"/>
        </w:rPr>
        <w:t xml:space="preserve">, </w:t>
      </w:r>
      <w:r w:rsidR="00D308A6">
        <w:rPr>
          <w:rFonts w:ascii="Verdana" w:hAnsi="Verdana"/>
          <w:sz w:val="18"/>
          <w:szCs w:val="18"/>
        </w:rPr>
        <w:t xml:space="preserve">omdat in Europa voor kleine en middelgrote banken strengere eisen van toepassing zijn dan in de VS. </w:t>
      </w:r>
      <w:r w:rsidR="00C15D87">
        <w:rPr>
          <w:rFonts w:ascii="Verdana" w:hAnsi="Verdana"/>
          <w:sz w:val="18"/>
          <w:szCs w:val="18"/>
        </w:rPr>
        <w:t>De VS past eigen standaarden toe op zulke banken in plaats van de Bazelstandaarden.</w:t>
      </w:r>
    </w:p>
    <w:p w:rsidRPr="005666E1" w:rsidR="00D308A6" w:rsidP="14DCBB0A" w:rsidRDefault="14DCBB0A" w14:paraId="0C97EFD0" w14:textId="281BDAB2">
      <w:pPr>
        <w:rPr>
          <w:rFonts w:ascii="Verdana" w:hAnsi="Verdana"/>
          <w:sz w:val="18"/>
          <w:szCs w:val="18"/>
        </w:rPr>
      </w:pPr>
      <w:r w:rsidRPr="14DCBB0A">
        <w:rPr>
          <w:rFonts w:ascii="Verdana" w:hAnsi="Verdana"/>
          <w:sz w:val="18"/>
          <w:szCs w:val="18"/>
        </w:rPr>
        <w:t>In bepaalde gevallen kunnen specifieke verschillen in regelgeving leiden tot een ongelijk speelveld. De invoering van het marktrisicoraamwerk (</w:t>
      </w:r>
      <w:proofErr w:type="spellStart"/>
      <w:r w:rsidRPr="14DCBB0A">
        <w:rPr>
          <w:rFonts w:ascii="Verdana" w:hAnsi="Verdana"/>
          <w:i/>
          <w:iCs/>
          <w:sz w:val="18"/>
          <w:szCs w:val="18"/>
        </w:rPr>
        <w:t>Fundamental</w:t>
      </w:r>
      <w:proofErr w:type="spellEnd"/>
      <w:r w:rsidRPr="14DCBB0A">
        <w:rPr>
          <w:rFonts w:ascii="Verdana" w:hAnsi="Verdana"/>
          <w:i/>
          <w:iCs/>
          <w:sz w:val="18"/>
          <w:szCs w:val="18"/>
        </w:rPr>
        <w:t xml:space="preserve"> Review of </w:t>
      </w:r>
      <w:proofErr w:type="spellStart"/>
      <w:r w:rsidRPr="14DCBB0A">
        <w:rPr>
          <w:rFonts w:ascii="Verdana" w:hAnsi="Verdana"/>
          <w:i/>
          <w:iCs/>
          <w:sz w:val="18"/>
          <w:szCs w:val="18"/>
        </w:rPr>
        <w:t>the</w:t>
      </w:r>
      <w:proofErr w:type="spellEnd"/>
      <w:r w:rsidRPr="14DCBB0A">
        <w:rPr>
          <w:rFonts w:ascii="Verdana" w:hAnsi="Verdana"/>
          <w:i/>
          <w:iCs/>
          <w:sz w:val="18"/>
          <w:szCs w:val="18"/>
        </w:rPr>
        <w:t xml:space="preserve"> </w:t>
      </w:r>
      <w:proofErr w:type="spellStart"/>
      <w:r w:rsidRPr="14DCBB0A">
        <w:rPr>
          <w:rFonts w:ascii="Verdana" w:hAnsi="Verdana"/>
          <w:i/>
          <w:iCs/>
          <w:sz w:val="18"/>
          <w:szCs w:val="18"/>
        </w:rPr>
        <w:t>Trading</w:t>
      </w:r>
      <w:proofErr w:type="spellEnd"/>
      <w:r w:rsidRPr="14DCBB0A">
        <w:rPr>
          <w:rFonts w:ascii="Verdana" w:hAnsi="Verdana"/>
          <w:i/>
          <w:iCs/>
          <w:sz w:val="18"/>
          <w:szCs w:val="18"/>
        </w:rPr>
        <w:t xml:space="preserve"> </w:t>
      </w:r>
      <w:proofErr w:type="spellStart"/>
      <w:r w:rsidRPr="14DCBB0A">
        <w:rPr>
          <w:rFonts w:ascii="Verdana" w:hAnsi="Verdana"/>
          <w:i/>
          <w:iCs/>
          <w:sz w:val="18"/>
          <w:szCs w:val="18"/>
        </w:rPr>
        <w:t>Book</w:t>
      </w:r>
      <w:proofErr w:type="spellEnd"/>
      <w:r w:rsidRPr="14DCBB0A">
        <w:rPr>
          <w:rFonts w:ascii="Verdana" w:hAnsi="Verdana"/>
          <w:sz w:val="18"/>
          <w:szCs w:val="18"/>
        </w:rPr>
        <w:t>, FRTB) is een voorbeeld van regelgeving waarbij een gelijk speelveld van groot belang is voor een aantal internationale banken die direct met elkaar kunnen concurreren. Dit raamwerk bevat regels om risico’s te adresseren die voortkomen uit handelsactiviteiten van banken, een zeer geglobaliseerd onderdeel van de bancaire sector. Omdat verschillen in regelgeving tussen jurisdicties tot een ongelijk speelveld kunnen leiden, zijn er Bazel-standaarden afgesproken voor de invoering van de FRTB. De implementatie van de FRTB heeft in verschillende jurisdicties al plaatsgevonden, maar in onder meer de VS en het VK nog niet. Dit heeft de Europese Commissie er dan ook toe bewogen de implementatie van FRTB vooralsnog met één jaar uit te stellen, tot 1 januari 2026. Overigens brengt uitstel ook operationele kosten met zich mee voor banken. Momenteel overweegt de Commissie vervolgstappen.</w:t>
      </w:r>
    </w:p>
    <w:p w:rsidRPr="00E83429" w:rsidR="006B61C6" w:rsidP="14DCBB0A" w:rsidRDefault="00FF1996" w14:paraId="4D84311E" w14:textId="205DCC9A">
      <w:pPr>
        <w:rPr>
          <w:rFonts w:ascii="Verdana" w:hAnsi="Verdana"/>
          <w:sz w:val="18"/>
          <w:szCs w:val="18"/>
        </w:rPr>
      </w:pPr>
      <w:r>
        <w:rPr>
          <w:rFonts w:ascii="Verdana" w:hAnsi="Verdana"/>
          <w:b/>
          <w:bCs/>
          <w:sz w:val="18"/>
          <w:szCs w:val="18"/>
        </w:rPr>
        <w:t>Vraag 9</w:t>
      </w:r>
      <w:r>
        <w:rPr>
          <w:rFonts w:ascii="Verdana" w:hAnsi="Verdana"/>
          <w:sz w:val="18"/>
          <w:szCs w:val="18"/>
        </w:rPr>
        <w:br/>
      </w:r>
      <w:r w:rsidRPr="005404FE">
        <w:rPr>
          <w:rFonts w:ascii="Verdana" w:hAnsi="Verdana"/>
          <w:b/>
          <w:bCs/>
          <w:sz w:val="18"/>
          <w:szCs w:val="18"/>
        </w:rPr>
        <w:t>Hoe wijken de Europese bankenregels af van de internationale Ba</w:t>
      </w:r>
      <w:r w:rsidR="005666E1">
        <w:rPr>
          <w:rFonts w:ascii="Verdana" w:hAnsi="Verdana"/>
          <w:b/>
          <w:bCs/>
          <w:sz w:val="18"/>
          <w:szCs w:val="18"/>
        </w:rPr>
        <w:t>z</w:t>
      </w:r>
      <w:r w:rsidRPr="005404FE">
        <w:rPr>
          <w:rFonts w:ascii="Verdana" w:hAnsi="Verdana"/>
          <w:b/>
          <w:bCs/>
          <w:sz w:val="18"/>
          <w:szCs w:val="18"/>
        </w:rPr>
        <w:t>el-afspraken?</w:t>
      </w:r>
      <w:r w:rsidRPr="00FF1996">
        <w:rPr>
          <w:rFonts w:ascii="Verdana" w:hAnsi="Verdana"/>
          <w:sz w:val="18"/>
          <w:szCs w:val="18"/>
        </w:rPr>
        <w:t xml:space="preserve"> </w:t>
      </w:r>
      <w:r w:rsidR="00E83429">
        <w:rPr>
          <w:rFonts w:ascii="Verdana" w:hAnsi="Verdana"/>
          <w:sz w:val="18"/>
          <w:szCs w:val="18"/>
        </w:rPr>
        <w:br/>
      </w:r>
      <w:r w:rsidR="00E83429">
        <w:rPr>
          <w:rFonts w:ascii="Verdana" w:hAnsi="Verdana"/>
          <w:sz w:val="18"/>
          <w:szCs w:val="18"/>
        </w:rPr>
        <w:br/>
      </w:r>
      <w:r w:rsidRPr="14DCBB0A" w:rsidR="00E83429">
        <w:rPr>
          <w:rFonts w:ascii="Verdana" w:hAnsi="Verdana"/>
          <w:i/>
          <w:iCs/>
          <w:sz w:val="18"/>
          <w:szCs w:val="18"/>
        </w:rPr>
        <w:t>Antwoord 9</w:t>
      </w:r>
      <w:r w:rsidR="00E83429">
        <w:rPr>
          <w:rFonts w:ascii="Verdana" w:hAnsi="Verdana"/>
          <w:sz w:val="18"/>
          <w:szCs w:val="18"/>
        </w:rPr>
        <w:br/>
        <w:t>Bij de implementatie van</w:t>
      </w:r>
      <w:r w:rsidR="00957E80">
        <w:rPr>
          <w:rFonts w:ascii="Verdana" w:hAnsi="Verdana"/>
          <w:sz w:val="18"/>
          <w:szCs w:val="18"/>
        </w:rPr>
        <w:t xml:space="preserve"> de</w:t>
      </w:r>
      <w:r w:rsidR="00E83429">
        <w:rPr>
          <w:rFonts w:ascii="Verdana" w:hAnsi="Verdana"/>
          <w:sz w:val="18"/>
          <w:szCs w:val="18"/>
        </w:rPr>
        <w:t xml:space="preserve"> Bazelstandaarden in Europa zijn enkele afzwakkingen </w:t>
      </w:r>
      <w:r w:rsidR="00205BCD">
        <w:rPr>
          <w:rFonts w:ascii="Verdana" w:hAnsi="Verdana"/>
          <w:sz w:val="18"/>
          <w:szCs w:val="18"/>
        </w:rPr>
        <w:t xml:space="preserve">of afwijkingen </w:t>
      </w:r>
      <w:r w:rsidR="00E83429">
        <w:rPr>
          <w:rFonts w:ascii="Verdana" w:hAnsi="Verdana"/>
          <w:sz w:val="18"/>
          <w:szCs w:val="18"/>
        </w:rPr>
        <w:t xml:space="preserve">voorgesteld en ingevoerd, die maken dat de Europese bankenregels niet op alle vlakken gelijk zijn aan de internationale </w:t>
      </w:r>
      <w:r w:rsidR="00C15D87">
        <w:rPr>
          <w:rFonts w:ascii="Verdana" w:hAnsi="Verdana"/>
          <w:sz w:val="18"/>
          <w:szCs w:val="18"/>
        </w:rPr>
        <w:t>Bazelstandaarden</w:t>
      </w:r>
      <w:r w:rsidR="00E83429">
        <w:rPr>
          <w:rFonts w:ascii="Verdana" w:hAnsi="Verdana"/>
          <w:sz w:val="18"/>
          <w:szCs w:val="18"/>
        </w:rPr>
        <w:t>. Zo</w:t>
      </w:r>
      <w:r w:rsidR="00205BCD">
        <w:rPr>
          <w:rFonts w:ascii="Verdana" w:hAnsi="Verdana"/>
          <w:sz w:val="18"/>
          <w:szCs w:val="18"/>
        </w:rPr>
        <w:t xml:space="preserve"> worden in Europese regelgeving lagere risicogewichten toegekend voor blootstellingen aan het midden- en kleinbedrijf (MKB) en aan investeringen in infrastructuur. Als gevolg hiervan hoeven banken voor deze blootstellingen minder kapitaal aan te houden dan passend zou zijn op basis van de Bazel</w:t>
      </w:r>
      <w:r w:rsidR="00C15D87">
        <w:rPr>
          <w:rFonts w:ascii="Verdana" w:hAnsi="Verdana"/>
          <w:sz w:val="18"/>
          <w:szCs w:val="18"/>
        </w:rPr>
        <w:t>standaarden</w:t>
      </w:r>
      <w:r w:rsidR="00205BCD">
        <w:rPr>
          <w:rFonts w:ascii="Verdana" w:hAnsi="Verdana"/>
          <w:sz w:val="18"/>
          <w:szCs w:val="18"/>
        </w:rPr>
        <w:t xml:space="preserve">, </w:t>
      </w:r>
      <w:r w:rsidR="009A0D77">
        <w:rPr>
          <w:rFonts w:ascii="Verdana" w:hAnsi="Verdana"/>
          <w:sz w:val="18"/>
          <w:szCs w:val="18"/>
        </w:rPr>
        <w:t xml:space="preserve">wat </w:t>
      </w:r>
      <w:r w:rsidR="00205BCD">
        <w:rPr>
          <w:rFonts w:ascii="Verdana" w:hAnsi="Verdana"/>
          <w:sz w:val="18"/>
          <w:szCs w:val="18"/>
        </w:rPr>
        <w:t xml:space="preserve">banken </w:t>
      </w:r>
      <w:r w:rsidR="009A0D77">
        <w:rPr>
          <w:rFonts w:ascii="Verdana" w:hAnsi="Verdana"/>
          <w:sz w:val="18"/>
          <w:szCs w:val="18"/>
        </w:rPr>
        <w:t>moet stimuleren</w:t>
      </w:r>
      <w:r w:rsidR="00205BCD">
        <w:rPr>
          <w:rFonts w:ascii="Verdana" w:hAnsi="Verdana"/>
          <w:sz w:val="18"/>
          <w:szCs w:val="18"/>
        </w:rPr>
        <w:t xml:space="preserve"> om aan het MKB en infrastructurele projecten geld uit te lenen. Ook rond de </w:t>
      </w:r>
      <w:proofErr w:type="spellStart"/>
      <w:r w:rsidR="00205BCD">
        <w:rPr>
          <w:rFonts w:ascii="Verdana" w:hAnsi="Verdana"/>
          <w:sz w:val="18"/>
          <w:szCs w:val="18"/>
        </w:rPr>
        <w:t>infasering</w:t>
      </w:r>
      <w:proofErr w:type="spellEnd"/>
      <w:r w:rsidR="008E4DE3">
        <w:rPr>
          <w:rFonts w:ascii="Verdana" w:hAnsi="Verdana"/>
          <w:sz w:val="18"/>
          <w:szCs w:val="18"/>
        </w:rPr>
        <w:t xml:space="preserve"> en berekening</w:t>
      </w:r>
      <w:r w:rsidR="00205BCD">
        <w:rPr>
          <w:rFonts w:ascii="Verdana" w:hAnsi="Verdana"/>
          <w:sz w:val="18"/>
          <w:szCs w:val="18"/>
        </w:rPr>
        <w:t xml:space="preserve"> van de kapitaalvloer</w:t>
      </w:r>
      <w:r w:rsidR="008E4DE3">
        <w:rPr>
          <w:rFonts w:ascii="Verdana" w:hAnsi="Verdana"/>
          <w:sz w:val="18"/>
          <w:szCs w:val="18"/>
        </w:rPr>
        <w:t xml:space="preserve"> </w:t>
      </w:r>
      <w:r w:rsidR="00205BCD">
        <w:rPr>
          <w:rFonts w:ascii="Verdana" w:hAnsi="Verdana"/>
          <w:sz w:val="18"/>
          <w:szCs w:val="18"/>
        </w:rPr>
        <w:t>– het belangrijkste onderdeel van de finale Bazel</w:t>
      </w:r>
      <w:r w:rsidR="00C15D87">
        <w:rPr>
          <w:rFonts w:ascii="Verdana" w:hAnsi="Verdana"/>
          <w:sz w:val="18"/>
          <w:szCs w:val="18"/>
        </w:rPr>
        <w:t xml:space="preserve"> III</w:t>
      </w:r>
      <w:r w:rsidR="00205BCD">
        <w:rPr>
          <w:rFonts w:ascii="Verdana" w:hAnsi="Verdana"/>
          <w:sz w:val="18"/>
          <w:szCs w:val="18"/>
        </w:rPr>
        <w:t xml:space="preserve">-standaarden </w:t>
      </w:r>
      <w:r w:rsidR="008E4DE3">
        <w:rPr>
          <w:rFonts w:ascii="Verdana" w:hAnsi="Verdana"/>
          <w:sz w:val="18"/>
          <w:szCs w:val="18"/>
        </w:rPr>
        <w:t>–</w:t>
      </w:r>
      <w:r w:rsidR="00205BCD">
        <w:rPr>
          <w:rFonts w:ascii="Verdana" w:hAnsi="Verdana"/>
          <w:sz w:val="18"/>
          <w:szCs w:val="18"/>
        </w:rPr>
        <w:t xml:space="preserve"> </w:t>
      </w:r>
      <w:r w:rsidR="00C15D87">
        <w:rPr>
          <w:rFonts w:ascii="Verdana" w:hAnsi="Verdana"/>
          <w:sz w:val="18"/>
          <w:szCs w:val="18"/>
        </w:rPr>
        <w:t>zijn in Europese regelgeving</w:t>
      </w:r>
      <w:r w:rsidR="008E4DE3">
        <w:rPr>
          <w:rFonts w:ascii="Verdana" w:hAnsi="Verdana"/>
          <w:sz w:val="18"/>
          <w:szCs w:val="18"/>
        </w:rPr>
        <w:t xml:space="preserve"> </w:t>
      </w:r>
      <w:r w:rsidR="003D0160">
        <w:rPr>
          <w:rFonts w:ascii="Verdana" w:hAnsi="Verdana"/>
          <w:sz w:val="18"/>
          <w:szCs w:val="18"/>
        </w:rPr>
        <w:t xml:space="preserve">(tijdelijke) transitiemaatregelen </w:t>
      </w:r>
      <w:r w:rsidR="00C15D87">
        <w:rPr>
          <w:rFonts w:ascii="Verdana" w:hAnsi="Verdana"/>
          <w:sz w:val="18"/>
          <w:szCs w:val="18"/>
        </w:rPr>
        <w:t xml:space="preserve">opgenomen </w:t>
      </w:r>
      <w:r w:rsidR="003D0160">
        <w:rPr>
          <w:rFonts w:ascii="Verdana" w:hAnsi="Verdana"/>
          <w:sz w:val="18"/>
          <w:szCs w:val="18"/>
        </w:rPr>
        <w:t xml:space="preserve">die niet in lijn zijn met de standaarden. </w:t>
      </w:r>
      <w:r w:rsidR="00C15D87">
        <w:rPr>
          <w:rFonts w:ascii="Verdana" w:hAnsi="Verdana"/>
          <w:sz w:val="18"/>
          <w:szCs w:val="18"/>
        </w:rPr>
        <w:t xml:space="preserve">Daarentegen kent </w:t>
      </w:r>
      <w:r w:rsidR="005A583D">
        <w:rPr>
          <w:rFonts w:ascii="Verdana" w:hAnsi="Verdana"/>
          <w:sz w:val="18"/>
          <w:szCs w:val="18"/>
        </w:rPr>
        <w:t>EU-regelgeving</w:t>
      </w:r>
      <w:r w:rsidR="00C15D87">
        <w:rPr>
          <w:rFonts w:ascii="Verdana" w:hAnsi="Verdana"/>
          <w:sz w:val="18"/>
          <w:szCs w:val="18"/>
        </w:rPr>
        <w:t xml:space="preserve"> voor bepaalde risico’s ook eigenheden</w:t>
      </w:r>
      <w:r w:rsidR="002D32E5">
        <w:rPr>
          <w:rFonts w:ascii="Verdana" w:hAnsi="Verdana"/>
          <w:sz w:val="18"/>
          <w:szCs w:val="18"/>
        </w:rPr>
        <w:t xml:space="preserve"> of concretiseringen</w:t>
      </w:r>
      <w:r w:rsidR="00C15D87">
        <w:rPr>
          <w:rFonts w:ascii="Verdana" w:hAnsi="Verdana"/>
          <w:sz w:val="18"/>
          <w:szCs w:val="18"/>
        </w:rPr>
        <w:t xml:space="preserve"> die niet rechtstreeks voortvloeien uit de Bazelstandaarden. </w:t>
      </w:r>
      <w:r w:rsidR="00443967">
        <w:rPr>
          <w:rFonts w:ascii="Verdana" w:hAnsi="Verdana"/>
          <w:sz w:val="18"/>
          <w:szCs w:val="18"/>
        </w:rPr>
        <w:t xml:space="preserve">Ook </w:t>
      </w:r>
      <w:r w:rsidR="00957E80">
        <w:rPr>
          <w:rFonts w:ascii="Verdana" w:hAnsi="Verdana"/>
          <w:sz w:val="18"/>
          <w:szCs w:val="18"/>
        </w:rPr>
        <w:t>heeft</w:t>
      </w:r>
      <w:r w:rsidR="00443967">
        <w:rPr>
          <w:rFonts w:ascii="Verdana" w:hAnsi="Verdana"/>
          <w:sz w:val="18"/>
          <w:szCs w:val="18"/>
        </w:rPr>
        <w:t xml:space="preserve"> de EU soms </w:t>
      </w:r>
      <w:r w:rsidR="00443967">
        <w:rPr>
          <w:rFonts w:ascii="Verdana" w:hAnsi="Verdana"/>
          <w:sz w:val="18"/>
          <w:szCs w:val="18"/>
        </w:rPr>
        <w:lastRenderedPageBreak/>
        <w:t>nationale opties en discreties die het gevolg zijn van onderhandelingen tussen lidstaten en worden bepaalde elementen uit regelgeving nader gespecificeerd in technische standaarden of richtsnoeren van de Europese Bankenautoriteit (EBA).</w:t>
      </w:r>
      <w:r w:rsidR="003D0160">
        <w:rPr>
          <w:rFonts w:ascii="Verdana" w:hAnsi="Verdana"/>
          <w:sz w:val="18"/>
          <w:szCs w:val="18"/>
        </w:rPr>
        <w:br/>
      </w:r>
      <w:r w:rsidR="003D0160">
        <w:rPr>
          <w:rFonts w:ascii="Verdana" w:hAnsi="Verdana"/>
          <w:sz w:val="18"/>
          <w:szCs w:val="18"/>
        </w:rPr>
        <w:br/>
        <w:t>De Bazel</w:t>
      </w:r>
      <w:r w:rsidR="00957E80">
        <w:rPr>
          <w:rFonts w:ascii="Verdana" w:hAnsi="Verdana"/>
          <w:sz w:val="18"/>
          <w:szCs w:val="18"/>
        </w:rPr>
        <w:t>s</w:t>
      </w:r>
      <w:r w:rsidR="003D0160">
        <w:rPr>
          <w:rFonts w:ascii="Verdana" w:hAnsi="Verdana"/>
          <w:sz w:val="18"/>
          <w:szCs w:val="18"/>
        </w:rPr>
        <w:t>tandaarden worden in de EU – met enige mate van proportionaliteit – toegepast op alle banken, niet alleen</w:t>
      </w:r>
      <w:r w:rsidR="002D32E5">
        <w:rPr>
          <w:rFonts w:ascii="Verdana" w:hAnsi="Verdana"/>
          <w:sz w:val="18"/>
          <w:szCs w:val="18"/>
        </w:rPr>
        <w:t xml:space="preserve"> op</w:t>
      </w:r>
      <w:r w:rsidR="003D0160">
        <w:rPr>
          <w:rFonts w:ascii="Verdana" w:hAnsi="Verdana"/>
          <w:sz w:val="18"/>
          <w:szCs w:val="18"/>
        </w:rPr>
        <w:t xml:space="preserve"> de internationaal actieve banken. Hoewel Europese banken zonder internationale activiteiten niet noodzakelijk onderdeel zijn van de doelgroep</w:t>
      </w:r>
      <w:r w:rsidR="002D32E5">
        <w:rPr>
          <w:rFonts w:ascii="Verdana" w:hAnsi="Verdana"/>
          <w:sz w:val="18"/>
          <w:szCs w:val="18"/>
        </w:rPr>
        <w:t xml:space="preserve"> van de Bazelstandaarden</w:t>
      </w:r>
      <w:r w:rsidR="003D0160">
        <w:rPr>
          <w:rFonts w:ascii="Verdana" w:hAnsi="Verdana"/>
          <w:sz w:val="18"/>
          <w:szCs w:val="18"/>
        </w:rPr>
        <w:t xml:space="preserve">, </w:t>
      </w:r>
      <w:r w:rsidR="00957E80">
        <w:rPr>
          <w:rFonts w:ascii="Verdana" w:hAnsi="Verdana"/>
          <w:sz w:val="18"/>
          <w:szCs w:val="18"/>
        </w:rPr>
        <w:t>moet er</w:t>
      </w:r>
      <w:r w:rsidR="003D0160">
        <w:rPr>
          <w:rFonts w:ascii="Verdana" w:hAnsi="Verdana"/>
          <w:sz w:val="18"/>
          <w:szCs w:val="18"/>
        </w:rPr>
        <w:t xml:space="preserve"> ook voor deze kleinere banken</w:t>
      </w:r>
      <w:r w:rsidR="00957E80">
        <w:rPr>
          <w:rFonts w:ascii="Verdana" w:hAnsi="Verdana"/>
          <w:sz w:val="18"/>
          <w:szCs w:val="18"/>
        </w:rPr>
        <w:t xml:space="preserve"> </w:t>
      </w:r>
      <w:r w:rsidR="003D0160">
        <w:rPr>
          <w:rFonts w:ascii="Verdana" w:hAnsi="Verdana"/>
          <w:sz w:val="18"/>
          <w:szCs w:val="18"/>
        </w:rPr>
        <w:t xml:space="preserve">adequate en accurate </w:t>
      </w:r>
      <w:proofErr w:type="spellStart"/>
      <w:r w:rsidR="003D0160">
        <w:rPr>
          <w:rFonts w:ascii="Verdana" w:hAnsi="Verdana"/>
          <w:sz w:val="18"/>
          <w:szCs w:val="18"/>
        </w:rPr>
        <w:t>prudentiële</w:t>
      </w:r>
      <w:proofErr w:type="spellEnd"/>
      <w:r w:rsidR="003D0160">
        <w:rPr>
          <w:rFonts w:ascii="Verdana" w:hAnsi="Verdana"/>
          <w:sz w:val="18"/>
          <w:szCs w:val="18"/>
        </w:rPr>
        <w:t xml:space="preserve"> regelgeving zijn. De bankenonrust in maart 2023 kwam onder meer voort uit versoepeling van het </w:t>
      </w:r>
      <w:proofErr w:type="spellStart"/>
      <w:r w:rsidR="003D0160">
        <w:rPr>
          <w:rFonts w:ascii="Verdana" w:hAnsi="Verdana"/>
          <w:sz w:val="18"/>
          <w:szCs w:val="18"/>
        </w:rPr>
        <w:t>toezichtsregime</w:t>
      </w:r>
      <w:proofErr w:type="spellEnd"/>
      <w:r w:rsidR="003D0160">
        <w:rPr>
          <w:rFonts w:ascii="Verdana" w:hAnsi="Verdana"/>
          <w:sz w:val="18"/>
          <w:szCs w:val="18"/>
        </w:rPr>
        <w:t xml:space="preserve"> voor niet-systemische regionale banken</w:t>
      </w:r>
      <w:r w:rsidR="002D32E5">
        <w:rPr>
          <w:rFonts w:ascii="Verdana" w:hAnsi="Verdana"/>
          <w:sz w:val="18"/>
          <w:szCs w:val="18"/>
        </w:rPr>
        <w:t xml:space="preserve"> in de VS</w:t>
      </w:r>
      <w:r w:rsidR="003D0160">
        <w:rPr>
          <w:rFonts w:ascii="Verdana" w:hAnsi="Verdana"/>
          <w:sz w:val="18"/>
          <w:szCs w:val="18"/>
        </w:rPr>
        <w:t xml:space="preserve">, wat laat zien dat ook op nationaal en regionaal niveau de bankregulering en het bijbehorende toezicht adequaat moeten functioneren.  </w:t>
      </w:r>
      <w:r w:rsidR="003D0160">
        <w:rPr>
          <w:rFonts w:ascii="Verdana" w:hAnsi="Verdana"/>
          <w:sz w:val="18"/>
          <w:szCs w:val="18"/>
        </w:rPr>
        <w:br/>
      </w:r>
      <w:r w:rsidR="003D0160">
        <w:rPr>
          <w:rFonts w:ascii="Verdana" w:hAnsi="Verdana"/>
          <w:sz w:val="18"/>
          <w:szCs w:val="18"/>
        </w:rPr>
        <w:br/>
        <w:t>In het ambtelijke rapport ‘beleidsrichtingen voor een weerbare bankensector’ wordt de mogelijkheid</w:t>
      </w:r>
      <w:r w:rsidR="002D32E5">
        <w:rPr>
          <w:rFonts w:ascii="Verdana" w:hAnsi="Verdana"/>
          <w:sz w:val="18"/>
          <w:szCs w:val="18"/>
        </w:rPr>
        <w:t xml:space="preserve"> </w:t>
      </w:r>
      <w:r w:rsidR="00957E80">
        <w:rPr>
          <w:rFonts w:ascii="Verdana" w:hAnsi="Verdana"/>
          <w:sz w:val="18"/>
          <w:szCs w:val="18"/>
        </w:rPr>
        <w:t>g</w:t>
      </w:r>
      <w:r w:rsidR="002D32E5">
        <w:rPr>
          <w:rFonts w:ascii="Verdana" w:hAnsi="Verdana"/>
          <w:sz w:val="18"/>
          <w:szCs w:val="18"/>
        </w:rPr>
        <w:t>enoemd</w:t>
      </w:r>
      <w:r w:rsidR="003D0160">
        <w:rPr>
          <w:rFonts w:ascii="Verdana" w:hAnsi="Verdana"/>
          <w:sz w:val="18"/>
          <w:szCs w:val="18"/>
        </w:rPr>
        <w:t xml:space="preserve"> om </w:t>
      </w:r>
      <w:r w:rsidR="002D32E5">
        <w:rPr>
          <w:rFonts w:ascii="Verdana" w:hAnsi="Verdana"/>
          <w:sz w:val="18"/>
          <w:szCs w:val="18"/>
        </w:rPr>
        <w:t xml:space="preserve">te verkennen om </w:t>
      </w:r>
      <w:r w:rsidR="003D0160">
        <w:rPr>
          <w:rFonts w:ascii="Verdana" w:hAnsi="Verdana"/>
          <w:sz w:val="18"/>
          <w:szCs w:val="18"/>
        </w:rPr>
        <w:t>voor kleinere banken ‘simpele maar robuuste standaarden’ te ontwikkelen</w:t>
      </w:r>
      <w:r w:rsidR="009A0D77">
        <w:rPr>
          <w:rFonts w:ascii="Verdana" w:hAnsi="Verdana"/>
          <w:sz w:val="18"/>
          <w:szCs w:val="18"/>
        </w:rPr>
        <w:t>, in aanvulling op de al geboden proportionaliteit voor kleine en niet-complexe instellingen</w:t>
      </w:r>
      <w:r w:rsidR="002D32E5">
        <w:rPr>
          <w:rFonts w:ascii="Verdana" w:hAnsi="Verdana"/>
          <w:sz w:val="18"/>
          <w:szCs w:val="18"/>
        </w:rPr>
        <w:t>. Dit</w:t>
      </w:r>
      <w:r w:rsidR="003D0160">
        <w:rPr>
          <w:rFonts w:ascii="Verdana" w:hAnsi="Verdana"/>
          <w:sz w:val="18"/>
          <w:szCs w:val="18"/>
        </w:rPr>
        <w:t xml:space="preserve"> in navolging van de ‘</w:t>
      </w:r>
      <w:r w:rsidRPr="14DCBB0A" w:rsidR="003D0160">
        <w:rPr>
          <w:rFonts w:ascii="Verdana" w:hAnsi="Verdana"/>
          <w:i/>
          <w:iCs/>
          <w:sz w:val="18"/>
          <w:szCs w:val="18"/>
        </w:rPr>
        <w:t xml:space="preserve">strong </w:t>
      </w:r>
      <w:proofErr w:type="spellStart"/>
      <w:r w:rsidRPr="14DCBB0A" w:rsidR="003D0160">
        <w:rPr>
          <w:rFonts w:ascii="Verdana" w:hAnsi="Verdana"/>
          <w:i/>
          <w:iCs/>
          <w:sz w:val="18"/>
          <w:szCs w:val="18"/>
        </w:rPr>
        <w:t>and</w:t>
      </w:r>
      <w:proofErr w:type="spellEnd"/>
      <w:r w:rsidRPr="14DCBB0A" w:rsidR="003D0160">
        <w:rPr>
          <w:rFonts w:ascii="Verdana" w:hAnsi="Verdana"/>
          <w:i/>
          <w:iCs/>
          <w:sz w:val="18"/>
          <w:szCs w:val="18"/>
        </w:rPr>
        <w:t xml:space="preserve"> </w:t>
      </w:r>
      <w:proofErr w:type="spellStart"/>
      <w:r w:rsidRPr="14DCBB0A" w:rsidR="003D0160">
        <w:rPr>
          <w:rFonts w:ascii="Verdana" w:hAnsi="Verdana"/>
          <w:i/>
          <w:iCs/>
          <w:sz w:val="18"/>
          <w:szCs w:val="18"/>
        </w:rPr>
        <w:t>simple</w:t>
      </w:r>
      <w:proofErr w:type="spellEnd"/>
      <w:r w:rsidR="003D0160">
        <w:rPr>
          <w:rFonts w:ascii="Verdana" w:hAnsi="Verdana"/>
          <w:sz w:val="18"/>
          <w:szCs w:val="18"/>
        </w:rPr>
        <w:t>’-benadering in het Verenigd Koninkrijk.</w:t>
      </w:r>
      <w:r w:rsidR="006B61C6">
        <w:rPr>
          <w:rStyle w:val="Voetnootmarkering"/>
          <w:rFonts w:ascii="Verdana" w:hAnsi="Verdana"/>
          <w:sz w:val="18"/>
          <w:szCs w:val="18"/>
        </w:rPr>
        <w:footnoteReference w:id="5"/>
      </w:r>
      <w:r w:rsidR="003D0160">
        <w:rPr>
          <w:rFonts w:ascii="Verdana" w:hAnsi="Verdana"/>
          <w:sz w:val="18"/>
          <w:szCs w:val="18"/>
        </w:rPr>
        <w:t xml:space="preserve"> </w:t>
      </w:r>
      <w:r w:rsidR="00957E80">
        <w:rPr>
          <w:rFonts w:ascii="Verdana" w:hAnsi="Verdana"/>
          <w:sz w:val="18"/>
          <w:szCs w:val="18"/>
        </w:rPr>
        <w:t>Ik ga bekijken of het de</w:t>
      </w:r>
      <w:r w:rsidR="003D0160">
        <w:rPr>
          <w:rFonts w:ascii="Verdana" w:hAnsi="Verdana"/>
          <w:sz w:val="18"/>
          <w:szCs w:val="18"/>
        </w:rPr>
        <w:t xml:space="preserve"> moeite waard </w:t>
      </w:r>
      <w:r w:rsidR="00957E80">
        <w:rPr>
          <w:rFonts w:ascii="Verdana" w:hAnsi="Verdana"/>
          <w:sz w:val="18"/>
          <w:szCs w:val="18"/>
        </w:rPr>
        <w:t>is om</w:t>
      </w:r>
      <w:r w:rsidR="003D0160">
        <w:rPr>
          <w:rFonts w:ascii="Verdana" w:hAnsi="Verdana"/>
          <w:sz w:val="18"/>
          <w:szCs w:val="18"/>
        </w:rPr>
        <w:t xml:space="preserve"> deze benadering verder te verkennen, waarbij </w:t>
      </w:r>
      <w:r w:rsidR="00957E80">
        <w:rPr>
          <w:rFonts w:ascii="Verdana" w:hAnsi="Verdana"/>
          <w:sz w:val="18"/>
          <w:szCs w:val="18"/>
        </w:rPr>
        <w:t>dan moet worden</w:t>
      </w:r>
      <w:r w:rsidR="003D0160">
        <w:rPr>
          <w:rFonts w:ascii="Verdana" w:hAnsi="Verdana"/>
          <w:sz w:val="18"/>
          <w:szCs w:val="18"/>
        </w:rPr>
        <w:t xml:space="preserve"> gezocht naar standaarden voor banken die niet voor lagere kapitaaleisen zorgen, </w:t>
      </w:r>
      <w:r w:rsidR="006B61C6">
        <w:rPr>
          <w:rFonts w:ascii="Verdana" w:hAnsi="Verdana"/>
          <w:sz w:val="18"/>
          <w:szCs w:val="18"/>
        </w:rPr>
        <w:t xml:space="preserve">maar wel simpeler en voorspelbaarder zijn. </w:t>
      </w:r>
    </w:p>
    <w:p w:rsidRPr="005404FE" w:rsidR="005404FE" w:rsidP="14DCBB0A" w:rsidRDefault="14DCBB0A" w14:paraId="26B4B184" w14:textId="45109A7B">
      <w:pPr>
        <w:rPr>
          <w:rFonts w:ascii="Verdana" w:hAnsi="Verdana"/>
          <w:i/>
          <w:iCs/>
          <w:sz w:val="18"/>
          <w:szCs w:val="18"/>
        </w:rPr>
      </w:pPr>
      <w:r w:rsidRPr="14DCBB0A">
        <w:rPr>
          <w:rFonts w:ascii="Verdana" w:hAnsi="Verdana"/>
          <w:b/>
          <w:bCs/>
          <w:sz w:val="18"/>
          <w:szCs w:val="18"/>
        </w:rPr>
        <w:t>Vraag 10</w:t>
      </w:r>
      <w:r w:rsidR="00FF1996">
        <w:br/>
      </w:r>
      <w:r w:rsidRPr="14DCBB0A">
        <w:rPr>
          <w:rFonts w:ascii="Verdana" w:hAnsi="Verdana"/>
          <w:b/>
          <w:bCs/>
          <w:sz w:val="18"/>
          <w:szCs w:val="18"/>
        </w:rPr>
        <w:t>Het rapport-</w:t>
      </w:r>
      <w:proofErr w:type="spellStart"/>
      <w:r w:rsidRPr="14DCBB0A">
        <w:rPr>
          <w:rFonts w:ascii="Verdana" w:hAnsi="Verdana"/>
          <w:b/>
          <w:bCs/>
          <w:sz w:val="18"/>
          <w:szCs w:val="18"/>
        </w:rPr>
        <w:t>Draghi</w:t>
      </w:r>
      <w:proofErr w:type="spellEnd"/>
      <w:r w:rsidRPr="14DCBB0A">
        <w:rPr>
          <w:rFonts w:ascii="Verdana" w:hAnsi="Verdana"/>
          <w:b/>
          <w:bCs/>
          <w:sz w:val="18"/>
          <w:szCs w:val="18"/>
        </w:rPr>
        <w:t xml:space="preserve"> geeft in het kader van het concurrentievermogen aan dat EU-banken te maken hebben met enkele specifieke regelgevende obstakels die hun vermogen om leningen te verstrekken bepreken, in het bijzonder regelgeving rondom </w:t>
      </w:r>
      <w:proofErr w:type="spellStart"/>
      <w:r w:rsidRPr="14DCBB0A">
        <w:rPr>
          <w:rFonts w:ascii="Verdana" w:hAnsi="Verdana"/>
          <w:b/>
          <w:bCs/>
          <w:sz w:val="18"/>
          <w:szCs w:val="18"/>
        </w:rPr>
        <w:t>securitisatie</w:t>
      </w:r>
      <w:proofErr w:type="spellEnd"/>
      <w:r w:rsidRPr="14DCBB0A">
        <w:rPr>
          <w:rFonts w:ascii="Verdana" w:hAnsi="Verdana"/>
          <w:b/>
          <w:bCs/>
          <w:sz w:val="18"/>
          <w:szCs w:val="18"/>
        </w:rPr>
        <w:t xml:space="preserve"> (ook het rapport-</w:t>
      </w:r>
      <w:proofErr w:type="spellStart"/>
      <w:r w:rsidRPr="14DCBB0A">
        <w:rPr>
          <w:rFonts w:ascii="Verdana" w:hAnsi="Verdana"/>
          <w:b/>
          <w:bCs/>
          <w:sz w:val="18"/>
          <w:szCs w:val="18"/>
        </w:rPr>
        <w:t>Letta</w:t>
      </w:r>
      <w:proofErr w:type="spellEnd"/>
      <w:r w:rsidRPr="14DCBB0A">
        <w:rPr>
          <w:rFonts w:ascii="Verdana" w:hAnsi="Verdana"/>
          <w:b/>
          <w:bCs/>
          <w:sz w:val="18"/>
          <w:szCs w:val="18"/>
        </w:rPr>
        <w:t xml:space="preserve"> pleit op dit punt voor versoepeling), en dat de kapitaaleisen voor bepaalde eenvoudige, transparante en gestandaardiseerde categorieën waarvoor de eisen de werkelijke risico’s niet weerspiegelen moeten worden verlaagd; wat vindt u daarvan? Hoe denkt u een versoepeling van de regelgeving rondom </w:t>
      </w:r>
      <w:proofErr w:type="spellStart"/>
      <w:r w:rsidRPr="14DCBB0A">
        <w:rPr>
          <w:rFonts w:ascii="Verdana" w:hAnsi="Verdana"/>
          <w:b/>
          <w:bCs/>
          <w:sz w:val="18"/>
          <w:szCs w:val="18"/>
        </w:rPr>
        <w:t>securitisatie</w:t>
      </w:r>
      <w:proofErr w:type="spellEnd"/>
      <w:r w:rsidRPr="14DCBB0A">
        <w:rPr>
          <w:rFonts w:ascii="Verdana" w:hAnsi="Verdana"/>
          <w:b/>
          <w:bCs/>
          <w:sz w:val="18"/>
          <w:szCs w:val="18"/>
        </w:rPr>
        <w:t xml:space="preserve"> zorgvuldig te kunnen vormgeven?</w:t>
      </w:r>
      <w:r w:rsidRPr="14DCBB0A">
        <w:rPr>
          <w:rFonts w:ascii="Verdana" w:hAnsi="Verdana"/>
          <w:sz w:val="18"/>
          <w:szCs w:val="18"/>
        </w:rPr>
        <w:t xml:space="preserve"> </w:t>
      </w:r>
      <w:r w:rsidR="00FF1996">
        <w:br/>
      </w:r>
      <w:r w:rsidR="00FF1996">
        <w:br/>
      </w:r>
      <w:r w:rsidRPr="14DCBB0A">
        <w:rPr>
          <w:rFonts w:ascii="Verdana" w:hAnsi="Verdana"/>
          <w:i/>
          <w:iCs/>
          <w:sz w:val="18"/>
          <w:szCs w:val="18"/>
        </w:rPr>
        <w:t>Antwoord 10</w:t>
      </w:r>
      <w:r w:rsidR="00FF1996">
        <w:br/>
      </w:r>
      <w:r w:rsidRPr="14DCBB0A">
        <w:rPr>
          <w:rFonts w:ascii="Verdana" w:hAnsi="Verdana"/>
          <w:sz w:val="18"/>
          <w:szCs w:val="18"/>
        </w:rPr>
        <w:t xml:space="preserve">Ik herken dat </w:t>
      </w:r>
      <w:proofErr w:type="spellStart"/>
      <w:r w:rsidRPr="14DCBB0A">
        <w:rPr>
          <w:rFonts w:ascii="Verdana" w:hAnsi="Verdana"/>
          <w:sz w:val="18"/>
          <w:szCs w:val="18"/>
        </w:rPr>
        <w:t>securitisatie</w:t>
      </w:r>
      <w:proofErr w:type="spellEnd"/>
      <w:r w:rsidRPr="14DCBB0A">
        <w:rPr>
          <w:rFonts w:ascii="Verdana" w:hAnsi="Verdana"/>
          <w:sz w:val="18"/>
          <w:szCs w:val="18"/>
        </w:rPr>
        <w:t xml:space="preserve"> kan bijdragen aan het creëren van meer (bancaire) financieringsruimte en daarmee het vermogen van banken om leningen te verstrekken. De Europese Commissie onderzoekt momenteel hoe het functioneren van de EU-</w:t>
      </w:r>
      <w:proofErr w:type="spellStart"/>
      <w:r w:rsidRPr="14DCBB0A">
        <w:rPr>
          <w:rFonts w:ascii="Verdana" w:hAnsi="Verdana"/>
          <w:sz w:val="18"/>
          <w:szCs w:val="18"/>
        </w:rPr>
        <w:t>securitisatiemarkt</w:t>
      </w:r>
      <w:proofErr w:type="spellEnd"/>
      <w:r w:rsidRPr="14DCBB0A">
        <w:rPr>
          <w:rFonts w:ascii="Verdana" w:hAnsi="Verdana"/>
          <w:sz w:val="18"/>
          <w:szCs w:val="18"/>
        </w:rPr>
        <w:t xml:space="preserve"> kan worden verbeterd en zal naar verwachting in het tweede kwartaal van 2025 met een voorstel komen voor herziening van het </w:t>
      </w:r>
      <w:proofErr w:type="spellStart"/>
      <w:r w:rsidRPr="14DCBB0A">
        <w:rPr>
          <w:rFonts w:ascii="Verdana" w:hAnsi="Verdana"/>
          <w:sz w:val="18"/>
          <w:szCs w:val="18"/>
        </w:rPr>
        <w:t>securitisatieraamwerk</w:t>
      </w:r>
      <w:proofErr w:type="spellEnd"/>
      <w:r w:rsidRPr="14DCBB0A">
        <w:rPr>
          <w:rFonts w:ascii="Verdana" w:hAnsi="Verdana"/>
          <w:sz w:val="18"/>
          <w:szCs w:val="18"/>
        </w:rPr>
        <w:t xml:space="preserve">. Ik steun deze verkenning en vind het daarbij belangrijk dat de risico’s en lessen van de financiële crisis niet uit het oog worden verloren. Ik zet in op herziening van het raamwerk voor </w:t>
      </w:r>
      <w:proofErr w:type="spellStart"/>
      <w:r w:rsidRPr="14DCBB0A">
        <w:rPr>
          <w:rFonts w:ascii="Verdana" w:hAnsi="Verdana"/>
          <w:sz w:val="18"/>
          <w:szCs w:val="18"/>
        </w:rPr>
        <w:t>securitisaties</w:t>
      </w:r>
      <w:proofErr w:type="spellEnd"/>
      <w:r w:rsidRPr="14DCBB0A">
        <w:rPr>
          <w:rFonts w:ascii="Verdana" w:hAnsi="Verdana"/>
          <w:sz w:val="18"/>
          <w:szCs w:val="18"/>
        </w:rPr>
        <w:t xml:space="preserve"> om de barrières te verlagen, zeker voor een bredere doelgroep van institutionele beleggers, met name door meer proportionele </w:t>
      </w:r>
      <w:proofErr w:type="spellStart"/>
      <w:r w:rsidRPr="14DCBB0A">
        <w:rPr>
          <w:rFonts w:ascii="Verdana" w:hAnsi="Verdana"/>
          <w:i/>
          <w:iCs/>
          <w:sz w:val="18"/>
          <w:szCs w:val="18"/>
        </w:rPr>
        <w:t>due</w:t>
      </w:r>
      <w:proofErr w:type="spellEnd"/>
      <w:r w:rsidRPr="14DCBB0A">
        <w:rPr>
          <w:rFonts w:ascii="Verdana" w:hAnsi="Verdana"/>
          <w:i/>
          <w:iCs/>
          <w:sz w:val="18"/>
          <w:szCs w:val="18"/>
        </w:rPr>
        <w:t xml:space="preserve"> diligence</w:t>
      </w:r>
      <w:r w:rsidRPr="14DCBB0A">
        <w:rPr>
          <w:rFonts w:ascii="Verdana" w:hAnsi="Verdana"/>
          <w:sz w:val="18"/>
          <w:szCs w:val="18"/>
        </w:rPr>
        <w:t xml:space="preserve"> regelgeving. Na publicatie van het commissievoorstel zal ik een BNC-fiche opstellen en delen met uw Kamer, waarin ik mijn appreciatie uiteenzet</w:t>
      </w:r>
      <w:r w:rsidRPr="14DCBB0A">
        <w:rPr>
          <w:rFonts w:ascii="Verdana" w:hAnsi="Verdana"/>
          <w:i/>
          <w:iCs/>
          <w:sz w:val="18"/>
          <w:szCs w:val="18"/>
        </w:rPr>
        <w:t>.     </w:t>
      </w:r>
    </w:p>
    <w:p w:rsidR="000E2ACC" w:rsidP="14DCBB0A" w:rsidRDefault="14DCBB0A" w14:paraId="226DCE97" w14:textId="3E0C33A2">
      <w:pPr>
        <w:rPr>
          <w:rFonts w:ascii="Verdana" w:hAnsi="Verdana"/>
          <w:b/>
          <w:bCs/>
          <w:sz w:val="18"/>
          <w:szCs w:val="18"/>
        </w:rPr>
      </w:pPr>
      <w:r w:rsidRPr="14DCBB0A">
        <w:rPr>
          <w:rFonts w:ascii="Verdana" w:hAnsi="Verdana"/>
          <w:b/>
          <w:bCs/>
          <w:sz w:val="18"/>
          <w:szCs w:val="18"/>
        </w:rPr>
        <w:t>Vraag 11</w:t>
      </w:r>
      <w:r w:rsidR="00FF1996">
        <w:br/>
      </w:r>
      <w:r w:rsidRPr="14DCBB0A">
        <w:rPr>
          <w:rFonts w:ascii="Verdana" w:hAnsi="Verdana"/>
          <w:b/>
          <w:bCs/>
          <w:sz w:val="18"/>
          <w:szCs w:val="18"/>
        </w:rPr>
        <w:t>Hoe kan de vereenvoudiging van de bankenregels worden geagendeerd voor de Bazel-akkoorden waarin internationaal afspraken worden gemaakt over de bankenregels ten behoeve van de financiële stabiliteit?</w:t>
      </w:r>
    </w:p>
    <w:p w:rsidRPr="00AB4383" w:rsidR="00AB4383" w:rsidP="14DCBB0A" w:rsidRDefault="14DCBB0A" w14:paraId="180A7A25" w14:textId="2B0A1D21">
      <w:pPr>
        <w:rPr>
          <w:rFonts w:ascii="Verdana" w:hAnsi="Verdana"/>
          <w:sz w:val="18"/>
          <w:szCs w:val="18"/>
          <w:highlight w:val="yellow"/>
        </w:rPr>
      </w:pPr>
      <w:r w:rsidRPr="14DCBB0A">
        <w:rPr>
          <w:rFonts w:ascii="Verdana" w:hAnsi="Verdana"/>
          <w:i/>
          <w:iCs/>
          <w:sz w:val="18"/>
          <w:szCs w:val="18"/>
        </w:rPr>
        <w:t>Antwoord 11</w:t>
      </w:r>
      <w:r w:rsidR="000E2ACC">
        <w:br/>
      </w:r>
      <w:r w:rsidRPr="14DCBB0A">
        <w:rPr>
          <w:rFonts w:ascii="Verdana" w:hAnsi="Verdana"/>
          <w:sz w:val="18"/>
          <w:szCs w:val="18"/>
        </w:rPr>
        <w:t xml:space="preserve">Het Bazels comité heeft op dit moment met name aandacht voor de implementatie van de finale Bazel-III standaarden. Nieuwe herzieningen van de standaarden voor bankenregulering staan op dit moment niet op de agenda. Het Bazels comité gaat over de eigen agenda, die wordt bepaald op basis van relevante ontwikkelingen in financiële markten, adviezen van nationale toezichthouders en aanbevelingen van internationale financiële instellingen en gremia, zoals de </w:t>
      </w:r>
      <w:r w:rsidRPr="14DCBB0A">
        <w:rPr>
          <w:rFonts w:ascii="Verdana" w:hAnsi="Verdana"/>
          <w:i/>
          <w:iCs/>
          <w:sz w:val="18"/>
          <w:szCs w:val="18"/>
        </w:rPr>
        <w:t xml:space="preserve">Financial </w:t>
      </w:r>
      <w:proofErr w:type="spellStart"/>
      <w:r w:rsidRPr="14DCBB0A">
        <w:rPr>
          <w:rFonts w:ascii="Verdana" w:hAnsi="Verdana"/>
          <w:i/>
          <w:iCs/>
          <w:sz w:val="18"/>
          <w:szCs w:val="18"/>
        </w:rPr>
        <w:t>Stability</w:t>
      </w:r>
      <w:proofErr w:type="spellEnd"/>
      <w:r w:rsidRPr="14DCBB0A">
        <w:rPr>
          <w:rFonts w:ascii="Verdana" w:hAnsi="Verdana"/>
          <w:sz w:val="18"/>
          <w:szCs w:val="18"/>
        </w:rPr>
        <w:t xml:space="preserve"> </w:t>
      </w:r>
      <w:r w:rsidRPr="14DCBB0A">
        <w:rPr>
          <w:rFonts w:ascii="Verdana" w:hAnsi="Verdana"/>
          <w:i/>
          <w:iCs/>
          <w:sz w:val="18"/>
          <w:szCs w:val="18"/>
        </w:rPr>
        <w:t>Board</w:t>
      </w:r>
      <w:r w:rsidRPr="14DCBB0A">
        <w:rPr>
          <w:rFonts w:ascii="Verdana" w:hAnsi="Verdana"/>
          <w:sz w:val="18"/>
          <w:szCs w:val="18"/>
        </w:rPr>
        <w:t xml:space="preserve">. </w:t>
      </w:r>
    </w:p>
    <w:sectPr w:rsidRPr="00AB4383" w:rsidR="00AB4383">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4C67C" w14:textId="77777777" w:rsidR="00CD7657" w:rsidRDefault="00CD7657" w:rsidP="00FF1996">
      <w:pPr>
        <w:spacing w:after="0" w:line="240" w:lineRule="auto"/>
      </w:pPr>
      <w:r>
        <w:separator/>
      </w:r>
    </w:p>
  </w:endnote>
  <w:endnote w:type="continuationSeparator" w:id="0">
    <w:p w14:paraId="082F7C31" w14:textId="77777777" w:rsidR="00CD7657" w:rsidRDefault="00CD7657" w:rsidP="00FF1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739457"/>
      <w:docPartObj>
        <w:docPartGallery w:val="Page Numbers (Bottom of Page)"/>
        <w:docPartUnique/>
      </w:docPartObj>
    </w:sdtPr>
    <w:sdtEndPr/>
    <w:sdtContent>
      <w:p w14:paraId="0FD4830B" w14:textId="1F202F03" w:rsidR="00FF1996" w:rsidRDefault="00FF1996">
        <w:pPr>
          <w:pStyle w:val="Voettekst"/>
          <w:jc w:val="right"/>
        </w:pPr>
        <w:r>
          <w:fldChar w:fldCharType="begin"/>
        </w:r>
        <w:r>
          <w:instrText>PAGE   \* MERGEFORMAT</w:instrText>
        </w:r>
        <w:r>
          <w:fldChar w:fldCharType="separate"/>
        </w:r>
        <w:r>
          <w:t>2</w:t>
        </w:r>
        <w:r>
          <w:fldChar w:fldCharType="end"/>
        </w:r>
      </w:p>
    </w:sdtContent>
  </w:sdt>
  <w:p w14:paraId="5F8581BA" w14:textId="77777777" w:rsidR="00FF1996" w:rsidRDefault="00FF19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D859B" w14:textId="77777777" w:rsidR="00CD7657" w:rsidRDefault="00CD7657" w:rsidP="00FF1996">
      <w:pPr>
        <w:spacing w:after="0" w:line="240" w:lineRule="auto"/>
      </w:pPr>
      <w:r>
        <w:separator/>
      </w:r>
    </w:p>
  </w:footnote>
  <w:footnote w:type="continuationSeparator" w:id="0">
    <w:p w14:paraId="54B91C91" w14:textId="77777777" w:rsidR="00CD7657" w:rsidRDefault="00CD7657" w:rsidP="00FF1996">
      <w:pPr>
        <w:spacing w:after="0" w:line="240" w:lineRule="auto"/>
      </w:pPr>
      <w:r>
        <w:continuationSeparator/>
      </w:r>
    </w:p>
  </w:footnote>
  <w:footnote w:id="1">
    <w:p w14:paraId="13CD969B" w14:textId="76A9C732" w:rsidR="00FF1996" w:rsidRPr="00FF1996" w:rsidRDefault="00FF1996">
      <w:pPr>
        <w:pStyle w:val="Voetnoottekst"/>
        <w:rPr>
          <w:sz w:val="14"/>
          <w:szCs w:val="14"/>
        </w:rPr>
      </w:pPr>
      <w:r w:rsidRPr="00FF1996">
        <w:rPr>
          <w:rStyle w:val="Voetnootmarkering"/>
          <w:sz w:val="14"/>
          <w:szCs w:val="14"/>
        </w:rPr>
        <w:footnoteRef/>
      </w:r>
      <w:r w:rsidRPr="00FF1996">
        <w:rPr>
          <w:sz w:val="14"/>
          <w:szCs w:val="14"/>
        </w:rPr>
        <w:t xml:space="preserve"> </w:t>
      </w:r>
      <w:hyperlink r:id="rId1" w:history="1">
        <w:r w:rsidRPr="00FF1996">
          <w:rPr>
            <w:rStyle w:val="Hyperlink"/>
            <w:rFonts w:ascii="Verdana" w:hAnsi="Verdana"/>
            <w:sz w:val="14"/>
            <w:szCs w:val="14"/>
          </w:rPr>
          <w:t>https://fd.nl/financiele-markten/1546105/toezichthouders-vragen-om-versoepeling-europese-bankenregels</w:t>
        </w:r>
      </w:hyperlink>
      <w:r w:rsidRPr="00FF1996">
        <w:rPr>
          <w:rFonts w:ascii="Verdana" w:hAnsi="Verdana"/>
          <w:sz w:val="14"/>
          <w:szCs w:val="14"/>
        </w:rPr>
        <w:t xml:space="preserve"> </w:t>
      </w:r>
    </w:p>
  </w:footnote>
  <w:footnote w:id="2">
    <w:p w14:paraId="556AEBE8" w14:textId="318C514E" w:rsidR="00AD4998" w:rsidRPr="0014271A" w:rsidRDefault="00AD4998" w:rsidP="14DCBB0A">
      <w:pPr>
        <w:pStyle w:val="Voetnoottekst"/>
        <w:rPr>
          <w:rFonts w:ascii="Verdana" w:hAnsi="Verdana"/>
          <w:sz w:val="14"/>
          <w:szCs w:val="14"/>
          <w:lang w:val="en-US"/>
        </w:rPr>
      </w:pPr>
      <w:r w:rsidRPr="00D754F3">
        <w:rPr>
          <w:rStyle w:val="Voetnootmarkering"/>
          <w:rFonts w:ascii="Verdana" w:hAnsi="Verdana"/>
          <w:sz w:val="14"/>
          <w:szCs w:val="14"/>
        </w:rPr>
        <w:footnoteRef/>
      </w:r>
      <w:r w:rsidRPr="0014271A">
        <w:rPr>
          <w:rFonts w:ascii="Verdana" w:hAnsi="Verdana"/>
          <w:sz w:val="14"/>
          <w:szCs w:val="14"/>
          <w:lang w:val="en-US"/>
        </w:rPr>
        <w:t xml:space="preserve"> </w:t>
      </w:r>
      <w:proofErr w:type="spellStart"/>
      <w:r w:rsidR="006B61C6" w:rsidRPr="0014271A">
        <w:rPr>
          <w:rFonts w:ascii="Verdana" w:hAnsi="Verdana"/>
          <w:sz w:val="14"/>
          <w:szCs w:val="14"/>
          <w:lang w:val="en-US"/>
        </w:rPr>
        <w:t>Kamerstukken</w:t>
      </w:r>
      <w:proofErr w:type="spellEnd"/>
      <w:r w:rsidR="006B61C6" w:rsidRPr="0014271A">
        <w:rPr>
          <w:rFonts w:ascii="Verdana" w:hAnsi="Verdana"/>
          <w:sz w:val="14"/>
          <w:szCs w:val="14"/>
          <w:lang w:val="en-US"/>
        </w:rPr>
        <w:t xml:space="preserve"> II, 2023-2024, 21501-07, nr. 2022. </w:t>
      </w:r>
    </w:p>
  </w:footnote>
  <w:footnote w:id="3">
    <w:p w14:paraId="191B1529" w14:textId="3412A2CF" w:rsidR="006E6B73" w:rsidRPr="0014271A" w:rsidRDefault="006E6B73" w:rsidP="14DCBB0A">
      <w:pPr>
        <w:pStyle w:val="Voetnoottekst"/>
        <w:rPr>
          <w:rFonts w:ascii="Verdana" w:hAnsi="Verdana"/>
          <w:sz w:val="14"/>
          <w:szCs w:val="14"/>
          <w:lang w:val="en-US"/>
        </w:rPr>
      </w:pPr>
      <w:r w:rsidRPr="00401805">
        <w:rPr>
          <w:rStyle w:val="Voetnootmarkering"/>
          <w:rFonts w:ascii="Verdana" w:hAnsi="Verdana"/>
          <w:sz w:val="14"/>
          <w:szCs w:val="14"/>
        </w:rPr>
        <w:footnoteRef/>
      </w:r>
      <w:r w:rsidRPr="0014271A">
        <w:rPr>
          <w:rFonts w:ascii="Verdana" w:hAnsi="Verdana"/>
          <w:sz w:val="14"/>
          <w:szCs w:val="14"/>
          <w:lang w:val="en-US"/>
        </w:rPr>
        <w:t xml:space="preserve"> </w:t>
      </w:r>
      <w:r w:rsidR="00B600A8" w:rsidRPr="0014271A">
        <w:rPr>
          <w:rFonts w:ascii="Verdana" w:hAnsi="Verdana"/>
          <w:sz w:val="14"/>
          <w:szCs w:val="14"/>
          <w:lang w:val="en-US"/>
        </w:rPr>
        <w:t>FDIC (2023). Agencies Request Comment on Proposed Rules to Strengthen Capital Requirements for Large Banks.</w:t>
      </w:r>
    </w:p>
  </w:footnote>
  <w:footnote w:id="4">
    <w:p w14:paraId="195A7DE2" w14:textId="49FCA0B0" w:rsidR="00BE50A3" w:rsidRDefault="00BE50A3">
      <w:pPr>
        <w:pStyle w:val="Voetnoottekst"/>
      </w:pPr>
      <w:r w:rsidRPr="00401805">
        <w:rPr>
          <w:rStyle w:val="Voetnootmarkering"/>
          <w:rFonts w:ascii="Verdana" w:hAnsi="Verdana"/>
          <w:sz w:val="14"/>
          <w:szCs w:val="14"/>
        </w:rPr>
        <w:footnoteRef/>
      </w:r>
      <w:r w:rsidRPr="00401805">
        <w:rPr>
          <w:rFonts w:ascii="Verdana" w:hAnsi="Verdana"/>
          <w:sz w:val="14"/>
          <w:szCs w:val="14"/>
        </w:rPr>
        <w:t xml:space="preserve"> Zie bijvoorbeeld</w:t>
      </w:r>
      <w:r w:rsidR="00B600A8" w:rsidRPr="00401805">
        <w:rPr>
          <w:rFonts w:ascii="Verdana" w:hAnsi="Verdana"/>
          <w:sz w:val="14"/>
          <w:szCs w:val="14"/>
        </w:rPr>
        <w:t xml:space="preserve"> een publicatie van de ECB op 28 oktober 2024: </w:t>
      </w:r>
      <w:hyperlink r:id="rId2" w:history="1">
        <w:r w:rsidR="00B600A8" w:rsidRPr="00401805">
          <w:rPr>
            <w:rStyle w:val="Hyperlink"/>
            <w:rFonts w:ascii="Verdana" w:hAnsi="Verdana"/>
            <w:sz w:val="14"/>
            <w:szCs w:val="14"/>
          </w:rPr>
          <w:t>https://www.bankingsupervision.europa.eu/ecb/pub/pdf/ssm.mepletter241028_Heinaluoma~25885c19ec.en.pdf</w:t>
        </w:r>
      </w:hyperlink>
      <w:r w:rsidR="00C14124" w:rsidRPr="00401805">
        <w:rPr>
          <w:rFonts w:ascii="Verdana" w:hAnsi="Verdana"/>
          <w:sz w:val="14"/>
          <w:szCs w:val="14"/>
        </w:rPr>
        <w:t xml:space="preserve"> </w:t>
      </w:r>
    </w:p>
  </w:footnote>
  <w:footnote w:id="5">
    <w:p w14:paraId="6F671346" w14:textId="4A4DC2E0" w:rsidR="006B61C6" w:rsidRPr="00D754F3" w:rsidRDefault="006B61C6" w:rsidP="14DCBB0A">
      <w:pPr>
        <w:pStyle w:val="Voetnoottekst"/>
        <w:rPr>
          <w:rFonts w:ascii="Verdana" w:hAnsi="Verdana"/>
          <w:sz w:val="14"/>
          <w:szCs w:val="14"/>
        </w:rPr>
      </w:pPr>
      <w:r w:rsidRPr="00D754F3">
        <w:rPr>
          <w:rStyle w:val="Voetnootmarkering"/>
          <w:rFonts w:ascii="Verdana" w:hAnsi="Verdana"/>
          <w:sz w:val="14"/>
          <w:szCs w:val="14"/>
        </w:rPr>
        <w:footnoteRef/>
      </w:r>
      <w:r w:rsidRPr="00D754F3">
        <w:rPr>
          <w:rFonts w:ascii="Verdana" w:hAnsi="Verdana"/>
          <w:sz w:val="14"/>
          <w:szCs w:val="14"/>
        </w:rPr>
        <w:t xml:space="preserve"> </w:t>
      </w:r>
      <w:r w:rsidRPr="006B61C6">
        <w:rPr>
          <w:rFonts w:ascii="Verdana" w:hAnsi="Verdana"/>
          <w:sz w:val="14"/>
          <w:szCs w:val="14"/>
        </w:rPr>
        <w:t>Kamerstukken II, 2023-2024, 21501-07, nr.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707C8"/>
    <w:multiLevelType w:val="hybridMultilevel"/>
    <w:tmpl w:val="C29C6F50"/>
    <w:lvl w:ilvl="0" w:tplc="283263D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48733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96"/>
    <w:rsid w:val="00014551"/>
    <w:rsid w:val="000170B4"/>
    <w:rsid w:val="00052382"/>
    <w:rsid w:val="000604B3"/>
    <w:rsid w:val="000609AC"/>
    <w:rsid w:val="000646BA"/>
    <w:rsid w:val="000779BA"/>
    <w:rsid w:val="000B5503"/>
    <w:rsid w:val="000C79CB"/>
    <w:rsid w:val="000D3CCF"/>
    <w:rsid w:val="000E2ACC"/>
    <w:rsid w:val="000E65B8"/>
    <w:rsid w:val="00102757"/>
    <w:rsid w:val="00114DD0"/>
    <w:rsid w:val="00121FD6"/>
    <w:rsid w:val="00127445"/>
    <w:rsid w:val="0014271A"/>
    <w:rsid w:val="00164577"/>
    <w:rsid w:val="00187BEB"/>
    <w:rsid w:val="001A0E14"/>
    <w:rsid w:val="0020489A"/>
    <w:rsid w:val="00205BCD"/>
    <w:rsid w:val="00230912"/>
    <w:rsid w:val="00241B0B"/>
    <w:rsid w:val="00267185"/>
    <w:rsid w:val="002909DA"/>
    <w:rsid w:val="00291E92"/>
    <w:rsid w:val="002B6932"/>
    <w:rsid w:val="002D32E5"/>
    <w:rsid w:val="002F204A"/>
    <w:rsid w:val="002F47C6"/>
    <w:rsid w:val="00322F5B"/>
    <w:rsid w:val="00335902"/>
    <w:rsid w:val="00352585"/>
    <w:rsid w:val="00365369"/>
    <w:rsid w:val="0039010E"/>
    <w:rsid w:val="003D0160"/>
    <w:rsid w:val="003D546E"/>
    <w:rsid w:val="003E516B"/>
    <w:rsid w:val="00401797"/>
    <w:rsid w:val="00401805"/>
    <w:rsid w:val="00407BDD"/>
    <w:rsid w:val="00410953"/>
    <w:rsid w:val="004154CB"/>
    <w:rsid w:val="00422DF3"/>
    <w:rsid w:val="0043101D"/>
    <w:rsid w:val="004364EE"/>
    <w:rsid w:val="00443967"/>
    <w:rsid w:val="00445988"/>
    <w:rsid w:val="00481BEF"/>
    <w:rsid w:val="004A7D9F"/>
    <w:rsid w:val="004B7BA0"/>
    <w:rsid w:val="004F6673"/>
    <w:rsid w:val="00513984"/>
    <w:rsid w:val="0053626F"/>
    <w:rsid w:val="005404FE"/>
    <w:rsid w:val="005446F0"/>
    <w:rsid w:val="005452CB"/>
    <w:rsid w:val="00546252"/>
    <w:rsid w:val="005666E1"/>
    <w:rsid w:val="00574E39"/>
    <w:rsid w:val="0057560F"/>
    <w:rsid w:val="005A583D"/>
    <w:rsid w:val="005D57C6"/>
    <w:rsid w:val="00640028"/>
    <w:rsid w:val="006600B2"/>
    <w:rsid w:val="0066222C"/>
    <w:rsid w:val="00665CF1"/>
    <w:rsid w:val="006905CE"/>
    <w:rsid w:val="006A2CB2"/>
    <w:rsid w:val="006B61C6"/>
    <w:rsid w:val="006C029A"/>
    <w:rsid w:val="006E0A49"/>
    <w:rsid w:val="006E4EE9"/>
    <w:rsid w:val="006E6B73"/>
    <w:rsid w:val="006F549B"/>
    <w:rsid w:val="007B3BEE"/>
    <w:rsid w:val="00824007"/>
    <w:rsid w:val="008515E4"/>
    <w:rsid w:val="00880A4A"/>
    <w:rsid w:val="008861F2"/>
    <w:rsid w:val="0089029C"/>
    <w:rsid w:val="008C7EF7"/>
    <w:rsid w:val="008D778F"/>
    <w:rsid w:val="008E4DE3"/>
    <w:rsid w:val="008F4474"/>
    <w:rsid w:val="00900DCB"/>
    <w:rsid w:val="00904A0B"/>
    <w:rsid w:val="009372DB"/>
    <w:rsid w:val="00943FCC"/>
    <w:rsid w:val="0095779A"/>
    <w:rsid w:val="00957E80"/>
    <w:rsid w:val="009717A6"/>
    <w:rsid w:val="009A0D77"/>
    <w:rsid w:val="009D4AE1"/>
    <w:rsid w:val="009D528D"/>
    <w:rsid w:val="009E40AB"/>
    <w:rsid w:val="009F1CCC"/>
    <w:rsid w:val="00A04287"/>
    <w:rsid w:val="00A75A16"/>
    <w:rsid w:val="00A76606"/>
    <w:rsid w:val="00A90487"/>
    <w:rsid w:val="00AB4383"/>
    <w:rsid w:val="00AD4998"/>
    <w:rsid w:val="00AD7A39"/>
    <w:rsid w:val="00B600A8"/>
    <w:rsid w:val="00B960A5"/>
    <w:rsid w:val="00BE50A3"/>
    <w:rsid w:val="00C078DD"/>
    <w:rsid w:val="00C14124"/>
    <w:rsid w:val="00C15D87"/>
    <w:rsid w:val="00C21A5F"/>
    <w:rsid w:val="00C61A16"/>
    <w:rsid w:val="00C62037"/>
    <w:rsid w:val="00C91C52"/>
    <w:rsid w:val="00C936F6"/>
    <w:rsid w:val="00CA050C"/>
    <w:rsid w:val="00CA28C2"/>
    <w:rsid w:val="00CC5556"/>
    <w:rsid w:val="00CD6F4F"/>
    <w:rsid w:val="00CD7657"/>
    <w:rsid w:val="00CE101E"/>
    <w:rsid w:val="00CF4784"/>
    <w:rsid w:val="00CF7089"/>
    <w:rsid w:val="00D00816"/>
    <w:rsid w:val="00D05723"/>
    <w:rsid w:val="00D308A6"/>
    <w:rsid w:val="00D31306"/>
    <w:rsid w:val="00D375A3"/>
    <w:rsid w:val="00D754F3"/>
    <w:rsid w:val="00E12A27"/>
    <w:rsid w:val="00E20F03"/>
    <w:rsid w:val="00E3643C"/>
    <w:rsid w:val="00E6090A"/>
    <w:rsid w:val="00E62576"/>
    <w:rsid w:val="00E83429"/>
    <w:rsid w:val="00E86B7F"/>
    <w:rsid w:val="00EA5B8C"/>
    <w:rsid w:val="00EC5DDD"/>
    <w:rsid w:val="00F02F56"/>
    <w:rsid w:val="00F0499A"/>
    <w:rsid w:val="00F210CC"/>
    <w:rsid w:val="00F40945"/>
    <w:rsid w:val="00F43639"/>
    <w:rsid w:val="00F439F3"/>
    <w:rsid w:val="00F5343D"/>
    <w:rsid w:val="00F647E4"/>
    <w:rsid w:val="00FC39A0"/>
    <w:rsid w:val="00FE3D6C"/>
    <w:rsid w:val="00FF1996"/>
    <w:rsid w:val="14DCBB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1D37B"/>
  <w15:chartTrackingRefBased/>
  <w15:docId w15:val="{1E9EAC65-014B-4C20-A379-B67CA46F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19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F19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F199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F199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F199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F19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19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19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19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199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F199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F199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F199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F199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F19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19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19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1996"/>
    <w:rPr>
      <w:rFonts w:eastAsiaTheme="majorEastAsia" w:cstheme="majorBidi"/>
      <w:color w:val="272727" w:themeColor="text1" w:themeTint="D8"/>
    </w:rPr>
  </w:style>
  <w:style w:type="paragraph" w:styleId="Titel">
    <w:name w:val="Title"/>
    <w:basedOn w:val="Standaard"/>
    <w:next w:val="Standaard"/>
    <w:link w:val="TitelChar"/>
    <w:uiPriority w:val="10"/>
    <w:qFormat/>
    <w:rsid w:val="00FF1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19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19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19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19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1996"/>
    <w:rPr>
      <w:i/>
      <w:iCs/>
      <w:color w:val="404040" w:themeColor="text1" w:themeTint="BF"/>
    </w:rPr>
  </w:style>
  <w:style w:type="paragraph" w:styleId="Lijstalinea">
    <w:name w:val="List Paragraph"/>
    <w:basedOn w:val="Standaard"/>
    <w:uiPriority w:val="34"/>
    <w:qFormat/>
    <w:rsid w:val="00FF1996"/>
    <w:pPr>
      <w:ind w:left="720"/>
      <w:contextualSpacing/>
    </w:pPr>
  </w:style>
  <w:style w:type="character" w:styleId="Intensievebenadrukking">
    <w:name w:val="Intense Emphasis"/>
    <w:basedOn w:val="Standaardalinea-lettertype"/>
    <w:uiPriority w:val="21"/>
    <w:qFormat/>
    <w:rsid w:val="00FF1996"/>
    <w:rPr>
      <w:i/>
      <w:iCs/>
      <w:color w:val="2F5496" w:themeColor="accent1" w:themeShade="BF"/>
    </w:rPr>
  </w:style>
  <w:style w:type="paragraph" w:styleId="Duidelijkcitaat">
    <w:name w:val="Intense Quote"/>
    <w:basedOn w:val="Standaard"/>
    <w:next w:val="Standaard"/>
    <w:link w:val="DuidelijkcitaatChar"/>
    <w:uiPriority w:val="30"/>
    <w:qFormat/>
    <w:rsid w:val="00FF19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F1996"/>
    <w:rPr>
      <w:i/>
      <w:iCs/>
      <w:color w:val="2F5496" w:themeColor="accent1" w:themeShade="BF"/>
    </w:rPr>
  </w:style>
  <w:style w:type="character" w:styleId="Intensieveverwijzing">
    <w:name w:val="Intense Reference"/>
    <w:basedOn w:val="Standaardalinea-lettertype"/>
    <w:uiPriority w:val="32"/>
    <w:qFormat/>
    <w:rsid w:val="00FF1996"/>
    <w:rPr>
      <w:b/>
      <w:bCs/>
      <w:smallCaps/>
      <w:color w:val="2F5496" w:themeColor="accent1" w:themeShade="BF"/>
      <w:spacing w:val="5"/>
    </w:rPr>
  </w:style>
  <w:style w:type="paragraph" w:styleId="Koptekst">
    <w:name w:val="header"/>
    <w:basedOn w:val="Standaard"/>
    <w:link w:val="KoptekstChar"/>
    <w:uiPriority w:val="99"/>
    <w:unhideWhenUsed/>
    <w:rsid w:val="00FF19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1996"/>
  </w:style>
  <w:style w:type="paragraph" w:styleId="Voettekst">
    <w:name w:val="footer"/>
    <w:basedOn w:val="Standaard"/>
    <w:link w:val="VoettekstChar"/>
    <w:uiPriority w:val="99"/>
    <w:unhideWhenUsed/>
    <w:rsid w:val="00FF19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1996"/>
  </w:style>
  <w:style w:type="paragraph" w:styleId="Voetnoottekst">
    <w:name w:val="footnote text"/>
    <w:basedOn w:val="Standaard"/>
    <w:link w:val="VoetnoottekstChar"/>
    <w:uiPriority w:val="99"/>
    <w:semiHidden/>
    <w:unhideWhenUsed/>
    <w:rsid w:val="00FF199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F1996"/>
    <w:rPr>
      <w:sz w:val="20"/>
      <w:szCs w:val="20"/>
    </w:rPr>
  </w:style>
  <w:style w:type="character" w:styleId="Voetnootmarkering">
    <w:name w:val="footnote reference"/>
    <w:basedOn w:val="Standaardalinea-lettertype"/>
    <w:uiPriority w:val="99"/>
    <w:semiHidden/>
    <w:unhideWhenUsed/>
    <w:rsid w:val="00FF1996"/>
    <w:rPr>
      <w:vertAlign w:val="superscript"/>
    </w:rPr>
  </w:style>
  <w:style w:type="character" w:styleId="Hyperlink">
    <w:name w:val="Hyperlink"/>
    <w:basedOn w:val="Standaardalinea-lettertype"/>
    <w:uiPriority w:val="99"/>
    <w:unhideWhenUsed/>
    <w:rsid w:val="00FF1996"/>
    <w:rPr>
      <w:color w:val="0563C1" w:themeColor="hyperlink"/>
      <w:u w:val="single"/>
    </w:rPr>
  </w:style>
  <w:style w:type="character" w:styleId="Onopgelostemelding">
    <w:name w:val="Unresolved Mention"/>
    <w:basedOn w:val="Standaardalinea-lettertype"/>
    <w:uiPriority w:val="99"/>
    <w:semiHidden/>
    <w:unhideWhenUsed/>
    <w:rsid w:val="00FF1996"/>
    <w:rPr>
      <w:color w:val="605E5C"/>
      <w:shd w:val="clear" w:color="auto" w:fill="E1DFDD"/>
    </w:rPr>
  </w:style>
  <w:style w:type="character" w:styleId="Verwijzingopmerking">
    <w:name w:val="annotation reference"/>
    <w:basedOn w:val="Standaardalinea-lettertype"/>
    <w:uiPriority w:val="99"/>
    <w:semiHidden/>
    <w:unhideWhenUsed/>
    <w:rsid w:val="006905CE"/>
    <w:rPr>
      <w:sz w:val="16"/>
      <w:szCs w:val="16"/>
    </w:rPr>
  </w:style>
  <w:style w:type="paragraph" w:styleId="Tekstopmerking">
    <w:name w:val="annotation text"/>
    <w:basedOn w:val="Standaard"/>
    <w:link w:val="TekstopmerkingChar"/>
    <w:uiPriority w:val="99"/>
    <w:unhideWhenUsed/>
    <w:rsid w:val="006905CE"/>
    <w:pPr>
      <w:spacing w:line="240" w:lineRule="auto"/>
    </w:pPr>
    <w:rPr>
      <w:sz w:val="20"/>
      <w:szCs w:val="20"/>
    </w:rPr>
  </w:style>
  <w:style w:type="character" w:customStyle="1" w:styleId="TekstopmerkingChar">
    <w:name w:val="Tekst opmerking Char"/>
    <w:basedOn w:val="Standaardalinea-lettertype"/>
    <w:link w:val="Tekstopmerking"/>
    <w:uiPriority w:val="99"/>
    <w:rsid w:val="006905CE"/>
    <w:rPr>
      <w:sz w:val="20"/>
      <w:szCs w:val="20"/>
    </w:rPr>
  </w:style>
  <w:style w:type="paragraph" w:styleId="Onderwerpvanopmerking">
    <w:name w:val="annotation subject"/>
    <w:basedOn w:val="Tekstopmerking"/>
    <w:next w:val="Tekstopmerking"/>
    <w:link w:val="OnderwerpvanopmerkingChar"/>
    <w:uiPriority w:val="99"/>
    <w:semiHidden/>
    <w:unhideWhenUsed/>
    <w:rsid w:val="006905CE"/>
    <w:rPr>
      <w:b/>
      <w:bCs/>
    </w:rPr>
  </w:style>
  <w:style w:type="character" w:customStyle="1" w:styleId="OnderwerpvanopmerkingChar">
    <w:name w:val="Onderwerp van opmerking Char"/>
    <w:basedOn w:val="TekstopmerkingChar"/>
    <w:link w:val="Onderwerpvanopmerking"/>
    <w:uiPriority w:val="99"/>
    <w:semiHidden/>
    <w:rsid w:val="006905CE"/>
    <w:rPr>
      <w:b/>
      <w:bCs/>
      <w:sz w:val="20"/>
      <w:szCs w:val="20"/>
    </w:rPr>
  </w:style>
  <w:style w:type="paragraph" w:styleId="Revisie">
    <w:name w:val="Revision"/>
    <w:hidden/>
    <w:uiPriority w:val="99"/>
    <w:semiHidden/>
    <w:rsid w:val="00121FD6"/>
    <w:pPr>
      <w:spacing w:after="0" w:line="240" w:lineRule="auto"/>
    </w:pPr>
  </w:style>
  <w:style w:type="character" w:styleId="GevolgdeHyperlink">
    <w:name w:val="FollowedHyperlink"/>
    <w:basedOn w:val="Standaardalinea-lettertype"/>
    <w:uiPriority w:val="99"/>
    <w:semiHidden/>
    <w:unhideWhenUsed/>
    <w:rsid w:val="00904A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731062">
      <w:bodyDiv w:val="1"/>
      <w:marLeft w:val="0"/>
      <w:marRight w:val="0"/>
      <w:marTop w:val="0"/>
      <w:marBottom w:val="0"/>
      <w:divBdr>
        <w:top w:val="none" w:sz="0" w:space="0" w:color="auto"/>
        <w:left w:val="none" w:sz="0" w:space="0" w:color="auto"/>
        <w:bottom w:val="none" w:sz="0" w:space="0" w:color="auto"/>
        <w:right w:val="none" w:sz="0" w:space="0" w:color="auto"/>
      </w:divBdr>
    </w:div>
    <w:div w:id="174032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ankingsupervision.europa.eu/ecb/pub/pdf/ssm.mepletter241028_Heinaluoma~25885c19ec.en.pdf" TargetMode="External"/><Relationship Id="rId1" Type="http://schemas.openxmlformats.org/officeDocument/2006/relationships/hyperlink" Target="https://fd.nl/financiele-markten/1546105/toezichthouders-vragen-om-versoepeling-europese-bankenregel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2241</ap:Words>
  <ap:Characters>12329</ap:Characters>
  <ap:DocSecurity>0</ap:DocSecurity>
  <ap:Lines>102</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2025-03-13T10:51:00.0000000Z</dcterms:created>
  <dcterms:modified xsi:type="dcterms:W3CDTF">2025-03-13T10:51:00.0000000Z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2025-02-24T09:39:43Z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458d5e4d-d671-400c-bae1-ac1a30076b9e</vt:lpwstr>
  </property>
  <property fmtid="{D5CDD505-2E9C-101B-9397-08002B2CF9AE}" pid="8" name="MSIP_Label_6800fede-0e59-47ad-af95-4e63bbdb932d_ContentBits">
    <vt:lpwstr>0</vt:lpwstr>
  </property>
</Properties>
</file>