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2025Z04640</w:t>
        <w:br/>
      </w:r>
      <w:proofErr w:type="spellEnd"/>
    </w:p>
    <w:p>
      <w:pPr>
        <w:pStyle w:val="Normal"/>
        <w:rPr>
          <w:b w:val="1"/>
          <w:bCs w:val="1"/>
        </w:rPr>
      </w:pPr>
      <w:r w:rsidR="250AE766">
        <w:rPr>
          <w:b w:val="0"/>
          <w:bCs w:val="0"/>
        </w:rPr>
        <w:t>(ingezonden 13 maart 2025)</w:t>
        <w:br/>
      </w:r>
    </w:p>
    <w:p>
      <w:r>
        <w:t xml:space="preserve">Vragen van het lid Patijn (GroenLinks-PvdA) aan de minister van Sociale Zaken en Werkgelegenheid over nieuwe fouten bij het UWV</w:t>
      </w:r>
      <w:r>
        <w:br/>
      </w:r>
    </w:p>
    <w:p>
      <w:pPr>
        <w:pStyle w:val="ListParagraph"/>
        <w:numPr>
          <w:ilvl w:val="0"/>
          <w:numId w:val="100471420"/>
        </w:numPr>
        <w:ind w:left="360"/>
      </w:pPr>
      <w:r>
        <w:t>Krijgt u ook bezorgde berichten van mensen met een WIA (wet Werk en Inkomen naar Arbeidsvermogen) -uitkering, die door berichtgeving over de zoveelste fout bij het UWV (Uitvoeringsinstituut Werknemersverzekeringen) onzekerheid ervaren over hun uitkering en inkomen? 1)</w:t>
      </w:r>
      <w:r>
        <w:br/>
      </w:r>
    </w:p>
    <w:p>
      <w:pPr>
        <w:pStyle w:val="ListParagraph"/>
        <w:numPr>
          <w:ilvl w:val="0"/>
          <w:numId w:val="100471420"/>
        </w:numPr>
        <w:ind w:left="360"/>
      </w:pPr>
      <w:r>
        <w:t>Op welke manier zijn de nieuwe fouten die omschreven staan in uw brief van 10 maart 2025 aan het licht gekomen? 2)</w:t>
      </w:r>
      <w:r>
        <w:br/>
      </w:r>
    </w:p>
    <w:p>
      <w:pPr>
        <w:pStyle w:val="ListParagraph"/>
        <w:numPr>
          <w:ilvl w:val="0"/>
          <w:numId w:val="100471420"/>
        </w:numPr>
        <w:ind w:left="360"/>
      </w:pPr>
      <w:r>
        <w:t>Kunt u met zekerheid zeggen dat deze fouten zich pas voordoen sinds november 2023?</w:t>
      </w:r>
      <w:r>
        <w:br/>
      </w:r>
    </w:p>
    <w:p>
      <w:pPr>
        <w:pStyle w:val="ListParagraph"/>
        <w:numPr>
          <w:ilvl w:val="0"/>
          <w:numId w:val="100471420"/>
        </w:numPr>
        <w:ind w:left="360"/>
      </w:pPr>
      <w:r>
        <w:t>Zo nee, op welke manier gaat u onderzoeken vanaf wanneer deze afrondingsfouten zijn gemaakt?</w:t>
      </w:r>
      <w:r>
        <w:br/>
      </w:r>
    </w:p>
    <w:p>
      <w:pPr>
        <w:pStyle w:val="ListParagraph"/>
        <w:numPr>
          <w:ilvl w:val="0"/>
          <w:numId w:val="100471420"/>
        </w:numPr>
        <w:ind w:left="360"/>
      </w:pPr>
      <w:r>
        <w:t>Wanneer zijn de afrondingsfouten binnen het UWV bekend geworden?</w:t>
      </w:r>
      <w:r>
        <w:br/>
      </w:r>
    </w:p>
    <w:p>
      <w:pPr>
        <w:pStyle w:val="ListParagraph"/>
        <w:numPr>
          <w:ilvl w:val="0"/>
          <w:numId w:val="100471420"/>
        </w:numPr>
        <w:ind w:left="360"/>
      </w:pPr>
      <w:r>
        <w:t>Op welke manier wordt intern onderzocht welke mensen de dupe zijn van deze fouten?</w:t>
      </w:r>
      <w:r>
        <w:br/>
      </w:r>
    </w:p>
    <w:p>
      <w:pPr>
        <w:pStyle w:val="ListParagraph"/>
        <w:numPr>
          <w:ilvl w:val="0"/>
          <w:numId w:val="100471420"/>
        </w:numPr>
        <w:ind w:left="360"/>
      </w:pPr>
      <w:r>
        <w:t>Om wat voor bedragen kan het gaan wanneer iemand door een afrondingsfout een verkeerde uitkering heeft ontvangen, of onterecht helemaal geen uitkering heeft ontvangen?</w:t>
      </w:r>
      <w:r>
        <w:br/>
      </w:r>
    </w:p>
    <w:p>
      <w:pPr>
        <w:pStyle w:val="ListParagraph"/>
        <w:numPr>
          <w:ilvl w:val="0"/>
          <w:numId w:val="100471420"/>
        </w:numPr>
        <w:ind w:left="360"/>
      </w:pPr>
      <w:r>
        <w:t>Hoeveel mensen hebben een te lage uitkering ontvangen als gevolg van deze fouten?</w:t>
      </w:r>
      <w:r>
        <w:br/>
      </w:r>
    </w:p>
    <w:p>
      <w:pPr>
        <w:pStyle w:val="ListParagraph"/>
        <w:numPr>
          <w:ilvl w:val="0"/>
          <w:numId w:val="100471420"/>
        </w:numPr>
        <w:ind w:left="360"/>
      </w:pPr>
      <w:r>
        <w:t>Hoeveel mensen hebben onterecht helemaal geen uitkering ontvangen als gevolg van deze fouten?</w:t>
      </w:r>
      <w:r>
        <w:br/>
      </w:r>
    </w:p>
    <w:p>
      <w:pPr>
        <w:pStyle w:val="ListParagraph"/>
        <w:numPr>
          <w:ilvl w:val="0"/>
          <w:numId w:val="100471420"/>
        </w:numPr>
        <w:ind w:left="360"/>
      </w:pPr>
      <w:r>
        <w:t>In de uitvoering van welke regelingen hebben deze fouten zich voorgedaan?</w:t>
      </w:r>
      <w:r>
        <w:br/>
      </w:r>
    </w:p>
    <w:p>
      <w:pPr>
        <w:pStyle w:val="ListParagraph"/>
        <w:numPr>
          <w:ilvl w:val="0"/>
          <w:numId w:val="100471420"/>
        </w:numPr>
        <w:ind w:left="360"/>
      </w:pPr>
      <w:r>
        <w:t>Wat kunnen de gevolgen van de foute berekeningen zijn voor mensen in de WIA, WAZO (Wet arbeid en zorg) en Ziektewet, en eventuele andere regelingen waar de fouten zich hebben voorgedaan? Kunt u dit per regeling toelichten?</w:t>
      </w:r>
      <w:r>
        <w:br/>
      </w:r>
    </w:p>
    <w:p>
      <w:pPr>
        <w:pStyle w:val="ListParagraph"/>
        <w:numPr>
          <w:ilvl w:val="0"/>
          <w:numId w:val="100471420"/>
        </w:numPr>
        <w:ind w:left="360"/>
      </w:pPr>
      <w:r>
        <w:t>Hoe verhoudt de bevinding dat deze afrondingsfouten zich ook voordoen in de Ziektewet zich tot het eerder door u geschetste beeld dat de fouten bij het UWV in mindere mate raken aan de Ziektewet? Op basis waarvan is dat beeld ontstaan voorafgaand aan het debat van 1 oktober, en welke informatie is hierover wanneer en op welke manier aan het licht gekomen?</w:t>
      </w:r>
      <w:r>
        <w:br/>
      </w:r>
    </w:p>
    <w:p>
      <w:pPr>
        <w:pStyle w:val="ListParagraph"/>
        <w:numPr>
          <w:ilvl w:val="0"/>
          <w:numId w:val="100471420"/>
        </w:numPr>
        <w:ind w:left="360"/>
      </w:pPr>
      <w:r>
        <w:t>Deelt u dat het onwenselijk is dat de problemen bij het UWV druppelsgewijs naar buiten komen en zich zodoende opstapelen? Op welke manier gaat u onderzoeken welke andere problemen er nog spelen onder de oppervlakte?</w:t>
      </w:r>
      <w:r>
        <w:br/>
      </w:r>
    </w:p>
    <w:p>
      <w:pPr>
        <w:pStyle w:val="ListParagraph"/>
        <w:numPr>
          <w:ilvl w:val="0"/>
          <w:numId w:val="100471420"/>
        </w:numPr>
        <w:ind w:left="360"/>
      </w:pPr>
      <w:r>
        <w:t>Kunt u deze vragen afzonderlijk beantwoorden voor het debat over de WIA-problematiek?</w:t>
      </w:r>
      <w:r>
        <w:br/>
      </w:r>
    </w:p>
    <w:p>
      <w:r>
        <w:t xml:space="preserve"> </w:t>
      </w:r>
      <w:r>
        <w:br/>
      </w:r>
    </w:p>
    <w:p>
      <w:r>
        <w:t xml:space="preserve">1) Telegraaf, 10 maart 2025, 'UWV opnieuw de fout in: arbeidsongeschikten liepen mogelijk geld mis' (UWV opnieuw de fout in: arbeidsongeschikten liepen mogelijk geld mis | Financieel | Telegraaf.nl).</w:t>
      </w:r>
      <w:r>
        <w:br/>
      </w:r>
    </w:p>
    <w:p>
      <w:r>
        <w:t xml:space="preserve">2) Kamerstuk 25 883, nr. 520.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