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742"/>
      </w:tblGrid>
      <w:tr w:rsidR="000E6CE3" w:rsidTr="00C179B4" w14:paraId="2CA9E2BD" w14:textId="77777777">
        <w:tc>
          <w:tcPr>
            <w:tcW w:w="14742" w:type="dxa"/>
            <w:hideMark/>
          </w:tcPr>
          <w:tbl>
            <w:tblPr>
              <w:tblStyle w:val="TableNormal"/>
              <w:tblW w:w="14420" w:type="dxa"/>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E2F3" w:themeFill="accent5" w:themeFillTint="33"/>
              <w:tblLayout w:type="fixed"/>
              <w:tblLook w:val="01E0" w:firstRow="1" w:lastRow="1" w:firstColumn="1" w:lastColumn="1" w:noHBand="0" w:noVBand="0"/>
            </w:tblPr>
            <w:tblGrid>
              <w:gridCol w:w="3126"/>
              <w:gridCol w:w="11294"/>
            </w:tblGrid>
            <w:tr w:rsidR="000E6CE3" w:rsidTr="00C179B4" w14:paraId="663C12A1" w14:textId="77777777">
              <w:trPr>
                <w:trHeight w:val="652"/>
              </w:trPr>
              <w:tc>
                <w:tcPr>
                  <w:tcW w:w="14420"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000E6CE3" w:rsidP="00C179B4" w:rsidRDefault="000E6CE3" w14:paraId="31E30AC0" w14:textId="77777777">
                  <w:pPr>
                    <w:pStyle w:val="TableParagraph"/>
                    <w:ind w:left="103"/>
                    <w:rPr>
                      <w:rFonts w:cstheme="minorHAnsi"/>
                      <w:b/>
                      <w:color w:val="FFFFFF"/>
                      <w:sz w:val="16"/>
                      <w:szCs w:val="16"/>
                    </w:rPr>
                  </w:pPr>
                  <w:r>
                    <w:rPr>
                      <w:rFonts w:cstheme="minorHAnsi"/>
                      <w:b/>
                      <w:color w:val="FFFFFF"/>
                      <w:sz w:val="16"/>
                      <w:szCs w:val="16"/>
                    </w:rPr>
                    <w:t>Beleidskeuzes uitgelegd</w:t>
                  </w:r>
                </w:p>
                <w:p w:rsidRPr="00962708" w:rsidR="000E6CE3" w:rsidP="00C179B4" w:rsidRDefault="000E6CE3" w14:paraId="6E203FCA" w14:textId="77777777">
                  <w:pPr>
                    <w:pStyle w:val="TableParagraph"/>
                    <w:rPr>
                      <w:rFonts w:asciiTheme="minorHAnsi" w:hAnsiTheme="minorHAnsi" w:cstheme="minorHAnsi"/>
                      <w:color w:val="FFFFFF" w:themeColor="background1"/>
                      <w:sz w:val="16"/>
                      <w:szCs w:val="16"/>
                    </w:rPr>
                  </w:pPr>
                  <w:r>
                    <w:rPr>
                      <w:rFonts w:cstheme="minorHAnsi"/>
                      <w:b/>
                      <w:color w:val="FFFFFF" w:themeColor="background1"/>
                      <w:sz w:val="16"/>
                      <w:szCs w:val="16"/>
                    </w:rPr>
                    <w:t xml:space="preserve"> </w:t>
                  </w:r>
                  <w:r>
                    <w:rPr>
                      <w:rFonts w:cstheme="minorHAnsi"/>
                      <w:i/>
                      <w:color w:val="FFFFFF" w:themeColor="background1"/>
                      <w:sz w:val="16"/>
                      <w:szCs w:val="16"/>
                    </w:rPr>
                    <w:t>Onderbouwing doeltreffendheid, doelmatigheid en evaluatie (CW 3.1)</w:t>
                  </w:r>
                </w:p>
              </w:tc>
            </w:tr>
            <w:tr w:rsidR="000E6CE3" w:rsidTr="00C179B4" w14:paraId="2A07EC73" w14:textId="77777777">
              <w:trPr>
                <w:trHeight w:val="1020"/>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D421E4" w:rsidR="000E6CE3" w:rsidP="00C179B4" w:rsidRDefault="000E6CE3" w14:paraId="29A39A35" w14:textId="77777777">
                  <w:pPr>
                    <w:pStyle w:val="TableParagraph"/>
                    <w:numPr>
                      <w:ilvl w:val="0"/>
                      <w:numId w:val="1"/>
                    </w:numPr>
                    <w:rPr>
                      <w:rFonts w:cstheme="minorHAnsi"/>
                      <w:b/>
                      <w:color w:val="FFFFFF"/>
                      <w:sz w:val="16"/>
                      <w:szCs w:val="16"/>
                    </w:rPr>
                  </w:pPr>
                  <w:r>
                    <w:rPr>
                      <w:rFonts w:cstheme="minorHAnsi"/>
                      <w:b/>
                      <w:color w:val="FFFFFF"/>
                      <w:sz w:val="16"/>
                      <w:szCs w:val="16"/>
                    </w:rPr>
                    <w:t>Wetsvoorstel Tegenbewijsregeling box 3</w:t>
                  </w:r>
                </w:p>
                <w:p w:rsidR="000E6CE3" w:rsidP="00C179B4" w:rsidRDefault="000E6CE3" w14:paraId="045FB66E" w14:textId="77777777">
                  <w:pPr>
                    <w:pStyle w:val="TableParagraph"/>
                    <w:ind w:left="103"/>
                    <w:rPr>
                      <w:rFonts w:cstheme="minorHAnsi"/>
                      <w:b/>
                      <w:color w:val="FFFFFF"/>
                      <w:sz w:val="16"/>
                      <w:szCs w:val="16"/>
                    </w:rPr>
                  </w:pP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tcPr>
                <w:p w:rsidRPr="0082467D" w:rsidR="000E6CE3" w:rsidP="00C179B4" w:rsidRDefault="000E6CE3" w14:paraId="66E63EE6" w14:textId="77777777">
                  <w:pPr>
                    <w:rPr>
                      <w:rFonts w:cstheme="minorHAnsi"/>
                      <w:b/>
                      <w:sz w:val="16"/>
                      <w:szCs w:val="16"/>
                    </w:rPr>
                  </w:pPr>
                  <w:r w:rsidRPr="00F3465D">
                    <w:rPr>
                      <w:rFonts w:cstheme="minorHAnsi"/>
                      <w:b/>
                      <w:sz w:val="16"/>
                      <w:szCs w:val="16"/>
                    </w:rPr>
                    <w:t>Volgens de Hoge Raad</w:t>
                  </w:r>
                  <w:r>
                    <w:rPr>
                      <w:rFonts w:cstheme="minorHAnsi"/>
                      <w:b/>
                      <w:sz w:val="16"/>
                      <w:szCs w:val="16"/>
                    </w:rPr>
                    <w:t xml:space="preserve"> is de huidige box 3-wetgeving in strijd met het eigendomsrecht en het discriminatieverbod en</w:t>
                  </w:r>
                  <w:r w:rsidRPr="00F3465D">
                    <w:rPr>
                      <w:rFonts w:cstheme="minorHAnsi"/>
                      <w:b/>
                      <w:sz w:val="16"/>
                      <w:szCs w:val="16"/>
                    </w:rPr>
                    <w:t xml:space="preserve"> moeten belastingplichtigen met een lager werkelijk rendement dan het forfaitaire rendement de gelegenheid krijgen om dit aannemelijk te maken. Als het werkelijke rendement lager is dan het forfaitaire rendement, dan wordt alleen belasting geheven over het werkelijke rendement.</w:t>
                  </w:r>
                  <w:r>
                    <w:rPr>
                      <w:rFonts w:cstheme="minorHAnsi"/>
                      <w:b/>
                      <w:sz w:val="16"/>
                      <w:szCs w:val="16"/>
                    </w:rPr>
                    <w:t xml:space="preserve"> </w:t>
                  </w:r>
                  <w:r w:rsidRPr="001137FA">
                    <w:rPr>
                      <w:rFonts w:cstheme="minorHAnsi"/>
                      <w:b/>
                      <w:sz w:val="16"/>
                      <w:szCs w:val="16"/>
                    </w:rPr>
                    <w:t xml:space="preserve">Het wetsvoorstel </w:t>
                  </w:r>
                  <w:r>
                    <w:rPr>
                      <w:rFonts w:cstheme="minorHAnsi"/>
                      <w:b/>
                      <w:sz w:val="16"/>
                      <w:szCs w:val="16"/>
                    </w:rPr>
                    <w:t xml:space="preserve">Tegenbewijsregeling box 3 is een codificatie van jurisprudentie van de Hoge Raad. Met het oog op duidelijkheid en rechtszekerheid is deze codificatie wenselijk. </w:t>
                  </w:r>
                </w:p>
              </w:tc>
            </w:tr>
            <w:tr w:rsidR="000E6CE3" w:rsidTr="00C179B4" w14:paraId="0CB1FA39" w14:textId="77777777">
              <w:trPr>
                <w:trHeight w:val="560"/>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000E6CE3" w:rsidP="00C179B4" w:rsidRDefault="000E6CE3" w14:paraId="0D06CB07" w14:textId="77777777">
                  <w:pPr>
                    <w:pStyle w:val="TableParagraph"/>
                    <w:ind w:left="103"/>
                    <w:rPr>
                      <w:rFonts w:cstheme="minorHAnsi"/>
                      <w:b/>
                      <w:color w:val="FFFFFF"/>
                      <w:sz w:val="16"/>
                      <w:szCs w:val="16"/>
                    </w:rPr>
                  </w:pPr>
                </w:p>
                <w:p w:rsidR="000E6CE3" w:rsidP="00C179B4" w:rsidRDefault="000E6CE3" w14:paraId="58A77773" w14:textId="77777777">
                  <w:pPr>
                    <w:pStyle w:val="TableParagraph"/>
                    <w:numPr>
                      <w:ilvl w:val="0"/>
                      <w:numId w:val="1"/>
                    </w:numPr>
                    <w:rPr>
                      <w:rFonts w:cstheme="minorHAnsi"/>
                      <w:b/>
                      <w:sz w:val="16"/>
                      <w:szCs w:val="16"/>
                    </w:rPr>
                  </w:pPr>
                  <w:r>
                    <w:rPr>
                      <w:rFonts w:cstheme="minorHAnsi"/>
                      <w:b/>
                      <w:color w:val="FFFFFF"/>
                      <w:sz w:val="16"/>
                      <w:szCs w:val="16"/>
                    </w:rPr>
                    <w:t xml:space="preserve">Doel(en) </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137FA" w:rsidR="000E6CE3" w:rsidP="00C179B4" w:rsidRDefault="000E6CE3" w14:paraId="2B9E618D" w14:textId="77777777">
                  <w:pPr>
                    <w:rPr>
                      <w:rFonts w:cstheme="minorHAnsi"/>
                      <w:b/>
                      <w:sz w:val="16"/>
                      <w:szCs w:val="16"/>
                    </w:rPr>
                  </w:pPr>
                  <w:r>
                    <w:rPr>
                      <w:rFonts w:cstheme="minorHAnsi"/>
                      <w:b/>
                      <w:sz w:val="16"/>
                      <w:szCs w:val="16"/>
                    </w:rPr>
                    <w:t>Het wegnemen van de stelselmatige schending van het eigendomsrecht en het discriminatieverbod die voortvloeit uit de huidige box 3-wetgeving en het geven van rechtsherstel.</w:t>
                  </w:r>
                </w:p>
                <w:p w:rsidRPr="00D62BFB" w:rsidR="000E6CE3" w:rsidP="00C179B4" w:rsidRDefault="000E6CE3" w14:paraId="761131D7" w14:textId="77777777"/>
              </w:tc>
            </w:tr>
            <w:tr w:rsidR="000E6CE3" w:rsidTr="00C179B4" w14:paraId="057D3ADD" w14:textId="77777777">
              <w:trPr>
                <w:trHeight w:val="427"/>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FC67A6" w:rsidR="000E6CE3" w:rsidP="00C179B4" w:rsidRDefault="000E6CE3" w14:paraId="22D90C97" w14:textId="77777777">
                  <w:pPr>
                    <w:pStyle w:val="TableParagraph"/>
                    <w:ind w:left="103" w:right="231"/>
                    <w:rPr>
                      <w:rFonts w:cstheme="minorHAnsi"/>
                      <w:b/>
                      <w:color w:val="FFFFFF"/>
                      <w:sz w:val="16"/>
                      <w:szCs w:val="16"/>
                    </w:rPr>
                  </w:pPr>
                </w:p>
                <w:p w:rsidR="000E6CE3" w:rsidP="00C179B4" w:rsidRDefault="000E6CE3" w14:paraId="7BC4B2F3" w14:textId="77777777">
                  <w:pPr>
                    <w:pStyle w:val="TableParagraph"/>
                    <w:numPr>
                      <w:ilvl w:val="0"/>
                      <w:numId w:val="1"/>
                    </w:numPr>
                    <w:ind w:right="231"/>
                    <w:rPr>
                      <w:rFonts w:cstheme="minorHAnsi"/>
                      <w:b/>
                      <w:sz w:val="16"/>
                      <w:szCs w:val="16"/>
                    </w:rPr>
                  </w:pPr>
                  <w:r>
                    <w:rPr>
                      <w:rFonts w:cstheme="minorHAnsi"/>
                      <w:b/>
                      <w:color w:val="FFFFFF"/>
                      <w:sz w:val="16"/>
                      <w:szCs w:val="16"/>
                    </w:rPr>
                    <w:t>Beleidsinstrument(en)</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137FA" w:rsidR="000E6CE3" w:rsidP="00C179B4" w:rsidRDefault="000E6CE3" w14:paraId="44121A06" w14:textId="77777777">
                  <w:pPr>
                    <w:rPr>
                      <w:rFonts w:cstheme="minorHAnsi"/>
                      <w:b/>
                      <w:sz w:val="16"/>
                      <w:szCs w:val="16"/>
                    </w:rPr>
                  </w:pPr>
                  <w:r w:rsidRPr="001137FA">
                    <w:rPr>
                      <w:rFonts w:cstheme="minorHAnsi"/>
                      <w:b/>
                      <w:sz w:val="16"/>
                      <w:szCs w:val="16"/>
                    </w:rPr>
                    <w:t>Wetgeving</w:t>
                  </w:r>
                </w:p>
              </w:tc>
            </w:tr>
            <w:tr w:rsidR="000E6CE3" w:rsidTr="00C179B4" w14:paraId="1BF74BE2" w14:textId="77777777">
              <w:trPr>
                <w:trHeight w:val="495"/>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0E6CE3" w:rsidP="00C179B4" w:rsidRDefault="000E6CE3" w14:paraId="3047EC3B" w14:textId="77777777">
                  <w:pPr>
                    <w:pStyle w:val="TableParagraph"/>
                    <w:spacing w:before="144"/>
                    <w:ind w:left="198" w:right="506"/>
                    <w:rPr>
                      <w:rFonts w:cstheme="minorHAnsi"/>
                      <w:b/>
                      <w:sz w:val="16"/>
                      <w:szCs w:val="16"/>
                    </w:rPr>
                  </w:pPr>
                  <w:r>
                    <w:rPr>
                      <w:rFonts w:cstheme="minorHAnsi"/>
                      <w:b/>
                      <w:color w:val="FFFFFF"/>
                      <w:sz w:val="16"/>
                      <w:szCs w:val="16"/>
                    </w:rPr>
                    <w:t>3A. Financiële gevolgen voor het Rijk</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tbl>
                  <w:tblPr>
                    <w:tblpPr w:leftFromText="141" w:rightFromText="141" w:vertAnchor="text" w:horzAnchor="margin" w:tblpY="-91"/>
                    <w:tblOverlap w:val="never"/>
                    <w:tblW w:w="7658" w:type="dxa"/>
                    <w:tblLayout w:type="fixed"/>
                    <w:tblCellMar>
                      <w:left w:w="0" w:type="dxa"/>
                      <w:right w:w="0" w:type="dxa"/>
                    </w:tblCellMar>
                    <w:tblLook w:val="04A0" w:firstRow="1" w:lastRow="0" w:firstColumn="1" w:lastColumn="0" w:noHBand="0" w:noVBand="1"/>
                  </w:tblPr>
                  <w:tblGrid>
                    <w:gridCol w:w="2697"/>
                    <w:gridCol w:w="779"/>
                    <w:gridCol w:w="837"/>
                    <w:gridCol w:w="836"/>
                    <w:gridCol w:w="837"/>
                    <w:gridCol w:w="836"/>
                    <w:gridCol w:w="836"/>
                  </w:tblGrid>
                  <w:tr w:rsidRPr="00CE3458" w:rsidR="000E6CE3" w:rsidTr="00C179B4" w14:paraId="0039F938" w14:textId="77777777">
                    <w:trPr>
                      <w:trHeight w:val="192"/>
                    </w:trPr>
                    <w:tc>
                      <w:tcPr>
                        <w:tcW w:w="2697" w:type="dxa"/>
                        <w:tcBorders>
                          <w:top w:val="single" w:color="5B9BD5" w:sz="8" w:space="0"/>
                          <w:left w:val="single" w:color="5B9BD5" w:sz="8" w:space="0"/>
                          <w:bottom w:val="single" w:color="5B9BD5" w:sz="8" w:space="0"/>
                          <w:right w:val="nil"/>
                        </w:tcBorders>
                        <w:shd w:val="clear" w:color="auto" w:fill="5B9BD5"/>
                        <w:tcMar>
                          <w:top w:w="0" w:type="dxa"/>
                          <w:left w:w="108" w:type="dxa"/>
                          <w:bottom w:w="0" w:type="dxa"/>
                          <w:right w:w="108" w:type="dxa"/>
                        </w:tcMar>
                        <w:hideMark/>
                      </w:tcPr>
                      <w:p w:rsidRPr="00CE3458" w:rsidR="000E6CE3" w:rsidP="00C179B4" w:rsidRDefault="000E6CE3" w14:paraId="523E52E6" w14:textId="77777777">
                        <w:pPr>
                          <w:pStyle w:val="Geenafstand"/>
                          <w:rPr>
                            <w:rFonts w:asciiTheme="minorHAnsi" w:hAnsiTheme="minorHAnsi" w:cstheme="minorHAnsi"/>
                            <w:sz w:val="16"/>
                            <w:szCs w:val="16"/>
                          </w:rPr>
                        </w:pPr>
                        <w:r w:rsidRPr="00CE3458">
                          <w:rPr>
                            <w:rFonts w:asciiTheme="minorHAnsi" w:hAnsiTheme="minorHAnsi" w:cstheme="minorHAnsi"/>
                            <w:sz w:val="16"/>
                            <w:szCs w:val="16"/>
                          </w:rPr>
                          <w:t>Maatregel</w:t>
                        </w:r>
                      </w:p>
                    </w:tc>
                    <w:tc>
                      <w:tcPr>
                        <w:tcW w:w="779" w:type="dxa"/>
                        <w:tcBorders>
                          <w:top w:val="single" w:color="5B9BD5" w:sz="8" w:space="0"/>
                          <w:left w:val="nil"/>
                          <w:bottom w:val="single" w:color="5B9BD5" w:sz="8" w:space="0"/>
                          <w:right w:val="nil"/>
                        </w:tcBorders>
                        <w:shd w:val="clear" w:color="auto" w:fill="5B9BD5"/>
                        <w:tcMar>
                          <w:top w:w="0" w:type="dxa"/>
                          <w:left w:w="108" w:type="dxa"/>
                          <w:bottom w:w="0" w:type="dxa"/>
                          <w:right w:w="108" w:type="dxa"/>
                        </w:tcMar>
                      </w:tcPr>
                      <w:p w:rsidRPr="00CE3458" w:rsidR="000E6CE3" w:rsidP="00C179B4" w:rsidRDefault="000E6CE3" w14:paraId="3BFF15A0" w14:textId="77777777">
                        <w:pPr>
                          <w:pStyle w:val="Geenafstand"/>
                          <w:rPr>
                            <w:rFonts w:asciiTheme="minorHAnsi" w:hAnsiTheme="minorHAnsi" w:cstheme="minorHAnsi"/>
                            <w:sz w:val="16"/>
                            <w:szCs w:val="16"/>
                          </w:rPr>
                        </w:pPr>
                        <w:r>
                          <w:rPr>
                            <w:rFonts w:asciiTheme="minorHAnsi" w:hAnsiTheme="minorHAnsi" w:cstheme="minorHAnsi"/>
                            <w:sz w:val="16"/>
                            <w:szCs w:val="16"/>
                          </w:rPr>
                          <w:t>2024</w:t>
                        </w:r>
                      </w:p>
                    </w:tc>
                    <w:tc>
                      <w:tcPr>
                        <w:tcW w:w="837" w:type="dxa"/>
                        <w:tcBorders>
                          <w:top w:val="single" w:color="5B9BD5" w:sz="8" w:space="0"/>
                          <w:left w:val="nil"/>
                          <w:bottom w:val="single" w:color="5B9BD5" w:sz="8" w:space="0"/>
                          <w:right w:val="nil"/>
                        </w:tcBorders>
                        <w:shd w:val="clear" w:color="auto" w:fill="5B9BD5"/>
                        <w:tcMar>
                          <w:top w:w="0" w:type="dxa"/>
                          <w:left w:w="108" w:type="dxa"/>
                          <w:bottom w:w="0" w:type="dxa"/>
                          <w:right w:w="108" w:type="dxa"/>
                        </w:tcMar>
                      </w:tcPr>
                      <w:p w:rsidRPr="00CE3458" w:rsidR="000E6CE3" w:rsidP="00C179B4" w:rsidRDefault="000E6CE3" w14:paraId="43ED6D52" w14:textId="77777777">
                        <w:pPr>
                          <w:pStyle w:val="Geenafstand"/>
                          <w:rPr>
                            <w:rFonts w:asciiTheme="minorHAnsi" w:hAnsiTheme="minorHAnsi" w:cstheme="minorHAnsi"/>
                            <w:sz w:val="16"/>
                            <w:szCs w:val="16"/>
                          </w:rPr>
                        </w:pPr>
                        <w:r>
                          <w:rPr>
                            <w:rFonts w:asciiTheme="minorHAnsi" w:hAnsiTheme="minorHAnsi" w:cstheme="minorHAnsi"/>
                            <w:sz w:val="16"/>
                            <w:szCs w:val="16"/>
                          </w:rPr>
                          <w:t>2025</w:t>
                        </w:r>
                      </w:p>
                    </w:tc>
                    <w:tc>
                      <w:tcPr>
                        <w:tcW w:w="836" w:type="dxa"/>
                        <w:tcBorders>
                          <w:top w:val="single" w:color="5B9BD5" w:sz="8" w:space="0"/>
                          <w:left w:val="nil"/>
                          <w:bottom w:val="single" w:color="5B9BD5" w:sz="8" w:space="0"/>
                          <w:right w:val="nil"/>
                        </w:tcBorders>
                        <w:shd w:val="clear" w:color="auto" w:fill="5B9BD5"/>
                        <w:tcMar>
                          <w:top w:w="0" w:type="dxa"/>
                          <w:left w:w="108" w:type="dxa"/>
                          <w:bottom w:w="0" w:type="dxa"/>
                          <w:right w:w="108" w:type="dxa"/>
                        </w:tcMar>
                      </w:tcPr>
                      <w:p w:rsidRPr="00CE3458" w:rsidR="000E6CE3" w:rsidP="00C179B4" w:rsidRDefault="000E6CE3" w14:paraId="0687C699" w14:textId="77777777">
                        <w:pPr>
                          <w:pStyle w:val="Geenafstand"/>
                          <w:rPr>
                            <w:rFonts w:asciiTheme="minorHAnsi" w:hAnsiTheme="minorHAnsi" w:cstheme="minorHAnsi"/>
                            <w:sz w:val="16"/>
                            <w:szCs w:val="16"/>
                          </w:rPr>
                        </w:pPr>
                        <w:r>
                          <w:rPr>
                            <w:rFonts w:asciiTheme="minorHAnsi" w:hAnsiTheme="minorHAnsi" w:cstheme="minorHAnsi"/>
                            <w:sz w:val="16"/>
                            <w:szCs w:val="16"/>
                          </w:rPr>
                          <w:t>2026</w:t>
                        </w:r>
                      </w:p>
                    </w:tc>
                    <w:tc>
                      <w:tcPr>
                        <w:tcW w:w="837" w:type="dxa"/>
                        <w:tcBorders>
                          <w:top w:val="single" w:color="5B9BD5" w:sz="8" w:space="0"/>
                          <w:left w:val="nil"/>
                          <w:bottom w:val="single" w:color="5B9BD5" w:sz="8" w:space="0"/>
                          <w:right w:val="nil"/>
                        </w:tcBorders>
                        <w:shd w:val="clear" w:color="auto" w:fill="5B9BD5"/>
                        <w:tcMar>
                          <w:top w:w="0" w:type="dxa"/>
                          <w:left w:w="108" w:type="dxa"/>
                          <w:bottom w:w="0" w:type="dxa"/>
                          <w:right w:w="108" w:type="dxa"/>
                        </w:tcMar>
                      </w:tcPr>
                      <w:p w:rsidRPr="00CE3458" w:rsidR="000E6CE3" w:rsidP="00C179B4" w:rsidRDefault="000E6CE3" w14:paraId="21DA8CF6" w14:textId="77777777">
                        <w:pPr>
                          <w:pStyle w:val="Geenafstand"/>
                          <w:rPr>
                            <w:rFonts w:asciiTheme="minorHAnsi" w:hAnsiTheme="minorHAnsi" w:cstheme="minorHAnsi"/>
                            <w:sz w:val="16"/>
                            <w:szCs w:val="16"/>
                          </w:rPr>
                        </w:pPr>
                        <w:r>
                          <w:rPr>
                            <w:rFonts w:asciiTheme="minorHAnsi" w:hAnsiTheme="minorHAnsi" w:cstheme="minorHAnsi"/>
                            <w:sz w:val="16"/>
                            <w:szCs w:val="16"/>
                          </w:rPr>
                          <w:t>2027</w:t>
                        </w:r>
                      </w:p>
                    </w:tc>
                    <w:tc>
                      <w:tcPr>
                        <w:tcW w:w="836" w:type="dxa"/>
                        <w:tcBorders>
                          <w:top w:val="single" w:color="5B9BD5" w:sz="8" w:space="0"/>
                          <w:left w:val="nil"/>
                          <w:bottom w:val="single" w:color="5B9BD5" w:sz="8" w:space="0"/>
                          <w:right w:val="single" w:color="5B9BD5" w:sz="8" w:space="0"/>
                        </w:tcBorders>
                        <w:shd w:val="clear" w:color="auto" w:fill="5B9BD5"/>
                        <w:tcMar>
                          <w:top w:w="0" w:type="dxa"/>
                          <w:left w:w="108" w:type="dxa"/>
                          <w:bottom w:w="0" w:type="dxa"/>
                          <w:right w:w="108" w:type="dxa"/>
                        </w:tcMar>
                      </w:tcPr>
                      <w:p w:rsidRPr="00CE3458" w:rsidR="000E6CE3" w:rsidP="00C179B4" w:rsidRDefault="000E6CE3" w14:paraId="585E87BE" w14:textId="77777777">
                        <w:pPr>
                          <w:pStyle w:val="Geenafstand"/>
                          <w:rPr>
                            <w:rFonts w:asciiTheme="minorHAnsi" w:hAnsiTheme="minorHAnsi" w:cstheme="minorHAnsi"/>
                            <w:sz w:val="16"/>
                            <w:szCs w:val="16"/>
                          </w:rPr>
                        </w:pPr>
                        <w:proofErr w:type="spellStart"/>
                        <w:r>
                          <w:rPr>
                            <w:rFonts w:asciiTheme="minorHAnsi" w:hAnsiTheme="minorHAnsi" w:cstheme="minorHAnsi"/>
                            <w:sz w:val="16"/>
                            <w:szCs w:val="16"/>
                          </w:rPr>
                          <w:t>Struc</w:t>
                        </w:r>
                        <w:proofErr w:type="spellEnd"/>
                      </w:p>
                    </w:tc>
                    <w:tc>
                      <w:tcPr>
                        <w:tcW w:w="836" w:type="dxa"/>
                        <w:tcBorders>
                          <w:top w:val="single" w:color="5B9BD5" w:sz="8" w:space="0"/>
                          <w:left w:val="nil"/>
                          <w:bottom w:val="single" w:color="5B9BD5" w:sz="8" w:space="0"/>
                          <w:right w:val="single" w:color="5B9BD5" w:sz="8" w:space="0"/>
                        </w:tcBorders>
                        <w:shd w:val="clear" w:color="auto" w:fill="5B9BD5"/>
                      </w:tcPr>
                      <w:p w:rsidRPr="00CE3458" w:rsidR="000E6CE3" w:rsidP="00C179B4" w:rsidRDefault="000E6CE3" w14:paraId="3D8A5DB7" w14:textId="77777777">
                        <w:pPr>
                          <w:pStyle w:val="Geenafstand"/>
                          <w:rPr>
                            <w:rFonts w:asciiTheme="minorHAnsi" w:hAnsiTheme="minorHAnsi" w:cstheme="minorHAnsi"/>
                            <w:sz w:val="16"/>
                            <w:szCs w:val="16"/>
                          </w:rPr>
                        </w:pPr>
                        <w:proofErr w:type="spellStart"/>
                        <w:r>
                          <w:rPr>
                            <w:rFonts w:asciiTheme="minorHAnsi" w:hAnsiTheme="minorHAnsi" w:cstheme="minorHAnsi"/>
                            <w:sz w:val="16"/>
                            <w:szCs w:val="16"/>
                          </w:rPr>
                          <w:t>Struc</w:t>
                        </w:r>
                        <w:proofErr w:type="spellEnd"/>
                        <w:r>
                          <w:rPr>
                            <w:rFonts w:asciiTheme="minorHAnsi" w:hAnsiTheme="minorHAnsi" w:cstheme="minorHAnsi"/>
                            <w:sz w:val="16"/>
                            <w:szCs w:val="16"/>
                          </w:rPr>
                          <w:t xml:space="preserve"> in</w:t>
                        </w:r>
                      </w:p>
                    </w:tc>
                  </w:tr>
                  <w:tr w:rsidRPr="00CE3458" w:rsidR="000E6CE3" w:rsidTr="00C179B4" w14:paraId="0AA2F6AD" w14:textId="77777777">
                    <w:trPr>
                      <w:trHeight w:val="413"/>
                    </w:trPr>
                    <w:tc>
                      <w:tcPr>
                        <w:tcW w:w="2697" w:type="dxa"/>
                        <w:tcBorders>
                          <w:top w:val="nil"/>
                          <w:left w:val="single" w:color="9CC2E5" w:sz="8" w:space="0"/>
                          <w:bottom w:val="single" w:color="9CC2E5" w:sz="8" w:space="0"/>
                          <w:right w:val="single" w:color="9CC2E5" w:sz="8" w:space="0"/>
                        </w:tcBorders>
                        <w:shd w:val="clear" w:color="auto" w:fill="DEEAF6"/>
                        <w:tcMar>
                          <w:top w:w="0" w:type="dxa"/>
                          <w:left w:w="108" w:type="dxa"/>
                          <w:bottom w:w="0" w:type="dxa"/>
                          <w:right w:w="108" w:type="dxa"/>
                        </w:tcMar>
                        <w:vAlign w:val="center"/>
                        <w:hideMark/>
                      </w:tcPr>
                      <w:p w:rsidRPr="00CE3458" w:rsidR="000E6CE3" w:rsidP="00C179B4" w:rsidRDefault="000E6CE3" w14:paraId="4B1A949D" w14:textId="77777777">
                        <w:pPr>
                          <w:pStyle w:val="Geenafstand"/>
                          <w:rPr>
                            <w:rFonts w:asciiTheme="minorHAnsi" w:hAnsiTheme="minorHAnsi" w:cstheme="minorHAnsi"/>
                            <w:sz w:val="16"/>
                            <w:szCs w:val="16"/>
                          </w:rPr>
                        </w:pPr>
                        <w:r>
                          <w:rPr>
                            <w:rFonts w:asciiTheme="minorHAnsi" w:hAnsiTheme="minorHAnsi" w:cstheme="minorHAnsi"/>
                            <w:sz w:val="16"/>
                            <w:szCs w:val="16"/>
                          </w:rPr>
                          <w:t>Rechtsherstel</w:t>
                        </w:r>
                      </w:p>
                    </w:tc>
                    <w:tc>
                      <w:tcPr>
                        <w:tcW w:w="779"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rsidRPr="00CE3458" w:rsidR="000E6CE3" w:rsidP="00C179B4" w:rsidRDefault="000E6CE3" w14:paraId="55C41883" w14:textId="77777777">
                        <w:pPr>
                          <w:pStyle w:val="Geenafstand"/>
                          <w:rPr>
                            <w:rFonts w:asciiTheme="minorHAnsi" w:hAnsiTheme="minorHAnsi" w:cstheme="minorHAnsi"/>
                            <w:sz w:val="16"/>
                            <w:szCs w:val="16"/>
                          </w:rPr>
                        </w:pPr>
                        <w:r>
                          <w:rPr>
                            <w:rFonts w:asciiTheme="minorHAnsi" w:hAnsiTheme="minorHAnsi" w:cstheme="minorHAnsi"/>
                            <w:sz w:val="16"/>
                            <w:szCs w:val="16"/>
                          </w:rPr>
                          <w:t>-6.464</w:t>
                        </w:r>
                      </w:p>
                    </w:tc>
                    <w:tc>
                      <w:tcPr>
                        <w:tcW w:w="837"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rsidRPr="00CE3458" w:rsidR="000E6CE3" w:rsidP="00C179B4" w:rsidRDefault="000E6CE3" w14:paraId="5EED3AC5" w14:textId="77777777">
                        <w:pPr>
                          <w:pStyle w:val="Geenafstand"/>
                          <w:rPr>
                            <w:rFonts w:asciiTheme="minorHAnsi" w:hAnsiTheme="minorHAnsi" w:cstheme="minorHAnsi"/>
                            <w:sz w:val="16"/>
                            <w:szCs w:val="16"/>
                          </w:rPr>
                        </w:pPr>
                        <w:r>
                          <w:rPr>
                            <w:rFonts w:asciiTheme="minorHAnsi" w:hAnsiTheme="minorHAnsi" w:cstheme="minorHAnsi"/>
                            <w:sz w:val="16"/>
                            <w:szCs w:val="16"/>
                          </w:rPr>
                          <w:t>-1.570</w:t>
                        </w:r>
                      </w:p>
                    </w:tc>
                    <w:tc>
                      <w:tcPr>
                        <w:tcW w:w="836"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rsidRPr="00CE3458" w:rsidR="000E6CE3" w:rsidP="00C179B4" w:rsidRDefault="000E6CE3" w14:paraId="4DF487F5" w14:textId="77777777">
                        <w:pPr>
                          <w:pStyle w:val="Geenafstand"/>
                          <w:rPr>
                            <w:rFonts w:asciiTheme="minorHAnsi" w:hAnsiTheme="minorHAnsi" w:cstheme="minorHAnsi"/>
                            <w:sz w:val="16"/>
                            <w:szCs w:val="16"/>
                          </w:rPr>
                        </w:pPr>
                        <w:r>
                          <w:rPr>
                            <w:rFonts w:asciiTheme="minorHAnsi" w:hAnsiTheme="minorHAnsi" w:cstheme="minorHAnsi"/>
                            <w:sz w:val="16"/>
                            <w:szCs w:val="16"/>
                          </w:rPr>
                          <w:t>-1.999</w:t>
                        </w:r>
                      </w:p>
                    </w:tc>
                    <w:tc>
                      <w:tcPr>
                        <w:tcW w:w="837"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rsidRPr="00CE3458" w:rsidR="000E6CE3" w:rsidP="00C179B4" w:rsidRDefault="000E6CE3" w14:paraId="3910AD87" w14:textId="77777777">
                        <w:pPr>
                          <w:pStyle w:val="Geenafstand"/>
                          <w:rPr>
                            <w:rFonts w:asciiTheme="minorHAnsi" w:hAnsiTheme="minorHAnsi" w:cstheme="minorHAnsi"/>
                            <w:sz w:val="16"/>
                            <w:szCs w:val="16"/>
                          </w:rPr>
                        </w:pPr>
                        <w:r>
                          <w:rPr>
                            <w:rFonts w:asciiTheme="minorHAnsi" w:hAnsiTheme="minorHAnsi" w:cstheme="minorHAnsi"/>
                            <w:sz w:val="16"/>
                            <w:szCs w:val="16"/>
                          </w:rPr>
                          <w:t>-2.382</w:t>
                        </w:r>
                      </w:p>
                    </w:tc>
                    <w:tc>
                      <w:tcPr>
                        <w:tcW w:w="836" w:type="dxa"/>
                        <w:tcBorders>
                          <w:top w:val="nil"/>
                          <w:left w:val="nil"/>
                          <w:bottom w:val="single" w:color="9CC2E5" w:sz="8" w:space="0"/>
                          <w:right w:val="single" w:color="9CC2E5" w:sz="8" w:space="0"/>
                        </w:tcBorders>
                        <w:shd w:val="clear" w:color="auto" w:fill="DEEAF6"/>
                        <w:tcMar>
                          <w:top w:w="0" w:type="dxa"/>
                          <w:left w:w="108" w:type="dxa"/>
                          <w:bottom w:w="0" w:type="dxa"/>
                          <w:right w:w="108" w:type="dxa"/>
                        </w:tcMar>
                        <w:hideMark/>
                      </w:tcPr>
                      <w:p w:rsidRPr="00CE3458" w:rsidR="000E6CE3" w:rsidP="00C179B4" w:rsidRDefault="000E6CE3" w14:paraId="4FDDE09E" w14:textId="77777777">
                        <w:pPr>
                          <w:pStyle w:val="Geenafstand"/>
                          <w:rPr>
                            <w:rFonts w:asciiTheme="minorHAnsi" w:hAnsiTheme="minorHAnsi" w:cstheme="minorHAnsi"/>
                            <w:sz w:val="16"/>
                            <w:szCs w:val="16"/>
                          </w:rPr>
                        </w:pPr>
                        <w:r>
                          <w:rPr>
                            <w:rFonts w:asciiTheme="minorHAnsi" w:hAnsiTheme="minorHAnsi" w:cstheme="minorHAnsi"/>
                            <w:sz w:val="16"/>
                            <w:szCs w:val="16"/>
                          </w:rPr>
                          <w:t>0</w:t>
                        </w:r>
                      </w:p>
                    </w:tc>
                    <w:tc>
                      <w:tcPr>
                        <w:tcW w:w="836" w:type="dxa"/>
                        <w:tcBorders>
                          <w:top w:val="nil"/>
                          <w:left w:val="nil"/>
                          <w:bottom w:val="single" w:color="9CC2E5" w:sz="8" w:space="0"/>
                          <w:right w:val="single" w:color="9CC2E5" w:sz="8" w:space="0"/>
                        </w:tcBorders>
                        <w:shd w:val="clear" w:color="auto" w:fill="DEEAF6"/>
                      </w:tcPr>
                      <w:p w:rsidR="000E6CE3" w:rsidP="00C179B4" w:rsidRDefault="000E6CE3" w14:paraId="0DFEFFAB" w14:textId="77777777">
                        <w:pPr>
                          <w:pStyle w:val="Geenafstand"/>
                          <w:rPr>
                            <w:rFonts w:asciiTheme="minorHAnsi" w:hAnsiTheme="minorHAnsi" w:cstheme="minorHAnsi"/>
                            <w:sz w:val="16"/>
                            <w:szCs w:val="16"/>
                          </w:rPr>
                        </w:pPr>
                        <w:r>
                          <w:rPr>
                            <w:rFonts w:asciiTheme="minorHAnsi" w:hAnsiTheme="minorHAnsi" w:cstheme="minorHAnsi"/>
                            <w:sz w:val="16"/>
                            <w:szCs w:val="16"/>
                          </w:rPr>
                          <w:t>n.v.t.</w:t>
                        </w:r>
                      </w:p>
                    </w:tc>
                  </w:tr>
                </w:tbl>
                <w:p w:rsidR="000E6CE3" w:rsidP="00C179B4" w:rsidRDefault="000E6CE3" w14:paraId="28DDFD20" w14:textId="77777777">
                  <w:pPr>
                    <w:rPr>
                      <w:rFonts w:cstheme="minorHAnsi"/>
                      <w:b/>
                      <w:sz w:val="16"/>
                      <w:szCs w:val="16"/>
                    </w:rPr>
                  </w:pPr>
                </w:p>
                <w:p w:rsidR="000E6CE3" w:rsidP="00C179B4" w:rsidRDefault="000E6CE3" w14:paraId="674489E4" w14:textId="77777777">
                  <w:pPr>
                    <w:rPr>
                      <w:rFonts w:cstheme="minorHAnsi"/>
                      <w:b/>
                      <w:sz w:val="16"/>
                      <w:szCs w:val="16"/>
                    </w:rPr>
                  </w:pPr>
                </w:p>
                <w:p w:rsidR="000E6CE3" w:rsidP="00C179B4" w:rsidRDefault="000E6CE3" w14:paraId="4B6AE4CA" w14:textId="77777777">
                  <w:pPr>
                    <w:rPr>
                      <w:rFonts w:cstheme="minorHAnsi"/>
                      <w:b/>
                      <w:sz w:val="16"/>
                      <w:szCs w:val="16"/>
                    </w:rPr>
                  </w:pPr>
                </w:p>
                <w:p w:rsidR="000E6CE3" w:rsidP="00C179B4" w:rsidRDefault="000E6CE3" w14:paraId="5ED807FA" w14:textId="77777777">
                  <w:pPr>
                    <w:rPr>
                      <w:rFonts w:cstheme="minorHAnsi"/>
                      <w:b/>
                      <w:sz w:val="16"/>
                      <w:szCs w:val="16"/>
                    </w:rPr>
                  </w:pPr>
                </w:p>
                <w:p w:rsidR="000E6CE3" w:rsidP="00C179B4" w:rsidRDefault="000E6CE3" w14:paraId="20B6DF8F" w14:textId="77777777">
                  <w:pPr>
                    <w:rPr>
                      <w:rFonts w:cstheme="minorHAnsi"/>
                      <w:b/>
                      <w:sz w:val="16"/>
                      <w:szCs w:val="16"/>
                    </w:rPr>
                  </w:pPr>
                  <w:r>
                    <w:rPr>
                      <w:rFonts w:cstheme="minorHAnsi"/>
                      <w:b/>
                      <w:sz w:val="16"/>
                      <w:szCs w:val="16"/>
                    </w:rPr>
                    <w:t>Bovenstaande tabel geeft de financiële gevolgen van het rechtsherstel in miljoenen euro’s. Het bedrag bij 2024 is cumulatief voor de jaren 2017-2024.</w:t>
                  </w:r>
                </w:p>
                <w:p w:rsidRPr="00CE3458" w:rsidR="000E6CE3" w:rsidP="00C179B4" w:rsidRDefault="000E6CE3" w14:paraId="22AB2D58" w14:textId="77777777">
                  <w:pPr>
                    <w:rPr>
                      <w:rFonts w:cstheme="minorHAnsi"/>
                      <w:b/>
                      <w:sz w:val="16"/>
                      <w:szCs w:val="16"/>
                    </w:rPr>
                  </w:pPr>
                </w:p>
              </w:tc>
            </w:tr>
            <w:tr w:rsidR="000E6CE3" w:rsidTr="00C179B4" w14:paraId="5A9903AC" w14:textId="77777777">
              <w:trPr>
                <w:trHeight w:val="548"/>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0E6CE3" w:rsidP="00C179B4" w:rsidRDefault="000E6CE3" w14:paraId="7926D871" w14:textId="77777777">
                  <w:pPr>
                    <w:pStyle w:val="TableParagraph"/>
                    <w:spacing w:before="146"/>
                    <w:ind w:left="198" w:right="92"/>
                    <w:rPr>
                      <w:rFonts w:cstheme="minorHAnsi"/>
                      <w:b/>
                      <w:sz w:val="16"/>
                      <w:szCs w:val="16"/>
                    </w:rPr>
                  </w:pPr>
                  <w:r>
                    <w:rPr>
                      <w:rFonts w:cstheme="minorHAnsi"/>
                      <w:b/>
                      <w:color w:val="FFFFFF"/>
                      <w:sz w:val="16"/>
                      <w:szCs w:val="16"/>
                    </w:rPr>
                    <w:t xml:space="preserve">3B. Financiële gevolgen voor maatschappelijke sectoren </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C35BC0" w:rsidR="000E6CE3" w:rsidP="00C179B4" w:rsidRDefault="000E6CE3" w14:paraId="624A61DB" w14:textId="77777777">
                  <w:r>
                    <w:rPr>
                      <w:rFonts w:cstheme="minorHAnsi"/>
                      <w:b/>
                      <w:sz w:val="16"/>
                      <w:szCs w:val="16"/>
                    </w:rPr>
                    <w:t xml:space="preserve">De tegenbewijsregeling geldt voor burgers en niet voor bedrijven. Als burgers een lager werkelijk rendement hebben dan het forfaitaire rendement, dan hoeven zij minder belasting te betalen. Als burgers een hoger werkelijk rendement hebben, dan blijft het forfaitaire rendement gelden. Gebruikmaken van de tegenbewijsregeling kan dus nooit nadelig zijn voor burgers. </w:t>
                  </w:r>
                </w:p>
              </w:tc>
            </w:tr>
            <w:tr w:rsidR="000E6CE3" w:rsidTr="00C179B4" w14:paraId="154D7F67" w14:textId="77777777">
              <w:trPr>
                <w:trHeight w:val="588"/>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hideMark/>
                </w:tcPr>
                <w:p w:rsidR="000E6CE3" w:rsidP="00C179B4" w:rsidRDefault="000E6CE3" w14:paraId="3B2EB3A7" w14:textId="77777777">
                  <w:pPr>
                    <w:pStyle w:val="TableParagraph"/>
                    <w:numPr>
                      <w:ilvl w:val="0"/>
                      <w:numId w:val="2"/>
                    </w:numPr>
                    <w:spacing w:before="141"/>
                    <w:ind w:right="829"/>
                    <w:rPr>
                      <w:rFonts w:cstheme="minorHAnsi"/>
                      <w:b/>
                      <w:sz w:val="16"/>
                      <w:szCs w:val="16"/>
                      <w:lang w:val="en-US"/>
                    </w:rPr>
                  </w:pPr>
                  <w:r>
                    <w:rPr>
                      <w:rFonts w:cstheme="minorHAnsi"/>
                      <w:b/>
                      <w:color w:val="FFFFFF"/>
                      <w:sz w:val="16"/>
                      <w:szCs w:val="16"/>
                    </w:rPr>
                    <w:t>Nagestreefde doeltreffendheid</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137FA" w:rsidR="000E6CE3" w:rsidP="00C179B4" w:rsidRDefault="000E6CE3" w14:paraId="09AEE32A" w14:textId="77777777">
                  <w:pPr>
                    <w:rPr>
                      <w:rFonts w:cstheme="minorHAnsi"/>
                      <w:b/>
                      <w:sz w:val="16"/>
                      <w:szCs w:val="16"/>
                    </w:rPr>
                  </w:pPr>
                  <w:r>
                    <w:rPr>
                      <w:rFonts w:cstheme="minorHAnsi"/>
                      <w:b/>
                      <w:sz w:val="16"/>
                      <w:szCs w:val="16"/>
                    </w:rPr>
                    <w:t xml:space="preserve">Deze maatregel is doeltreffend, omdat in het wetsvoorstel nauw wordt aangesloten bij de regels die de Hoge Raad heeft geformuleerd. Op deze wijze wordt zeker gesteld dat de door de Hoge Raad geconstateerde schending wordt weggenomen. </w:t>
                  </w:r>
                </w:p>
              </w:tc>
            </w:tr>
            <w:tr w:rsidR="000E6CE3" w:rsidTr="00C179B4" w14:paraId="3B7C97C9" w14:textId="77777777">
              <w:trPr>
                <w:trHeight w:val="605"/>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FE054A" w:rsidR="000E6CE3" w:rsidP="00C179B4" w:rsidRDefault="000E6CE3" w14:paraId="591D4E49" w14:textId="77777777">
                  <w:pPr>
                    <w:pStyle w:val="TableParagraph"/>
                    <w:rPr>
                      <w:rFonts w:asciiTheme="minorHAnsi" w:hAnsiTheme="minorHAnsi" w:cstheme="minorHAnsi"/>
                      <w:i/>
                      <w:sz w:val="16"/>
                      <w:szCs w:val="16"/>
                    </w:rPr>
                  </w:pPr>
                </w:p>
                <w:p w:rsidR="000E6CE3" w:rsidP="00C179B4" w:rsidRDefault="000E6CE3" w14:paraId="54512561" w14:textId="77777777">
                  <w:pPr>
                    <w:pStyle w:val="TableParagraph"/>
                    <w:numPr>
                      <w:ilvl w:val="0"/>
                      <w:numId w:val="2"/>
                    </w:numPr>
                    <w:ind w:right="1066"/>
                    <w:rPr>
                      <w:rFonts w:cstheme="minorHAnsi"/>
                      <w:b/>
                      <w:sz w:val="16"/>
                      <w:szCs w:val="16"/>
                    </w:rPr>
                  </w:pPr>
                  <w:r>
                    <w:rPr>
                      <w:rFonts w:cstheme="minorHAnsi"/>
                      <w:b/>
                      <w:color w:val="FFFFFF"/>
                      <w:sz w:val="16"/>
                      <w:szCs w:val="16"/>
                    </w:rPr>
                    <w:t>Nagestreefde doelmatigheid</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tcPr>
                <w:p w:rsidRPr="00D62BFB" w:rsidR="000E6CE3" w:rsidP="00C179B4" w:rsidRDefault="000E6CE3" w14:paraId="4813D26E" w14:textId="77777777">
                  <w:pPr>
                    <w:rPr>
                      <w:rFonts w:cstheme="minorHAnsi"/>
                      <w:b/>
                      <w:sz w:val="16"/>
                      <w:szCs w:val="16"/>
                    </w:rPr>
                  </w:pPr>
                  <w:r>
                    <w:rPr>
                      <w:rFonts w:cstheme="minorHAnsi"/>
                      <w:b/>
                      <w:sz w:val="16"/>
                      <w:szCs w:val="16"/>
                    </w:rPr>
                    <w:t xml:space="preserve">Codificatie zorgt voor duidelijkheid voor burgers en voor de Belastingdienst en dat bevordert de uitvoerbaarheid van de tegenbewijsregeling. Daarmee is het wetsvoorstel doelmatig. </w:t>
                  </w:r>
                </w:p>
              </w:tc>
            </w:tr>
            <w:tr w:rsidR="000E6CE3" w:rsidTr="00C179B4" w14:paraId="28443B95" w14:textId="77777777">
              <w:trPr>
                <w:trHeight w:val="605"/>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15120F" w:rsidR="000E6CE3" w:rsidP="00C179B4" w:rsidRDefault="000E6CE3" w14:paraId="35D7BAFC" w14:textId="77777777">
                  <w:pPr>
                    <w:pStyle w:val="TableParagraph"/>
                    <w:ind w:left="103" w:right="1066"/>
                    <w:rPr>
                      <w:rFonts w:cstheme="minorHAnsi"/>
                      <w:b/>
                      <w:color w:val="FFFFFF"/>
                      <w:sz w:val="16"/>
                      <w:szCs w:val="16"/>
                    </w:rPr>
                  </w:pPr>
                </w:p>
                <w:p w:rsidR="000E6CE3" w:rsidP="00C179B4" w:rsidRDefault="000E6CE3" w14:paraId="302D1B88" w14:textId="77777777">
                  <w:pPr>
                    <w:pStyle w:val="TableParagraph"/>
                    <w:numPr>
                      <w:ilvl w:val="0"/>
                      <w:numId w:val="2"/>
                    </w:numPr>
                    <w:ind w:right="1066"/>
                    <w:rPr>
                      <w:rFonts w:cstheme="minorHAnsi"/>
                      <w:sz w:val="16"/>
                      <w:szCs w:val="16"/>
                    </w:rPr>
                  </w:pPr>
                  <w:r>
                    <w:rPr>
                      <w:rFonts w:cstheme="minorHAnsi"/>
                      <w:b/>
                      <w:color w:val="FFFFFF"/>
                      <w:sz w:val="16"/>
                      <w:szCs w:val="16"/>
                    </w:rPr>
                    <w:t>Evaluatiepara-graaf</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tcPr>
                <w:p w:rsidRPr="0015120F" w:rsidR="000E6CE3" w:rsidP="00C179B4" w:rsidRDefault="000E6CE3" w14:paraId="4D85FCE8" w14:textId="77777777">
                  <w:pPr>
                    <w:rPr>
                      <w:rFonts w:cstheme="minorHAnsi"/>
                      <w:b/>
                      <w:bCs/>
                      <w:sz w:val="16"/>
                      <w:szCs w:val="16"/>
                    </w:rPr>
                  </w:pPr>
                  <w:r w:rsidRPr="0093300D">
                    <w:rPr>
                      <w:rFonts w:cstheme="minorHAnsi"/>
                      <w:b/>
                      <w:bCs/>
                      <w:sz w:val="16"/>
                      <w:szCs w:val="16"/>
                    </w:rPr>
                    <w:t>Beoogd is om per 202</w:t>
                  </w:r>
                  <w:r>
                    <w:rPr>
                      <w:rFonts w:cstheme="minorHAnsi"/>
                      <w:b/>
                      <w:bCs/>
                      <w:sz w:val="16"/>
                      <w:szCs w:val="16"/>
                    </w:rPr>
                    <w:t>8</w:t>
                  </w:r>
                  <w:r w:rsidRPr="0093300D">
                    <w:rPr>
                      <w:rFonts w:cstheme="minorHAnsi"/>
                      <w:b/>
                      <w:bCs/>
                      <w:sz w:val="16"/>
                      <w:szCs w:val="16"/>
                    </w:rPr>
                    <w:t xml:space="preserve"> een stelsel op basis van werkelijk rendement in te voeren in box 3. Vanwege de korte duur van de tegenbewijsregeling is niet voorzien in een evaluatiebepaling.</w:t>
                  </w:r>
                  <w:r>
                    <w:rPr>
                      <w:rFonts w:cstheme="minorHAnsi"/>
                      <w:b/>
                      <w:bCs/>
                      <w:sz w:val="16"/>
                      <w:szCs w:val="16"/>
                    </w:rPr>
                    <w:t xml:space="preserve"> </w:t>
                  </w:r>
                </w:p>
              </w:tc>
            </w:tr>
          </w:tbl>
          <w:p w:rsidRPr="00AB4BD9" w:rsidR="000E6CE3" w:rsidP="00C179B4" w:rsidRDefault="000E6CE3" w14:paraId="5CAE7ACD" w14:textId="77777777">
            <w:pPr>
              <w:rPr>
                <w:rFonts w:ascii="Verdana" w:hAnsi="Verdana" w:cstheme="minorBidi"/>
                <w:sz w:val="18"/>
              </w:rPr>
            </w:pPr>
          </w:p>
        </w:tc>
      </w:tr>
    </w:tbl>
    <w:p w:rsidRPr="008E06AA" w:rsidR="004958FB" w:rsidP="004958FB" w:rsidRDefault="004958FB" w14:paraId="6AF953C7" w14:textId="5EEF478D">
      <w:pPr>
        <w:pStyle w:val="Default"/>
        <w:rPr>
          <w:i/>
          <w:iCs/>
          <w:sz w:val="22"/>
          <w:szCs w:val="18"/>
        </w:rPr>
      </w:pPr>
    </w:p>
    <w:sectPr w:rsidRPr="008E06AA" w:rsidR="004958FB" w:rsidSect="00CE3458">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7488" w14:textId="77777777" w:rsidR="00A044D7" w:rsidRDefault="00A044D7" w:rsidP="00962708">
      <w:r>
        <w:separator/>
      </w:r>
    </w:p>
  </w:endnote>
  <w:endnote w:type="continuationSeparator" w:id="0">
    <w:p w14:paraId="125758B4" w14:textId="77777777" w:rsidR="00A044D7" w:rsidRDefault="00A044D7" w:rsidP="0096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6023" w14:textId="77777777" w:rsidR="00A044D7" w:rsidRDefault="00A044D7" w:rsidP="00962708">
      <w:r>
        <w:separator/>
      </w:r>
    </w:p>
  </w:footnote>
  <w:footnote w:type="continuationSeparator" w:id="0">
    <w:p w14:paraId="3A7F3CA4" w14:textId="77777777" w:rsidR="00A044D7" w:rsidRDefault="00A044D7" w:rsidP="0096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F4173"/>
    <w:multiLevelType w:val="hybridMultilevel"/>
    <w:tmpl w:val="87B21E64"/>
    <w:lvl w:ilvl="0" w:tplc="8D7EB0EE">
      <w:start w:val="4"/>
      <w:numFmt w:val="decimal"/>
      <w:lvlText w:val="%1."/>
      <w:lvlJc w:val="left"/>
      <w:pPr>
        <w:ind w:left="720" w:hanging="360"/>
      </w:pPr>
      <w:rPr>
        <w:color w:val="FFFFFF"/>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502"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40365E7"/>
    <w:multiLevelType w:val="hybridMultilevel"/>
    <w:tmpl w:val="2E04AD14"/>
    <w:lvl w:ilvl="0" w:tplc="57D4BBC8">
      <w:start w:val="1"/>
      <w:numFmt w:val="decimal"/>
      <w:lvlText w:val="%1."/>
      <w:lvlJc w:val="left"/>
      <w:pPr>
        <w:ind w:left="463" w:hanging="360"/>
      </w:pPr>
      <w:rPr>
        <w:color w:val="FFFFFF"/>
      </w:rPr>
    </w:lvl>
    <w:lvl w:ilvl="1" w:tplc="04130019">
      <w:start w:val="1"/>
      <w:numFmt w:val="lowerLetter"/>
      <w:lvlText w:val="%2."/>
      <w:lvlJc w:val="left"/>
      <w:pPr>
        <w:ind w:left="1183" w:hanging="360"/>
      </w:pPr>
    </w:lvl>
    <w:lvl w:ilvl="2" w:tplc="0413001B">
      <w:start w:val="1"/>
      <w:numFmt w:val="lowerRoman"/>
      <w:lvlText w:val="%3."/>
      <w:lvlJc w:val="right"/>
      <w:pPr>
        <w:ind w:left="1903" w:hanging="180"/>
      </w:pPr>
    </w:lvl>
    <w:lvl w:ilvl="3" w:tplc="7D2C91FC">
      <w:start w:val="1"/>
      <w:numFmt w:val="decimal"/>
      <w:lvlText w:val="%4."/>
      <w:lvlJc w:val="left"/>
      <w:pPr>
        <w:ind w:left="502" w:hanging="360"/>
      </w:pPr>
      <w:rPr>
        <w:b/>
        <w:bCs/>
        <w:sz w:val="16"/>
        <w:szCs w:val="16"/>
      </w:rPr>
    </w:lvl>
    <w:lvl w:ilvl="4" w:tplc="04130019">
      <w:start w:val="1"/>
      <w:numFmt w:val="lowerLetter"/>
      <w:lvlText w:val="%5."/>
      <w:lvlJc w:val="left"/>
      <w:pPr>
        <w:ind w:left="3343" w:hanging="360"/>
      </w:pPr>
    </w:lvl>
    <w:lvl w:ilvl="5" w:tplc="0413001B">
      <w:start w:val="1"/>
      <w:numFmt w:val="lowerRoman"/>
      <w:lvlText w:val="%6."/>
      <w:lvlJc w:val="right"/>
      <w:pPr>
        <w:ind w:left="4063" w:hanging="180"/>
      </w:pPr>
    </w:lvl>
    <w:lvl w:ilvl="6" w:tplc="0413000F">
      <w:start w:val="1"/>
      <w:numFmt w:val="decimal"/>
      <w:lvlText w:val="%7."/>
      <w:lvlJc w:val="left"/>
      <w:pPr>
        <w:ind w:left="502" w:hanging="360"/>
      </w:pPr>
    </w:lvl>
    <w:lvl w:ilvl="7" w:tplc="04130019">
      <w:start w:val="1"/>
      <w:numFmt w:val="lowerLetter"/>
      <w:lvlText w:val="%8."/>
      <w:lvlJc w:val="left"/>
      <w:pPr>
        <w:ind w:left="5503" w:hanging="360"/>
      </w:pPr>
    </w:lvl>
    <w:lvl w:ilvl="8" w:tplc="0413001B">
      <w:start w:val="1"/>
      <w:numFmt w:val="lowerRoman"/>
      <w:lvlText w:val="%9."/>
      <w:lvlJc w:val="right"/>
      <w:pPr>
        <w:ind w:left="6223" w:hanging="180"/>
      </w:pPr>
    </w:lvl>
  </w:abstractNum>
  <w:num w:numId="1" w16cid:durableId="719980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271983">
    <w:abstractNumId w:val="0"/>
  </w:num>
  <w:num w:numId="3" w16cid:durableId="169098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08"/>
    <w:rsid w:val="00026EF5"/>
    <w:rsid w:val="00043062"/>
    <w:rsid w:val="000461FA"/>
    <w:rsid w:val="00076BD5"/>
    <w:rsid w:val="00091C66"/>
    <w:rsid w:val="00094CEB"/>
    <w:rsid w:val="000B11D2"/>
    <w:rsid w:val="000B3F16"/>
    <w:rsid w:val="000E6CE3"/>
    <w:rsid w:val="000F69C2"/>
    <w:rsid w:val="001137FA"/>
    <w:rsid w:val="00125E4E"/>
    <w:rsid w:val="0013255A"/>
    <w:rsid w:val="00141001"/>
    <w:rsid w:val="0015120F"/>
    <w:rsid w:val="00161600"/>
    <w:rsid w:val="00187A86"/>
    <w:rsid w:val="001B04D9"/>
    <w:rsid w:val="001C6600"/>
    <w:rsid w:val="001D639C"/>
    <w:rsid w:val="001E6A24"/>
    <w:rsid w:val="00201312"/>
    <w:rsid w:val="00217261"/>
    <w:rsid w:val="00257CB7"/>
    <w:rsid w:val="00282B9A"/>
    <w:rsid w:val="002A3253"/>
    <w:rsid w:val="002C0EF6"/>
    <w:rsid w:val="002E1502"/>
    <w:rsid w:val="002F624D"/>
    <w:rsid w:val="00307BCC"/>
    <w:rsid w:val="00350D65"/>
    <w:rsid w:val="0035222D"/>
    <w:rsid w:val="003547F8"/>
    <w:rsid w:val="0035512B"/>
    <w:rsid w:val="00355C69"/>
    <w:rsid w:val="00373A5E"/>
    <w:rsid w:val="00385767"/>
    <w:rsid w:val="00391BE4"/>
    <w:rsid w:val="003D5AEB"/>
    <w:rsid w:val="00410544"/>
    <w:rsid w:val="0042365A"/>
    <w:rsid w:val="0042581A"/>
    <w:rsid w:val="004440BF"/>
    <w:rsid w:val="00450973"/>
    <w:rsid w:val="004643ED"/>
    <w:rsid w:val="00480116"/>
    <w:rsid w:val="004926E4"/>
    <w:rsid w:val="004958FB"/>
    <w:rsid w:val="004975B2"/>
    <w:rsid w:val="004B0916"/>
    <w:rsid w:val="004E745A"/>
    <w:rsid w:val="00507091"/>
    <w:rsid w:val="00566F65"/>
    <w:rsid w:val="0057126B"/>
    <w:rsid w:val="005728E2"/>
    <w:rsid w:val="00595DF9"/>
    <w:rsid w:val="005B01C2"/>
    <w:rsid w:val="005C3BB8"/>
    <w:rsid w:val="005E2D61"/>
    <w:rsid w:val="00617445"/>
    <w:rsid w:val="00650FD1"/>
    <w:rsid w:val="006629FA"/>
    <w:rsid w:val="00666442"/>
    <w:rsid w:val="006A2D87"/>
    <w:rsid w:val="006A7C5D"/>
    <w:rsid w:val="006B0E1E"/>
    <w:rsid w:val="006C0B7D"/>
    <w:rsid w:val="006D208C"/>
    <w:rsid w:val="006E1187"/>
    <w:rsid w:val="006E236E"/>
    <w:rsid w:val="00724932"/>
    <w:rsid w:val="007272AE"/>
    <w:rsid w:val="00756BF4"/>
    <w:rsid w:val="007A7239"/>
    <w:rsid w:val="007C125B"/>
    <w:rsid w:val="007C6F38"/>
    <w:rsid w:val="0082467D"/>
    <w:rsid w:val="008333E4"/>
    <w:rsid w:val="008377AB"/>
    <w:rsid w:val="008C2534"/>
    <w:rsid w:val="008C27C3"/>
    <w:rsid w:val="008E06AA"/>
    <w:rsid w:val="00920D8E"/>
    <w:rsid w:val="0093300D"/>
    <w:rsid w:val="00936474"/>
    <w:rsid w:val="00953475"/>
    <w:rsid w:val="00962708"/>
    <w:rsid w:val="00977F19"/>
    <w:rsid w:val="00997368"/>
    <w:rsid w:val="009F33E8"/>
    <w:rsid w:val="009F676D"/>
    <w:rsid w:val="00A044D7"/>
    <w:rsid w:val="00A04DB4"/>
    <w:rsid w:val="00A1017A"/>
    <w:rsid w:val="00A55122"/>
    <w:rsid w:val="00A56937"/>
    <w:rsid w:val="00A6139F"/>
    <w:rsid w:val="00A71D41"/>
    <w:rsid w:val="00A93857"/>
    <w:rsid w:val="00AA761C"/>
    <w:rsid w:val="00AB468F"/>
    <w:rsid w:val="00AB4BD9"/>
    <w:rsid w:val="00B00CD2"/>
    <w:rsid w:val="00B06701"/>
    <w:rsid w:val="00B15B93"/>
    <w:rsid w:val="00B16CBD"/>
    <w:rsid w:val="00B20305"/>
    <w:rsid w:val="00B311A3"/>
    <w:rsid w:val="00B41B9C"/>
    <w:rsid w:val="00BE7A98"/>
    <w:rsid w:val="00C12BD4"/>
    <w:rsid w:val="00C13C3E"/>
    <w:rsid w:val="00C141FE"/>
    <w:rsid w:val="00C25E61"/>
    <w:rsid w:val="00C35BC0"/>
    <w:rsid w:val="00C813C0"/>
    <w:rsid w:val="00CA1C75"/>
    <w:rsid w:val="00CB4B5D"/>
    <w:rsid w:val="00CE3458"/>
    <w:rsid w:val="00CF2D45"/>
    <w:rsid w:val="00CF7BEC"/>
    <w:rsid w:val="00D01417"/>
    <w:rsid w:val="00D25F86"/>
    <w:rsid w:val="00D275AC"/>
    <w:rsid w:val="00D370EA"/>
    <w:rsid w:val="00D421E4"/>
    <w:rsid w:val="00D435D9"/>
    <w:rsid w:val="00D61161"/>
    <w:rsid w:val="00D62BFB"/>
    <w:rsid w:val="00D825D4"/>
    <w:rsid w:val="00DA22AF"/>
    <w:rsid w:val="00DA6730"/>
    <w:rsid w:val="00DC3343"/>
    <w:rsid w:val="00DD7F4B"/>
    <w:rsid w:val="00DE4DC3"/>
    <w:rsid w:val="00DE5DFB"/>
    <w:rsid w:val="00DF546A"/>
    <w:rsid w:val="00DF58ED"/>
    <w:rsid w:val="00E209DA"/>
    <w:rsid w:val="00E62832"/>
    <w:rsid w:val="00E82DAE"/>
    <w:rsid w:val="00E9677E"/>
    <w:rsid w:val="00ED5C17"/>
    <w:rsid w:val="00EF4040"/>
    <w:rsid w:val="00F001BB"/>
    <w:rsid w:val="00F017F9"/>
    <w:rsid w:val="00F068DC"/>
    <w:rsid w:val="00F10415"/>
    <w:rsid w:val="00F21364"/>
    <w:rsid w:val="00F34542"/>
    <w:rsid w:val="00F3465D"/>
    <w:rsid w:val="00F51F97"/>
    <w:rsid w:val="00F65CAE"/>
    <w:rsid w:val="00F953AE"/>
    <w:rsid w:val="00FB0DBE"/>
    <w:rsid w:val="00FC29EC"/>
    <w:rsid w:val="00FC67A6"/>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04B8"/>
  <w15:chartTrackingRefBased/>
  <w15:docId w15:val="{EC30BA32-6740-4349-A95C-9587511C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2708"/>
    <w:pPr>
      <w:spacing w:after="0" w:line="240" w:lineRule="auto"/>
    </w:pPr>
    <w:rPr>
      <w:rFonts w:ascii="Calibri" w:hAnsi="Calibri" w:cs="Calibr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qFormat/>
    <w:rsid w:val="00962708"/>
    <w:pPr>
      <w:widowControl w:val="0"/>
      <w:autoSpaceDE w:val="0"/>
      <w:autoSpaceDN w:val="0"/>
    </w:pPr>
    <w:rPr>
      <w:rFonts w:ascii="Verdana" w:eastAsia="Verdana" w:hAnsi="Verdana" w:cs="Verdana"/>
    </w:rPr>
  </w:style>
  <w:style w:type="table" w:styleId="Tabelraster">
    <w:name w:val="Table Grid"/>
    <w:basedOn w:val="Standaardtabel"/>
    <w:uiPriority w:val="39"/>
    <w:rsid w:val="009627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62708"/>
    <w:pPr>
      <w:widowControl w:val="0"/>
      <w:autoSpaceDE w:val="0"/>
      <w:autoSpaceDN w:val="0"/>
      <w:spacing w:after="0" w:line="240" w:lineRule="auto"/>
    </w:pPr>
    <w:rPr>
      <w:rFonts w:asciiTheme="minorHAnsi" w:hAnsiTheme="minorHAnsi"/>
      <w:sz w:val="22"/>
    </w:rPr>
    <w:tblPr>
      <w:tblCellMar>
        <w:top w:w="0" w:type="dxa"/>
        <w:left w:w="0" w:type="dxa"/>
        <w:bottom w:w="0" w:type="dxa"/>
        <w:right w:w="0" w:type="dxa"/>
      </w:tblCellMar>
    </w:tblPr>
  </w:style>
  <w:style w:type="paragraph" w:customStyle="1" w:styleId="Default">
    <w:name w:val="Default"/>
    <w:rsid w:val="004958FB"/>
    <w:pPr>
      <w:autoSpaceDE w:val="0"/>
      <w:autoSpaceDN w:val="0"/>
      <w:adjustRightInd w:val="0"/>
      <w:spacing w:after="0" w:line="240" w:lineRule="auto"/>
    </w:pPr>
    <w:rPr>
      <w:rFonts w:ascii="RijksoverheidSansText" w:hAnsi="RijksoverheidSansText" w:cs="RijksoverheidSansText"/>
      <w:color w:val="000000"/>
      <w:sz w:val="24"/>
      <w:szCs w:val="24"/>
      <w:lang w:val="nl-NL"/>
    </w:rPr>
  </w:style>
  <w:style w:type="character" w:customStyle="1" w:styleId="A8">
    <w:name w:val="A8"/>
    <w:uiPriority w:val="99"/>
    <w:rsid w:val="004958FB"/>
    <w:rPr>
      <w:rFonts w:cs="RijksoverheidSansText"/>
      <w:color w:val="00558D"/>
      <w:sz w:val="16"/>
      <w:szCs w:val="16"/>
      <w:u w:val="single"/>
    </w:rPr>
  </w:style>
  <w:style w:type="character" w:customStyle="1" w:styleId="A6">
    <w:name w:val="A6"/>
    <w:uiPriority w:val="99"/>
    <w:rsid w:val="004958FB"/>
    <w:rPr>
      <w:rFonts w:cs="RijksoverheidSansText"/>
      <w:color w:val="000000"/>
      <w:sz w:val="16"/>
      <w:szCs w:val="16"/>
    </w:rPr>
  </w:style>
  <w:style w:type="paragraph" w:styleId="Lijstalinea">
    <w:name w:val="List Paragraph"/>
    <w:basedOn w:val="Standaard"/>
    <w:uiPriority w:val="34"/>
    <w:qFormat/>
    <w:rsid w:val="00D435D9"/>
    <w:pPr>
      <w:ind w:left="720"/>
      <w:contextualSpacing/>
    </w:pPr>
  </w:style>
  <w:style w:type="character" w:styleId="Verwijzingopmerking">
    <w:name w:val="annotation reference"/>
    <w:basedOn w:val="Standaardalinea-lettertype"/>
    <w:uiPriority w:val="99"/>
    <w:semiHidden/>
    <w:unhideWhenUsed/>
    <w:rsid w:val="00AB4BD9"/>
    <w:rPr>
      <w:sz w:val="16"/>
      <w:szCs w:val="16"/>
    </w:rPr>
  </w:style>
  <w:style w:type="paragraph" w:styleId="Tekstopmerking">
    <w:name w:val="annotation text"/>
    <w:basedOn w:val="Standaard"/>
    <w:link w:val="TekstopmerkingChar"/>
    <w:uiPriority w:val="99"/>
    <w:unhideWhenUsed/>
    <w:rsid w:val="00AB4BD9"/>
    <w:rPr>
      <w:sz w:val="20"/>
      <w:szCs w:val="20"/>
    </w:rPr>
  </w:style>
  <w:style w:type="character" w:customStyle="1" w:styleId="TekstopmerkingChar">
    <w:name w:val="Tekst opmerking Char"/>
    <w:basedOn w:val="Standaardalinea-lettertype"/>
    <w:link w:val="Tekstopmerking"/>
    <w:uiPriority w:val="99"/>
    <w:rsid w:val="00AB4BD9"/>
    <w:rPr>
      <w:rFonts w:ascii="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B4BD9"/>
    <w:rPr>
      <w:b/>
      <w:bCs/>
    </w:rPr>
  </w:style>
  <w:style w:type="character" w:customStyle="1" w:styleId="OnderwerpvanopmerkingChar">
    <w:name w:val="Onderwerp van opmerking Char"/>
    <w:basedOn w:val="TekstopmerkingChar"/>
    <w:link w:val="Onderwerpvanopmerking"/>
    <w:uiPriority w:val="99"/>
    <w:semiHidden/>
    <w:rsid w:val="00AB4BD9"/>
    <w:rPr>
      <w:rFonts w:ascii="Calibri" w:hAnsi="Calibri" w:cs="Calibri"/>
      <w:b/>
      <w:bCs/>
      <w:sz w:val="20"/>
      <w:szCs w:val="20"/>
      <w:lang w:val="nl-NL"/>
    </w:rPr>
  </w:style>
  <w:style w:type="paragraph" w:styleId="Koptekst">
    <w:name w:val="header"/>
    <w:basedOn w:val="Standaard"/>
    <w:link w:val="KoptekstChar"/>
    <w:uiPriority w:val="99"/>
    <w:unhideWhenUsed/>
    <w:rsid w:val="00CE3458"/>
    <w:pPr>
      <w:tabs>
        <w:tab w:val="center" w:pos="4536"/>
        <w:tab w:val="right" w:pos="9072"/>
      </w:tabs>
    </w:pPr>
  </w:style>
  <w:style w:type="character" w:customStyle="1" w:styleId="KoptekstChar">
    <w:name w:val="Koptekst Char"/>
    <w:basedOn w:val="Standaardalinea-lettertype"/>
    <w:link w:val="Koptekst"/>
    <w:uiPriority w:val="99"/>
    <w:rsid w:val="00CE3458"/>
    <w:rPr>
      <w:rFonts w:ascii="Calibri" w:hAnsi="Calibri" w:cs="Calibri"/>
      <w:sz w:val="22"/>
      <w:lang w:val="nl-NL"/>
    </w:rPr>
  </w:style>
  <w:style w:type="paragraph" w:styleId="Voettekst">
    <w:name w:val="footer"/>
    <w:basedOn w:val="Standaard"/>
    <w:link w:val="VoettekstChar"/>
    <w:uiPriority w:val="99"/>
    <w:unhideWhenUsed/>
    <w:rsid w:val="00CE3458"/>
    <w:pPr>
      <w:tabs>
        <w:tab w:val="center" w:pos="4536"/>
        <w:tab w:val="right" w:pos="9072"/>
      </w:tabs>
    </w:pPr>
  </w:style>
  <w:style w:type="character" w:customStyle="1" w:styleId="VoettekstChar">
    <w:name w:val="Voettekst Char"/>
    <w:basedOn w:val="Standaardalinea-lettertype"/>
    <w:link w:val="Voettekst"/>
    <w:uiPriority w:val="99"/>
    <w:rsid w:val="00CE3458"/>
    <w:rPr>
      <w:rFonts w:ascii="Calibri" w:hAnsi="Calibri" w:cs="Calibri"/>
      <w:sz w:val="22"/>
      <w:lang w:val="nl-NL"/>
    </w:rPr>
  </w:style>
  <w:style w:type="paragraph" w:styleId="Geenafstand">
    <w:name w:val="No Spacing"/>
    <w:uiPriority w:val="1"/>
    <w:qFormat/>
    <w:rsid w:val="00CE3458"/>
    <w:pPr>
      <w:spacing w:after="0" w:line="240" w:lineRule="auto"/>
    </w:pPr>
    <w:rPr>
      <w:rFonts w:ascii="Calibri" w:hAnsi="Calibri" w:cs="Calibri"/>
      <w:sz w:val="22"/>
      <w:lang w:val="nl-NL"/>
    </w:rPr>
  </w:style>
  <w:style w:type="paragraph" w:styleId="Revisie">
    <w:name w:val="Revision"/>
    <w:hidden/>
    <w:uiPriority w:val="99"/>
    <w:semiHidden/>
    <w:rsid w:val="00ED5C17"/>
    <w:pPr>
      <w:spacing w:after="0" w:line="240" w:lineRule="auto"/>
    </w:pPr>
    <w:rPr>
      <w:rFonts w:ascii="Calibri" w:hAnsi="Calibri" w:cs="Calibr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88">
      <w:bodyDiv w:val="1"/>
      <w:marLeft w:val="0"/>
      <w:marRight w:val="0"/>
      <w:marTop w:val="0"/>
      <w:marBottom w:val="0"/>
      <w:divBdr>
        <w:top w:val="none" w:sz="0" w:space="0" w:color="auto"/>
        <w:left w:val="none" w:sz="0" w:space="0" w:color="auto"/>
        <w:bottom w:val="none" w:sz="0" w:space="0" w:color="auto"/>
        <w:right w:val="none" w:sz="0" w:space="0" w:color="auto"/>
      </w:divBdr>
    </w:div>
    <w:div w:id="1783915456">
      <w:bodyDiv w:val="1"/>
      <w:marLeft w:val="0"/>
      <w:marRight w:val="0"/>
      <w:marTop w:val="0"/>
      <w:marBottom w:val="0"/>
      <w:divBdr>
        <w:top w:val="none" w:sz="0" w:space="0" w:color="auto"/>
        <w:left w:val="none" w:sz="0" w:space="0" w:color="auto"/>
        <w:bottom w:val="none" w:sz="0" w:space="0" w:color="auto"/>
        <w:right w:val="none" w:sz="0" w:space="0" w:color="auto"/>
      </w:divBdr>
    </w:div>
    <w:div w:id="18710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357</ap:Words>
  <ap:Characters>1968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2025-03-14T09:01:00.0000000Z</dcterms:created>
  <dcterms:modified xsi:type="dcterms:W3CDTF">2025-03-14T09:01:00.0000000Z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2023-07-11T07:31:49Z</vt:lpwstr>
  </property>
  <property fmtid="{D5CDD505-2E9C-101B-9397-08002B2CF9AE}" pid="4" name="MSIP_Label_b2aa6e22-2c82-48c6-bf24-1790f4b9c128_Method">
    <vt:lpwstr>Privileged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cf7a984a-1b88-4af8-b956-a7c9ca8df072</vt:lpwstr>
  </property>
  <property fmtid="{D5CDD505-2E9C-101B-9397-08002B2CF9AE}" pid="8" name="MSIP_Label_b2aa6e22-2c82-48c6-bf24-1790f4b9c128_ContentBits">
    <vt:lpwstr>0</vt:lpwstr>
  </property>
</Properties>
</file>