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2025Z04855</w:t>
        <w:br/>
      </w:r>
      <w:proofErr w:type="spellEnd"/>
    </w:p>
    <w:p>
      <w:pPr>
        <w:pStyle w:val="Normal"/>
        <w:rPr>
          <w:b w:val="1"/>
          <w:bCs w:val="1"/>
        </w:rPr>
      </w:pPr>
      <w:r w:rsidR="250AE766">
        <w:rPr>
          <w:b w:val="0"/>
          <w:bCs w:val="0"/>
        </w:rPr>
        <w:t>(ingezonden 17 maart 2025)</w:t>
        <w:br/>
      </w:r>
    </w:p>
    <w:p>
      <w:r>
        <w:t xml:space="preserve">Vragen van de leden Van der Lee en Hirsch (beiden GroenLinks-PvdA) aan de minister van Financiën over het bericht 'EU Omnibus: EU finance ministers back proposal, Parliament heavily divided'</w:t>
      </w:r>
      <w:r>
        <w:br/>
      </w:r>
    </w:p>
    <w:p>
      <w:pPr>
        <w:pStyle w:val="ListParagraph"/>
        <w:numPr>
          <w:ilvl w:val="0"/>
          <w:numId w:val="100471840"/>
        </w:numPr>
        <w:ind w:left="360"/>
      </w:pPr>
      <w:r>
        <w:t>Bent u bekend met het artikel uit </w:t>
      </w:r>
      <w:r>
        <w:rPr>
          <w:i w:val="1"/>
          <w:iCs w:val="1"/>
        </w:rPr>
        <w:t xml:space="preserve">Responsible Investor</w:t>
      </w:r>
      <w:r>
        <w:rPr/>
        <w:t xml:space="preserve"> getiteld “EU Omnibus: EU finance ministers back proposal, Parliament heavily divided”[1] van 12 maart jongstleden?</w:t>
      </w:r>
      <w:r>
        <w:br/>
      </w:r>
    </w:p>
    <w:p>
      <w:pPr>
        <w:pStyle w:val="ListParagraph"/>
        <w:numPr>
          <w:ilvl w:val="0"/>
          <w:numId w:val="100471840"/>
        </w:numPr>
        <w:ind w:left="360"/>
      </w:pPr>
      <w:r>
        <w:t>Klopt het dat in de Ecofinraad werd gesproken over de CSRD - de richtlijn die bedrijven vraagt om relevante informatie te rapporteren over CO2-uitstoot, afvalbeheer, watergebruik, etc. – en over het “stop de klok”-voorstel van de Europese Commissie dat voorstelt om de deadlines van deze rapportage voor twee categorieën bedrijven uit te stellen? Klopt het dat volgens het commissievoorstel bedrijven uit de eerste categorie wel nog zouden blijven rapporteren?</w:t>
      </w:r>
      <w:r>
        <w:br/>
      </w:r>
    </w:p>
    <w:p>
      <w:pPr>
        <w:pStyle w:val="ListParagraph"/>
        <w:numPr>
          <w:ilvl w:val="0"/>
          <w:numId w:val="100471840"/>
        </w:numPr>
        <w:ind w:left="360"/>
      </w:pPr>
      <w:r>
        <w:t>Klopt het dat u in de Ecofinraad heeft gepleit om verder te gaan dan het voorstel van de Europese Commissie en heeft voorgesteld ook bedrijven uit de eerste categorie te laten pauzeren met rapporteren? Zo ja, waarom heeft u dat gedaan?</w:t>
      </w:r>
      <w:r>
        <w:br/>
      </w:r>
    </w:p>
    <w:p>
      <w:pPr>
        <w:pStyle w:val="ListParagraph"/>
        <w:numPr>
          <w:ilvl w:val="0"/>
          <w:numId w:val="100471840"/>
        </w:numPr>
        <w:ind w:left="360"/>
      </w:pPr>
      <w:r>
        <w:t>Klopt het dat u in de geannoteerde agenda die u op 28 februari 2025 naar de Kamer heeft gestuurd, heeft geschreven dat “het kabinet de Europese Commissie in haar initiatief steunt”, maar dat u niet heeft vermeld dat het kabinet zou pleiten om het initiatief van de Europese Commissie te verbreden? Op welke manier heeft u de Kamer dan wel vooraf over deze inzet geïnformeerd? Indien dit niet is gebeurd, waarom niet? Onderschrijft u dat het voor de Kamer van belang is om van te voren geïnformeerd te worden over de kabinetsinzet in Brussel? Bent u met terugwerkende kracht van mening dat het kabinet het voorstel om het “stop de klok”-initiatief te verbreden in de geannoteerde agenda van 28 februari 2025 had moeten opnemen?</w:t>
      </w:r>
      <w:r>
        <w:br/>
      </w:r>
    </w:p>
    <w:p>
      <w:pPr>
        <w:pStyle w:val="ListParagraph"/>
        <w:numPr>
          <w:ilvl w:val="0"/>
          <w:numId w:val="100471840"/>
        </w:numPr>
        <w:ind w:left="360"/>
      </w:pPr>
      <w:r>
        <w:t>Bent u bekend met het onderzoek van PwC[2], waaruit blijkt dat van de ondervraagde bedrijven uit die eerste categorie, de meerderheid aangeeft dat openbaarmaking van duurzaamheid - zoals CSRD beoogt – voor hen leidt tot meerdere zakelijke voordelen, waaronder betere milieuprestaties, betere risicobeperking, toegang tot kapitaal, transparantie en daardoor verhoogd vertrouwen bij klanten, investeerders en andere belanghebbenden? Waarom zou u deze bedrijven desondanks willen vragen om met deze praktijk – inmiddels een kernpraktijk van bedrijven in Europa, waar zij dus zelf van zeggen voordeel te ervaren – te stoppen, terwijl de wijzigingen van de commissie nog niet vaststaan?</w:t>
      </w:r>
      <w:r>
        <w:br/>
      </w:r>
    </w:p>
    <w:p>
      <w:pPr>
        <w:pStyle w:val="ListParagraph"/>
        <w:numPr>
          <w:ilvl w:val="0"/>
          <w:numId w:val="100471840"/>
        </w:numPr>
        <w:ind w:left="360"/>
      </w:pPr>
      <w:r>
        <w:t>Erkent u dat, hoewel de Commissie vaart wil maken, er over de wijzigingen nog twaalf tot achttien maanden onderhandeld zou kunnen worden in het Europees Parlement en de Europese Raad, waarna nog minimaal zes maanden nodig zijn voor de omzetting van de herziene richtlijnen in nationale wetgeving? Klopt het dus dat dit op zijn vroegst in de herfst van 2026 zal zijn, na de publicatie van de eerste duurzaamheidsrapporten van de bedrijven van zowel golven één en twee, zoals voorzien door de huidige wetgeving? Klopt het dat er, met uw voorstel, dus gedurende deze gehele periode geen rapportage zou plaatsvinden?</w:t>
      </w:r>
      <w:r>
        <w:br/>
      </w:r>
    </w:p>
    <w:p>
      <w:pPr>
        <w:pStyle w:val="ListParagraph"/>
        <w:numPr>
          <w:ilvl w:val="0"/>
          <w:numId w:val="100471840"/>
        </w:numPr>
        <w:ind w:left="360"/>
      </w:pPr>
      <w:r>
        <w:t>Snapt u dat deze gang van zaken voor verwarring zorgt bij bedrijven? Hoe draagt dit bij aan voorspelbaarheid van de overheid, heldere verwachtingen en rechtszekerheid voor hen?  </w:t>
      </w:r>
      <w:r>
        <w:br/>
      </w:r>
    </w:p>
    <w:p>
      <w:pPr>
        <w:pStyle w:val="ListParagraph"/>
        <w:numPr>
          <w:ilvl w:val="0"/>
          <w:numId w:val="100471840"/>
        </w:numPr>
        <w:ind w:left="360"/>
      </w:pPr>
      <w:r>
        <w:t>Hoe verhoudt uw voorstel om grote bedrijven gedurende een periode van ten minste achttien maanden niet te laten rapporteren over hun CO2-uitstoot, afvalbeheer en watergebruik, zich tot de ambitie uit het regeerprogramma om “de planeet schoon door te geven aan onze kinderen en volgende generaties” en om de klimaatdoelen te halen?</w:t>
      </w:r>
      <w:r>
        <w:br/>
      </w:r>
    </w:p>
    <w:p>
      <w:pPr>
        <w:pStyle w:val="ListParagraph"/>
        <w:numPr>
          <w:ilvl w:val="0"/>
          <w:numId w:val="100471840"/>
        </w:numPr>
        <w:ind w:left="360"/>
      </w:pPr>
      <w:r>
        <w:t>Kunt u deze vragen binnen drie weken beantwoorden?</w:t>
      </w:r>
      <w:r>
        <w:br/>
      </w:r>
    </w:p>
    <w:p>
      <w:r>
        <w:t xml:space="preserve"> </w:t>
      </w:r>
      <w:r>
        <w:br/>
      </w:r>
    </w:p>
    <w:p>
      <w:r>
        <w:t xml:space="preserve">[1] Responsible investor, 12 maart 2025, https://www.responsible-investor.com/eu-omnibus-eu-finance-ministers-back-proposal-parliament-heavily-divided/</w:t>
      </w:r>
      <w:r>
        <w:br/>
      </w:r>
    </w:p>
    <w:p>
      <w:r>
        <w:t xml:space="preserve">[2] Pwc, 13 juni 2024, https://www.pwc.com/gx/en/issues/esg/global-csrd-survey.html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810">
    <w:abstractNumId w:val="100471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