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A07EC" w:rsidR="00B42136" w:rsidRDefault="00A47AB2" w14:paraId="1E7B03CE" w14:textId="77777777">
      <w:r w:rsidRPr="002A07EC">
        <w:t> </w:t>
      </w:r>
    </w:p>
    <w:p w:rsidRPr="002A07EC" w:rsidR="00B42136" w:rsidRDefault="00B42136" w14:paraId="704DAD35" w14:textId="77777777"/>
    <w:p w:rsidRPr="002A07EC" w:rsidR="00B42136" w:rsidRDefault="00B42136" w14:paraId="6EFAAD02" w14:textId="77777777"/>
    <w:p w:rsidRPr="002A07EC" w:rsidR="00B42136" w:rsidRDefault="00A47AB2" w14:paraId="21CC0F27" w14:textId="77777777">
      <w:r w:rsidRPr="002A07EC">
        <w:t>Hiermee bied ik u de antwoorden aan op vragen van het lid Welzijn (Nieuw Sociaal Contract) aan de minister van Volkshuisvesting en Ruimtelijke Ordening over het AD-artikel 'Starter moet vette spaarpot hebben voor eerste woning: eigen vermogen van 91.000 euro vereist'</w:t>
      </w:r>
    </w:p>
    <w:p w:rsidRPr="002A07EC" w:rsidR="00B42136" w:rsidRDefault="00B42136" w14:paraId="2C6E1486" w14:textId="77777777"/>
    <w:p w:rsidRPr="002A07EC" w:rsidR="00620E6C" w:rsidP="00620E6C" w:rsidRDefault="00620E6C" w14:paraId="16162BDA" w14:textId="77777777">
      <w:r w:rsidRPr="002A07EC">
        <w:t>De minister van Volkshuisvesting en Ruimtelijke Ordening,</w:t>
      </w:r>
      <w:r w:rsidRPr="002A07EC">
        <w:br/>
      </w:r>
      <w:r w:rsidRPr="002A07EC">
        <w:br/>
      </w:r>
      <w:r w:rsidRPr="002A07EC">
        <w:br/>
      </w:r>
      <w:r w:rsidRPr="002A07EC">
        <w:br/>
      </w:r>
      <w:r w:rsidRPr="002A07EC">
        <w:br/>
      </w:r>
      <w:r w:rsidRPr="002A07EC">
        <w:br/>
        <w:t>Mona Keijzer</w:t>
      </w:r>
    </w:p>
    <w:p w:rsidRPr="002A07EC" w:rsidR="00620E6C" w:rsidRDefault="00620E6C" w14:paraId="6B9D157F" w14:textId="77777777">
      <w:pPr>
        <w:spacing w:line="240" w:lineRule="auto"/>
      </w:pPr>
      <w:r w:rsidRPr="002A07EC">
        <w:br w:type="page"/>
      </w:r>
    </w:p>
    <w:p w:rsidRPr="002A07EC" w:rsidR="00620E6C" w:rsidP="00620E6C" w:rsidRDefault="00620E6C" w14:paraId="044E9809" w14:textId="77777777">
      <w:pPr>
        <w:spacing w:line="240" w:lineRule="auto"/>
        <w:rPr>
          <w:b/>
          <w:bCs/>
        </w:rPr>
      </w:pPr>
      <w:r w:rsidRPr="002A07EC">
        <w:rPr>
          <w:b/>
          <w:bCs/>
        </w:rPr>
        <w:lastRenderedPageBreak/>
        <w:t>Vragen van het lid Welzijn (Nieuw Sociaal Contract) over het AD-artikel 'Starter moet vette spaarpot hebben voor eerste woning: eigen vermogen van 91.000 euro vereist' (ingezonden 21 februari 2025).</w:t>
      </w:r>
    </w:p>
    <w:p w:rsidRPr="002A07EC" w:rsidR="00620E6C" w:rsidP="00620E6C" w:rsidRDefault="00620E6C" w14:paraId="562B3E27" w14:textId="77777777">
      <w:pPr>
        <w:spacing w:line="240" w:lineRule="auto"/>
        <w:rPr>
          <w:b/>
          <w:bCs/>
        </w:rPr>
      </w:pPr>
    </w:p>
    <w:p w:rsidRPr="002A07EC" w:rsidR="00620E6C" w:rsidP="00620E6C" w:rsidRDefault="00620E6C" w14:paraId="53FC3070" w14:textId="77777777">
      <w:pPr>
        <w:spacing w:line="240" w:lineRule="auto"/>
        <w:rPr>
          <w:b/>
          <w:bCs/>
        </w:rPr>
      </w:pPr>
      <w:r w:rsidRPr="002A07EC">
        <w:rPr>
          <w:b/>
          <w:bCs/>
        </w:rPr>
        <w:t xml:space="preserve">Vraag 1: </w:t>
      </w:r>
    </w:p>
    <w:p w:rsidRPr="002A07EC" w:rsidR="00620E6C" w:rsidP="00620E6C" w:rsidRDefault="00620E6C" w14:paraId="0CDB2377" w14:textId="77777777">
      <w:pPr>
        <w:spacing w:line="240" w:lineRule="auto"/>
      </w:pPr>
      <w:r w:rsidRPr="002A07EC">
        <w:t>Heeft u kennisgenomen van het AD-artikel?</w:t>
      </w:r>
    </w:p>
    <w:p w:rsidRPr="002A07EC" w:rsidR="00620E6C" w:rsidP="00620E6C" w:rsidRDefault="00620E6C" w14:paraId="4DEC397D" w14:textId="77777777">
      <w:pPr>
        <w:spacing w:line="240" w:lineRule="auto"/>
      </w:pPr>
    </w:p>
    <w:p w:rsidRPr="002A07EC" w:rsidR="00620E6C" w:rsidP="00620E6C" w:rsidRDefault="00620E6C" w14:paraId="7A663F28" w14:textId="77777777">
      <w:pPr>
        <w:spacing w:line="240" w:lineRule="auto"/>
        <w:rPr>
          <w:b/>
          <w:bCs/>
        </w:rPr>
      </w:pPr>
      <w:r w:rsidRPr="002A07EC">
        <w:rPr>
          <w:b/>
          <w:bCs/>
        </w:rPr>
        <w:t xml:space="preserve">Antwoord 1: </w:t>
      </w:r>
    </w:p>
    <w:p w:rsidRPr="002A07EC" w:rsidR="00620E6C" w:rsidP="00620E6C" w:rsidRDefault="00620E6C" w14:paraId="3F91DE10" w14:textId="77777777">
      <w:pPr>
        <w:spacing w:line="240" w:lineRule="auto"/>
      </w:pPr>
      <w:r w:rsidRPr="002A07EC">
        <w:t>Ja</w:t>
      </w:r>
      <w:r w:rsidR="00855721">
        <w:t>.</w:t>
      </w:r>
    </w:p>
    <w:p w:rsidRPr="002A07EC" w:rsidR="00620E6C" w:rsidP="00620E6C" w:rsidRDefault="00620E6C" w14:paraId="5A00E174" w14:textId="77777777">
      <w:pPr>
        <w:spacing w:line="240" w:lineRule="auto"/>
      </w:pPr>
    </w:p>
    <w:p w:rsidRPr="002A07EC" w:rsidR="00620E6C" w:rsidP="00620E6C" w:rsidRDefault="00620E6C" w14:paraId="6ED61094" w14:textId="77777777">
      <w:pPr>
        <w:spacing w:line="240" w:lineRule="auto"/>
        <w:rPr>
          <w:b/>
          <w:bCs/>
        </w:rPr>
      </w:pPr>
      <w:r w:rsidRPr="002A07EC">
        <w:rPr>
          <w:b/>
          <w:bCs/>
        </w:rPr>
        <w:t xml:space="preserve">Vraag 2: </w:t>
      </w:r>
    </w:p>
    <w:p w:rsidRPr="002A07EC" w:rsidR="00620E6C" w:rsidP="00620E6C" w:rsidRDefault="00620E6C" w14:paraId="2546FE1F" w14:textId="77777777">
      <w:pPr>
        <w:spacing w:line="240" w:lineRule="auto"/>
      </w:pPr>
      <w:r w:rsidRPr="002A07EC">
        <w:t xml:space="preserve">Houden het CBS en/of het Kadaster gegevens bij van het aandeel van eigen geld bij het aangaan van een hypotheek? </w:t>
      </w:r>
    </w:p>
    <w:p w:rsidRPr="002A07EC" w:rsidR="00620E6C" w:rsidP="00620E6C" w:rsidRDefault="00620E6C" w14:paraId="2F8FA495" w14:textId="77777777">
      <w:pPr>
        <w:spacing w:line="240" w:lineRule="auto"/>
      </w:pPr>
    </w:p>
    <w:p w:rsidRPr="002A07EC" w:rsidR="00620E6C" w:rsidP="00620E6C" w:rsidRDefault="00620E6C" w14:paraId="34A9C03F" w14:textId="77777777">
      <w:pPr>
        <w:spacing w:line="240" w:lineRule="auto"/>
        <w:rPr>
          <w:b/>
          <w:bCs/>
          <w:color w:val="FF0000"/>
        </w:rPr>
      </w:pPr>
      <w:r w:rsidRPr="002A07EC">
        <w:rPr>
          <w:b/>
          <w:bCs/>
        </w:rPr>
        <w:t>Antwoord 2:</w:t>
      </w:r>
    </w:p>
    <w:p w:rsidRPr="002A07EC" w:rsidR="00620E6C" w:rsidP="00620E6C" w:rsidRDefault="00620E6C" w14:paraId="6F40FBBD" w14:textId="77777777">
      <w:pPr>
        <w:spacing w:line="240" w:lineRule="auto"/>
      </w:pPr>
      <w:r w:rsidRPr="002A07EC">
        <w:t>Het CBS en het Kadaster houden geen officiële cijfers bij van het aandeel eigen geld bij het aangaan van een hypotheek. Het Hypotheken Data Netwerk (HDN) heeft echter wel cijfers over het aandeel eigen geld/inbreng. HDN is een samenwerking tussen relevante spelers in de hypotheekmarkt. Vrijwel alle grote hypotheekaanbieders, financieel adviseurs en IT leveranciers zijn hierbij aangesloten</w:t>
      </w:r>
      <w:r w:rsidRPr="002A07EC">
        <w:rPr>
          <w:rStyle w:val="Voetnootmarkering"/>
        </w:rPr>
        <w:footnoteReference w:id="1"/>
      </w:r>
      <w:r w:rsidRPr="002A07EC">
        <w:t xml:space="preserve">. </w:t>
      </w:r>
    </w:p>
    <w:p w:rsidRPr="002A07EC" w:rsidR="00620E6C" w:rsidP="00620E6C" w:rsidRDefault="00620E6C" w14:paraId="2B066D1C" w14:textId="77777777">
      <w:pPr>
        <w:spacing w:line="240" w:lineRule="auto"/>
      </w:pPr>
    </w:p>
    <w:p w:rsidRPr="002A07EC" w:rsidR="00D25AB8" w:rsidP="00620E6C" w:rsidRDefault="00620E6C" w14:paraId="309490EE" w14:textId="77777777">
      <w:pPr>
        <w:spacing w:line="240" w:lineRule="auto"/>
      </w:pPr>
      <w:r w:rsidRPr="002A07EC">
        <w:t>Om deze vragen te kunnen beantwoorden is een definitie van ‘eigen geld’ van belang.</w:t>
      </w:r>
      <w:r w:rsidRPr="002A07EC" w:rsidR="00D25AB8">
        <w:t xml:space="preserve"> In het AD artikel wordt verwezen naar een analyse van Munt hypotheken op basis van hun eigen hypotheekportefeuille. </w:t>
      </w:r>
      <w:r w:rsidRPr="002A07EC" w:rsidR="00497298">
        <w:t xml:space="preserve">De dataset van HDN kent een bredere spreiding en geeft daarmee een completer beeld. </w:t>
      </w:r>
      <w:r w:rsidRPr="002A07EC">
        <w:t xml:space="preserve">HDN en </w:t>
      </w:r>
      <w:r w:rsidRPr="002A07EC" w:rsidR="00D25AB8">
        <w:t>de analyse</w:t>
      </w:r>
      <w:r w:rsidRPr="002A07EC">
        <w:t xml:space="preserve"> van Munt Hypotheken definiëren </w:t>
      </w:r>
      <w:r w:rsidRPr="002A07EC" w:rsidR="00D25AB8">
        <w:t xml:space="preserve">beiden </w:t>
      </w:r>
      <w:r w:rsidRPr="002A07EC">
        <w:t xml:space="preserve">‘eigen inbreng’ als het verschil tussen de hypothecaire lening en de koopsom van de woning. Bij een woning van € 400.000,- en een hypotheek van € 350.000 wordt de overige € 50.000,- dus gezien als ‘eigen inbreng’. Dit kan gaan om spaargeld, maar ook om een erfenis, een schenking of een familiehypotheek. Bij doorstromers wordt inbreng van overwaarde ook gezien als eigen inbreng. </w:t>
      </w:r>
    </w:p>
    <w:p w:rsidRPr="002A07EC" w:rsidR="00D25AB8" w:rsidP="00620E6C" w:rsidRDefault="00D25AB8" w14:paraId="4E88D86C" w14:textId="77777777">
      <w:pPr>
        <w:spacing w:line="240" w:lineRule="auto"/>
      </w:pPr>
    </w:p>
    <w:p w:rsidRPr="002A07EC" w:rsidR="00620E6C" w:rsidP="00620E6C" w:rsidRDefault="00620E6C" w14:paraId="72E37887" w14:textId="77777777">
      <w:pPr>
        <w:spacing w:line="240" w:lineRule="auto"/>
      </w:pPr>
      <w:r w:rsidRPr="002A07EC">
        <w:t xml:space="preserve">Dit </w:t>
      </w:r>
      <w:r w:rsidRPr="002A07EC" w:rsidR="00D25AB8">
        <w:t xml:space="preserve">laatste punt </w:t>
      </w:r>
      <w:r w:rsidRPr="002A07EC">
        <w:t xml:space="preserve">is van belang omdat in het </w:t>
      </w:r>
      <w:r w:rsidRPr="002A07EC" w:rsidR="00D25AB8">
        <w:t>analyse</w:t>
      </w:r>
      <w:r w:rsidRPr="002A07EC">
        <w:t xml:space="preserve"> van Munt Hypotheken wordt gekeken naar kopers onder de 35 jaar i.p.v. kopers van een eerste woning. De meeste kopers onder de 35 jaar zijn starters, maar er zitten ook doorstromers tussen die overwaarde inbrengen. Bij de cijfers van HDN worden starters wel gedefinieerd als kopers van eerste woning.</w:t>
      </w:r>
    </w:p>
    <w:p w:rsidRPr="002A07EC" w:rsidR="00620E6C" w:rsidP="00620E6C" w:rsidRDefault="00620E6C" w14:paraId="1B93D652" w14:textId="77777777">
      <w:pPr>
        <w:spacing w:line="240" w:lineRule="auto"/>
      </w:pPr>
    </w:p>
    <w:p w:rsidRPr="002A07EC" w:rsidR="00620E6C" w:rsidP="00620E6C" w:rsidRDefault="00620E6C" w14:paraId="1191C442" w14:textId="77777777">
      <w:pPr>
        <w:spacing w:line="240" w:lineRule="auto"/>
        <w:rPr>
          <w:b/>
          <w:bCs/>
        </w:rPr>
      </w:pPr>
      <w:r w:rsidRPr="002A07EC">
        <w:rPr>
          <w:b/>
          <w:bCs/>
        </w:rPr>
        <w:t>Vraag 3:</w:t>
      </w:r>
    </w:p>
    <w:p w:rsidRPr="002A07EC" w:rsidR="00620E6C" w:rsidP="00620E6C" w:rsidRDefault="00620E6C" w14:paraId="2022E1DC" w14:textId="77777777">
      <w:pPr>
        <w:spacing w:line="240" w:lineRule="auto"/>
      </w:pPr>
      <w:r w:rsidRPr="002A07EC">
        <w:t>Kunt u aangeven, op basis van deze cijfers wat het beeld is als we kijken naar de afgelopen jaren: 2020-2021-2022-2023-2024?</w:t>
      </w:r>
    </w:p>
    <w:p w:rsidRPr="002A07EC" w:rsidR="00620E6C" w:rsidP="00620E6C" w:rsidRDefault="00620E6C" w14:paraId="753F6C24" w14:textId="77777777">
      <w:pPr>
        <w:spacing w:line="240" w:lineRule="auto"/>
      </w:pPr>
    </w:p>
    <w:p w:rsidRPr="002A07EC" w:rsidR="00620E6C" w:rsidP="00620E6C" w:rsidRDefault="00620E6C" w14:paraId="1D249C43" w14:textId="77777777">
      <w:pPr>
        <w:spacing w:line="240" w:lineRule="auto"/>
        <w:rPr>
          <w:b/>
          <w:bCs/>
        </w:rPr>
      </w:pPr>
      <w:r w:rsidRPr="002A07EC">
        <w:rPr>
          <w:b/>
          <w:bCs/>
        </w:rPr>
        <w:t>Antwoord 3:</w:t>
      </w:r>
    </w:p>
    <w:p w:rsidRPr="002A07EC" w:rsidR="00620E6C" w:rsidP="00620E6C" w:rsidRDefault="00620E6C" w14:paraId="208B817F" w14:textId="77777777">
      <w:pPr>
        <w:spacing w:line="240" w:lineRule="auto"/>
      </w:pPr>
      <w:r w:rsidRPr="002A07EC">
        <w:t xml:space="preserve">Figuur 1 laat de ontwikkeling zien van de eigen inbreng van starters over de afgelopen jaren. De inbreng is redelijk stabiel. Achter deze gemiddelde cijfers zit natuurlijk een bandbreedte, met starters die meer of minder eigen inbreng meenemen dan het gemiddelde. Dit kan ook regionaal verschillen. Munt hypotheken geeft in hun eigen </w:t>
      </w:r>
      <w:r w:rsidRPr="002A07EC" w:rsidR="00497298">
        <w:t>analyse</w:t>
      </w:r>
      <w:r w:rsidRPr="002A07EC">
        <w:t xml:space="preserve"> aan dat starters in het hogere segment, en in de randstad oververtegenwoordigd zijn in hun hypotheekportefeuille</w:t>
      </w:r>
      <w:r w:rsidRPr="002A07EC">
        <w:rPr>
          <w:rStyle w:val="Voetnootmarkering"/>
        </w:rPr>
        <w:footnoteReference w:id="2"/>
      </w:r>
      <w:r w:rsidRPr="002A07EC">
        <w:t xml:space="preserve">. Dit, in </w:t>
      </w:r>
      <w:r w:rsidRPr="002A07EC">
        <w:lastRenderedPageBreak/>
        <w:t xml:space="preserve">combinatie met de eerder genoemde leeftijdsgrens verklaart het verschil tussen de cijfers van HDN en de cijfers van Munt hypotheken.   </w:t>
      </w:r>
    </w:p>
    <w:p w:rsidRPr="002A07EC" w:rsidR="00497298" w:rsidP="00620E6C" w:rsidRDefault="00497298" w14:paraId="22F39FBC" w14:textId="77777777">
      <w:pPr>
        <w:spacing w:line="240" w:lineRule="auto"/>
      </w:pPr>
    </w:p>
    <w:p w:rsidRPr="002A07EC" w:rsidR="00620E6C" w:rsidP="00620E6C" w:rsidRDefault="002B38EB" w14:paraId="7743A46B" w14:textId="77777777">
      <w:pPr>
        <w:spacing w:line="240" w:lineRule="auto"/>
        <w:rPr>
          <w:b/>
          <w:bCs/>
          <w:i/>
          <w:iCs/>
        </w:rPr>
      </w:pPr>
      <w:r w:rsidRPr="002A07EC">
        <w:rPr>
          <w:b/>
          <w:bCs/>
          <w:i/>
          <w:iCs/>
        </w:rPr>
        <w:t>Figuur 1: Eigen inbreng starters</w:t>
      </w:r>
    </w:p>
    <w:p w:rsidRPr="002A07EC" w:rsidR="00620E6C" w:rsidP="00620E6C" w:rsidRDefault="00620E6C" w14:paraId="790794C1" w14:textId="77777777">
      <w:pPr>
        <w:spacing w:line="240" w:lineRule="auto"/>
      </w:pPr>
      <w:r w:rsidRPr="002A07EC">
        <w:rPr>
          <w:noProof/>
        </w:rPr>
        <w:drawing>
          <wp:inline distT="0" distB="0" distL="0" distR="0" wp14:anchorId="335CC4CD" wp14:editId="08F6C93D">
            <wp:extent cx="4848225" cy="3366770"/>
            <wp:effectExtent l="0" t="0" r="9525" b="5080"/>
            <wp:docPr id="1955971499" name="Grafiek 1">
              <a:extLst xmlns:a="http://schemas.openxmlformats.org/drawingml/2006/main">
                <a:ext uri="{FF2B5EF4-FFF2-40B4-BE49-F238E27FC236}">
                  <a16:creationId xmlns:a16="http://schemas.microsoft.com/office/drawing/2014/main" id="{29CFF491-B07B-B805-E25F-7CAE2B75DA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Pr="002A07EC" w:rsidR="00620E6C" w:rsidP="00620E6C" w:rsidRDefault="00620E6C" w14:paraId="32E2A1EE" w14:textId="77777777">
      <w:pPr>
        <w:spacing w:line="240" w:lineRule="auto"/>
        <w:rPr>
          <w:i/>
          <w:iCs/>
        </w:rPr>
      </w:pPr>
      <w:r w:rsidRPr="002A07EC">
        <w:rPr>
          <w:i/>
          <w:iCs/>
        </w:rPr>
        <w:t xml:space="preserve">Bron: HDN, 2025 </w:t>
      </w:r>
    </w:p>
    <w:p w:rsidRPr="002A07EC" w:rsidR="00620E6C" w:rsidP="00620E6C" w:rsidRDefault="00620E6C" w14:paraId="3B6AFE01" w14:textId="77777777">
      <w:pPr>
        <w:spacing w:line="240" w:lineRule="auto"/>
      </w:pPr>
    </w:p>
    <w:p w:rsidRPr="002A07EC" w:rsidR="00620E6C" w:rsidP="00620E6C" w:rsidRDefault="00620E6C" w14:paraId="129F3E57" w14:textId="77777777">
      <w:pPr>
        <w:spacing w:line="240" w:lineRule="auto"/>
      </w:pPr>
      <w:r w:rsidRPr="002A07EC">
        <w:t>Het jaar 2022 kent een opvallende piek ten opzichte van andere jaren. Dit komt omdat 2022 het laatste jaar was waarbij de schenkingsvrijstelling eigen woning van max € 106.671 (in de volksmond jubelton genoemd) volledig benut kon worden. In 2023 is dit bedrag verlaagd tot €27.231 en in 2024 afgeschaft</w:t>
      </w:r>
      <w:r w:rsidRPr="002A07EC">
        <w:rPr>
          <w:rStyle w:val="Voetnootmarkering"/>
        </w:rPr>
        <w:footnoteReference w:id="3"/>
      </w:r>
      <w:r w:rsidRPr="002A07EC">
        <w:t xml:space="preserve">. Ouders mogen echter ook na 2024 nog eenmalig een maximaal bedrag van € 32.195 (2025) belastingvrij schenken voor een vrij te besteden doel. De ontvanger dient wel tussen de 18 en 40 jaar te zijn. Dit bedrag mag vrij besteed worden, dus ook aan de aankoop van een woning. Het is echter aannemelijk dat deze schenkingsvrijstelling minder direct effect heeft op woningbiedingen dan de eerdere schenkingsvrijstelling die zich specifiek op woningen richtte. </w:t>
      </w:r>
    </w:p>
    <w:p w:rsidRPr="002A07EC" w:rsidR="00620E6C" w:rsidP="00620E6C" w:rsidRDefault="00620E6C" w14:paraId="02273825" w14:textId="77777777">
      <w:pPr>
        <w:spacing w:line="240" w:lineRule="auto"/>
      </w:pPr>
    </w:p>
    <w:p w:rsidRPr="002A07EC" w:rsidR="00620E6C" w:rsidP="00620E6C" w:rsidRDefault="00620E6C" w14:paraId="35A1A12F" w14:textId="77777777">
      <w:pPr>
        <w:spacing w:line="240" w:lineRule="auto"/>
        <w:rPr>
          <w:b/>
          <w:bCs/>
        </w:rPr>
      </w:pPr>
      <w:r w:rsidRPr="002A07EC">
        <w:rPr>
          <w:b/>
          <w:bCs/>
        </w:rPr>
        <w:t xml:space="preserve">Vraag 4: </w:t>
      </w:r>
    </w:p>
    <w:p w:rsidRPr="002A07EC" w:rsidR="00620E6C" w:rsidP="00620E6C" w:rsidRDefault="00620E6C" w14:paraId="14B15555" w14:textId="77777777">
      <w:pPr>
        <w:spacing w:line="240" w:lineRule="auto"/>
      </w:pPr>
      <w:r w:rsidRPr="002A07EC">
        <w:t>Als er geen officiële cijfers zijn, kunt u dan aangeven of u dat wenselijk vindt en waarom wel of niet?</w:t>
      </w:r>
    </w:p>
    <w:p w:rsidRPr="002A07EC" w:rsidR="00620E6C" w:rsidP="00620E6C" w:rsidRDefault="00620E6C" w14:paraId="72234C68" w14:textId="77777777">
      <w:pPr>
        <w:spacing w:line="240" w:lineRule="auto"/>
      </w:pPr>
    </w:p>
    <w:p w:rsidRPr="002A07EC" w:rsidR="00620E6C" w:rsidP="00620E6C" w:rsidRDefault="00620E6C" w14:paraId="4F372A44" w14:textId="77777777">
      <w:pPr>
        <w:spacing w:line="240" w:lineRule="auto"/>
        <w:rPr>
          <w:b/>
          <w:bCs/>
        </w:rPr>
      </w:pPr>
      <w:r w:rsidRPr="002A07EC">
        <w:rPr>
          <w:b/>
          <w:bCs/>
        </w:rPr>
        <w:t xml:space="preserve">Antwoord 4: </w:t>
      </w:r>
    </w:p>
    <w:p w:rsidRPr="002A07EC" w:rsidR="00620E6C" w:rsidP="00620E6C" w:rsidRDefault="00620E6C" w14:paraId="125D4F8B" w14:textId="77777777">
      <w:pPr>
        <w:spacing w:line="240" w:lineRule="auto"/>
      </w:pPr>
      <w:r w:rsidRPr="002A07EC">
        <w:t>De cijfers van HDN geven een goed marktbreed beeld van de ontwikkeling van het aandeel eigen geld bij het aangaan van een hypotheek. Verdere cijfers acht ik niet noodzakelijk.</w:t>
      </w:r>
    </w:p>
    <w:p w:rsidRPr="002A07EC" w:rsidR="00620E6C" w:rsidRDefault="00620E6C" w14:paraId="20C13CFF" w14:textId="77777777">
      <w:pPr>
        <w:spacing w:line="240" w:lineRule="auto"/>
      </w:pPr>
      <w:r w:rsidRPr="002A07EC">
        <w:br w:type="page"/>
      </w:r>
    </w:p>
    <w:p w:rsidRPr="002A07EC" w:rsidR="00620E6C" w:rsidP="00620E6C" w:rsidRDefault="00620E6C" w14:paraId="304DD0A3" w14:textId="77777777">
      <w:pPr>
        <w:spacing w:line="240" w:lineRule="auto"/>
        <w:rPr>
          <w:b/>
          <w:bCs/>
        </w:rPr>
      </w:pPr>
      <w:r w:rsidRPr="002A07EC">
        <w:rPr>
          <w:b/>
          <w:bCs/>
        </w:rPr>
        <w:lastRenderedPageBreak/>
        <w:t xml:space="preserve">Vraag 5: </w:t>
      </w:r>
    </w:p>
    <w:p w:rsidRPr="002A07EC" w:rsidR="00620E6C" w:rsidP="00620E6C" w:rsidRDefault="00620E6C" w14:paraId="3449DA6D" w14:textId="77777777">
      <w:pPr>
        <w:spacing w:line="240" w:lineRule="auto"/>
      </w:pPr>
      <w:r w:rsidRPr="002A07EC">
        <w:t>Wat zijn voordelen en nadelen van het meebrengen van steeds grotere aandelen eigen geld?</w:t>
      </w:r>
    </w:p>
    <w:p w:rsidRPr="002A07EC" w:rsidR="00620E6C" w:rsidP="00620E6C" w:rsidRDefault="00620E6C" w14:paraId="104D5FF1" w14:textId="77777777">
      <w:pPr>
        <w:spacing w:line="240" w:lineRule="auto"/>
      </w:pPr>
    </w:p>
    <w:p w:rsidRPr="002A07EC" w:rsidR="00620E6C" w:rsidP="00620E6C" w:rsidRDefault="00620E6C" w14:paraId="036659F3" w14:textId="77777777">
      <w:pPr>
        <w:spacing w:line="240" w:lineRule="auto"/>
        <w:rPr>
          <w:b/>
          <w:bCs/>
        </w:rPr>
      </w:pPr>
      <w:r w:rsidRPr="002A07EC">
        <w:rPr>
          <w:b/>
          <w:bCs/>
        </w:rPr>
        <w:t xml:space="preserve">Antwoord 5: </w:t>
      </w:r>
    </w:p>
    <w:p w:rsidRPr="002A07EC" w:rsidR="00620E6C" w:rsidP="00620E6C" w:rsidRDefault="00620E6C" w14:paraId="08957800" w14:textId="77777777">
      <w:pPr>
        <w:spacing w:line="240" w:lineRule="auto"/>
      </w:pPr>
      <w:r w:rsidRPr="002A07EC">
        <w:t>Zoals aangegeven in vraag 3 is het geen gegeven dat het aandeel eigen geld substantieel gestegen is.</w:t>
      </w:r>
      <w:r w:rsidRPr="002A07EC" w:rsidR="00F73E03">
        <w:t xml:space="preserve"> Het staat iedereen vrij om eigen geld mee te brengen bij de aanschaf van een woning</w:t>
      </w:r>
      <w:r w:rsidRPr="002A07EC">
        <w:t xml:space="preserve">. </w:t>
      </w:r>
      <w:r w:rsidRPr="002A07EC" w:rsidR="00F73E03">
        <w:t>Het inbrengen van eigen geld heeft voordelen, want het maakt individuele huishoudens en uiteindelijk Nederland minder kwetsbaar voor fluctuaties op de huizenmarkt. Tegelijkertijd hanteert Nederland een zogenoemde LTV-ratio</w:t>
      </w:r>
      <w:r w:rsidRPr="002A07EC" w:rsidR="00D25AB8">
        <w:t xml:space="preserve"> (Loan to Value)</w:t>
      </w:r>
      <w:r w:rsidRPr="002A07EC" w:rsidR="00F73E03">
        <w:t xml:space="preserve"> van 100%, wat betekent dat het ook zonder eigen geld mogelijk is om een huis te kopen. </w:t>
      </w:r>
      <w:r w:rsidRPr="002A07EC" w:rsidR="00E5744B">
        <w:t>Wel is het zo dat i</w:t>
      </w:r>
      <w:r w:rsidRPr="002A07EC" w:rsidR="00F73E03">
        <w:t>n een gespannen woningmarkt de inbreng van eigen geld</w:t>
      </w:r>
      <w:r w:rsidRPr="002A07EC" w:rsidR="00E5744B">
        <w:t xml:space="preserve"> kan doorwerken in de huizenprijzen. Daarmee maakt het de woningmarkt voor starters die geen eigen geld kunnen meebrengen relatief minder toegankelijk.</w:t>
      </w:r>
    </w:p>
    <w:p w:rsidRPr="002A07EC" w:rsidR="00620E6C" w:rsidP="00620E6C" w:rsidRDefault="00620E6C" w14:paraId="69295EBB" w14:textId="77777777">
      <w:pPr>
        <w:pStyle w:val="Lijstalinea"/>
        <w:spacing w:after="0" w:line="240" w:lineRule="auto"/>
        <w:rPr>
          <w:rFonts w:ascii="Verdana" w:hAnsi="Verdana"/>
          <w:sz w:val="18"/>
          <w:szCs w:val="18"/>
        </w:rPr>
      </w:pPr>
    </w:p>
    <w:p w:rsidRPr="002A07EC" w:rsidR="002B38EB" w:rsidP="002B38EB" w:rsidRDefault="002B38EB" w14:paraId="732417C1" w14:textId="77777777">
      <w:pPr>
        <w:spacing w:line="240" w:lineRule="auto"/>
        <w:rPr>
          <w:b/>
          <w:bCs/>
        </w:rPr>
      </w:pPr>
      <w:r w:rsidRPr="002A07EC">
        <w:rPr>
          <w:b/>
          <w:bCs/>
        </w:rPr>
        <w:t xml:space="preserve">Vraag 6: </w:t>
      </w:r>
    </w:p>
    <w:p w:rsidRPr="002A07EC" w:rsidR="00620E6C" w:rsidP="002B38EB" w:rsidRDefault="00620E6C" w14:paraId="4AB02F90" w14:textId="77777777">
      <w:pPr>
        <w:spacing w:line="240" w:lineRule="auto"/>
      </w:pPr>
      <w:r w:rsidRPr="002A07EC">
        <w:t>Welke relatie ziet u tussen het meebrengen van steeds grotere sommen eigen geld en overbieden?</w:t>
      </w:r>
    </w:p>
    <w:p w:rsidRPr="002A07EC" w:rsidR="00620E6C" w:rsidP="002B38EB" w:rsidRDefault="00620E6C" w14:paraId="641D893E" w14:textId="77777777">
      <w:pPr>
        <w:spacing w:line="240" w:lineRule="auto"/>
      </w:pPr>
    </w:p>
    <w:p w:rsidRPr="002A07EC" w:rsidR="002B38EB" w:rsidP="002B38EB" w:rsidRDefault="002B38EB" w14:paraId="5C26F8DF" w14:textId="77777777">
      <w:pPr>
        <w:spacing w:line="240" w:lineRule="auto"/>
        <w:rPr>
          <w:b/>
          <w:bCs/>
        </w:rPr>
      </w:pPr>
      <w:r w:rsidRPr="002A07EC">
        <w:rPr>
          <w:b/>
          <w:bCs/>
        </w:rPr>
        <w:t xml:space="preserve">Vraag 7: </w:t>
      </w:r>
    </w:p>
    <w:p w:rsidRPr="002A07EC" w:rsidR="00620E6C" w:rsidP="002B38EB" w:rsidRDefault="00620E6C" w14:paraId="5E266BAF" w14:textId="77777777">
      <w:pPr>
        <w:spacing w:line="240" w:lineRule="auto"/>
      </w:pPr>
      <w:r w:rsidRPr="002A07EC">
        <w:t>Welke verhouding ziet u tussen het meebrengen van steeds grotere sommen eigen geld en de stijgende prijs van een ‘betaalbare koopwoning’?</w:t>
      </w:r>
    </w:p>
    <w:p w:rsidRPr="002A07EC" w:rsidR="002B38EB" w:rsidP="002B38EB" w:rsidRDefault="002B38EB" w14:paraId="02FE0F44" w14:textId="77777777">
      <w:pPr>
        <w:spacing w:line="240" w:lineRule="auto"/>
      </w:pPr>
    </w:p>
    <w:p w:rsidRPr="002A07EC" w:rsidR="002B38EB" w:rsidP="002B38EB" w:rsidRDefault="002B38EB" w14:paraId="679C4C63" w14:textId="77777777">
      <w:pPr>
        <w:spacing w:line="240" w:lineRule="auto"/>
        <w:rPr>
          <w:b/>
          <w:bCs/>
        </w:rPr>
      </w:pPr>
      <w:r w:rsidRPr="002A07EC">
        <w:rPr>
          <w:b/>
          <w:bCs/>
        </w:rPr>
        <w:t>Vraag 8</w:t>
      </w:r>
    </w:p>
    <w:p w:rsidRPr="002A07EC" w:rsidR="00620E6C" w:rsidP="002B38EB" w:rsidRDefault="00620E6C" w14:paraId="722B6401" w14:textId="77777777">
      <w:pPr>
        <w:spacing w:line="240" w:lineRule="auto"/>
      </w:pPr>
      <w:r w:rsidRPr="002A07EC">
        <w:t>Wordt het meebrengen van eigen geld gebruikt om de eigen woningschuld te verkleinen of om te overbieden?</w:t>
      </w:r>
    </w:p>
    <w:p w:rsidRPr="002A07EC" w:rsidR="00620E6C" w:rsidP="00620E6C" w:rsidRDefault="00620E6C" w14:paraId="05A87CBE" w14:textId="77777777">
      <w:pPr>
        <w:spacing w:line="240" w:lineRule="auto"/>
      </w:pPr>
    </w:p>
    <w:p w:rsidRPr="002A07EC" w:rsidR="002B38EB" w:rsidP="00620E6C" w:rsidRDefault="002B38EB" w14:paraId="2BC63A99" w14:textId="77777777">
      <w:pPr>
        <w:spacing w:line="240" w:lineRule="auto"/>
        <w:rPr>
          <w:b/>
          <w:bCs/>
        </w:rPr>
      </w:pPr>
      <w:r w:rsidRPr="002A07EC">
        <w:rPr>
          <w:b/>
          <w:bCs/>
        </w:rPr>
        <w:t>Antwoord vraag 6 t/m 8</w:t>
      </w:r>
    </w:p>
    <w:p w:rsidRPr="002A07EC" w:rsidR="00382646" w:rsidP="00382646" w:rsidRDefault="00382646" w14:paraId="6EC2D48C" w14:textId="77777777">
      <w:r w:rsidRPr="002A07EC">
        <w:t xml:space="preserve">In algemene zin draagt elke vorm van financiering bij aan de mogelijkheden van consumenten om een duurdere woning te kopen. Over de relatie met overbieden kan ik geen uitspraken doen, dit is namelijk ook afhankelijk van de gekozen verkoopstrategie van de verkoper. Ik richt me dan ook vooral op de relatie met de hoogte van huizenprijzen. </w:t>
      </w:r>
    </w:p>
    <w:p w:rsidRPr="002A07EC" w:rsidR="00382646" w:rsidP="00382646" w:rsidRDefault="00382646" w14:paraId="4360FE50" w14:textId="77777777"/>
    <w:p w:rsidRPr="002A07EC" w:rsidR="00382646" w:rsidP="00382646" w:rsidRDefault="00382646" w14:paraId="7B091BD9" w14:textId="77777777">
      <w:r w:rsidRPr="002A07EC">
        <w:t xml:space="preserve">Er is eerder analyse gedaan naar de relatie tussen financiële bestedingsruimte en de hoogte van huizenprijzen. </w:t>
      </w:r>
      <w:bookmarkStart w:name="_Hlk192670786" w:id="0"/>
      <w:r w:rsidRPr="002A07EC">
        <w:t>Uit onderzoek is bekend dat de ruimere schenkingsvrijstellingen uit het verleden met name werden gebruikt door meer vermogende ouders, die hun kinderen daarmee hielpen bij het aanschaffen van een woning</w:t>
      </w:r>
      <w:r w:rsidRPr="002A07EC" w:rsidR="002A07EC">
        <w:rPr>
          <w:rStyle w:val="Voetnootmarkering"/>
        </w:rPr>
        <w:footnoteReference w:id="4"/>
      </w:r>
      <w:r w:rsidRPr="002A07EC">
        <w:t>. Ook werd een positief verband gevonden tussen de jubelton en overbiedingen</w:t>
      </w:r>
      <w:r w:rsidRPr="002A07EC" w:rsidR="002A07EC">
        <w:rPr>
          <w:rStyle w:val="Voetnootmarkering"/>
        </w:rPr>
        <w:footnoteReference w:id="5"/>
      </w:r>
      <w:r w:rsidRPr="002A07EC">
        <w:t xml:space="preserve"> en werd aangetoond dat familiehypotheken voor een deel worden gebruikt om boven de maximale leennormen op basis van het inkomen te lenen</w:t>
      </w:r>
      <w:r w:rsidRPr="002A07EC" w:rsidR="002A07EC">
        <w:rPr>
          <w:rStyle w:val="Voetnootmarkering"/>
        </w:rPr>
        <w:footnoteReference w:id="6"/>
      </w:r>
      <w:r w:rsidRPr="002A07EC">
        <w:t xml:space="preserve">. </w:t>
      </w:r>
      <w:bookmarkEnd w:id="0"/>
      <w:r w:rsidRPr="002A07EC">
        <w:t>Daarmee ontstaat meer bestedingsruimte om onder andere voor de woningaanschaf te kunnen gebruiken.</w:t>
      </w:r>
    </w:p>
    <w:p w:rsidRPr="002A07EC" w:rsidR="00620E6C" w:rsidP="00620E6C" w:rsidRDefault="00620E6C" w14:paraId="277E5D67" w14:textId="77777777">
      <w:pPr>
        <w:spacing w:line="240" w:lineRule="auto"/>
      </w:pPr>
    </w:p>
    <w:p w:rsidRPr="002A07EC" w:rsidR="000B462D" w:rsidP="00620E6C" w:rsidRDefault="00620E6C" w14:paraId="35D1FEC7" w14:textId="77777777">
      <w:pPr>
        <w:spacing w:line="240" w:lineRule="auto"/>
      </w:pPr>
      <w:r w:rsidRPr="002A07EC">
        <w:t xml:space="preserve">De cijfers van HDN in tabel 1 laten zien dat het aandeel eigen geld ten opzichte van de marktwaarde van de woning niet substantieel is toegenomen. De </w:t>
      </w:r>
      <w:r w:rsidRPr="002A07EC" w:rsidR="00497298">
        <w:t xml:space="preserve">LTV ratio </w:t>
      </w:r>
      <w:r w:rsidRPr="002A07EC">
        <w:t xml:space="preserve">(aandeel hypotheek ten opzichte van waarde woning) is stabiel over de jaren heen, met een kleine afwijking in 2022. Dit komt door de eerder genoemde </w:t>
      </w:r>
      <w:r w:rsidRPr="002A07EC">
        <w:lastRenderedPageBreak/>
        <w:t>afschaffing van de schenkingsvrijstelling eigen woning in 2022.</w:t>
      </w:r>
      <w:r w:rsidRPr="002A07EC" w:rsidR="00E5744B">
        <w:t xml:space="preserve"> Omdat er </w:t>
      </w:r>
      <w:r w:rsidRPr="002A07EC" w:rsidR="00253A98">
        <w:t xml:space="preserve">sinds 2020 </w:t>
      </w:r>
      <w:r w:rsidRPr="002A07EC" w:rsidR="00E5744B">
        <w:t xml:space="preserve">geen sprake is van een substantieel groter aandeel eigen geld bij de aankoop van een woning </w:t>
      </w:r>
      <w:r w:rsidRPr="002A07EC" w:rsidR="00A47AB2">
        <w:t>lijkt dit ook geen bepalende factor voor de gestegen huizenprijzen</w:t>
      </w:r>
      <w:r w:rsidRPr="002A07EC">
        <w:t xml:space="preserve">. </w:t>
      </w:r>
    </w:p>
    <w:p w:rsidRPr="002A07EC" w:rsidR="00620E6C" w:rsidP="00620E6C" w:rsidRDefault="00620E6C" w14:paraId="5427E146" w14:textId="77777777">
      <w:pPr>
        <w:spacing w:line="240" w:lineRule="auto"/>
      </w:pPr>
      <w:r w:rsidRPr="002A07EC">
        <w:t xml:space="preserve"> </w:t>
      </w:r>
    </w:p>
    <w:p w:rsidRPr="002A07EC" w:rsidR="000B462D" w:rsidP="000B462D" w:rsidRDefault="000B462D" w14:paraId="18FA1120" w14:textId="77777777">
      <w:pPr>
        <w:spacing w:line="240" w:lineRule="auto"/>
        <w:rPr>
          <w:b/>
          <w:bCs/>
          <w:i/>
          <w:iCs/>
        </w:rPr>
      </w:pPr>
      <w:r w:rsidRPr="002A07EC">
        <w:rPr>
          <w:b/>
          <w:bCs/>
          <w:i/>
          <w:iCs/>
        </w:rPr>
        <w:t xml:space="preserve">Tabel 1: Hypotheekgegevens Starters </w:t>
      </w:r>
    </w:p>
    <w:tbl>
      <w:tblPr>
        <w:tblStyle w:val="Tabelraster"/>
        <w:tblW w:w="0" w:type="auto"/>
        <w:tblInd w:w="0" w:type="dxa"/>
        <w:tblLook w:val="04A0" w:firstRow="1" w:lastRow="0" w:firstColumn="1" w:lastColumn="0" w:noHBand="0" w:noVBand="1"/>
      </w:tblPr>
      <w:tblGrid>
        <w:gridCol w:w="1641"/>
        <w:gridCol w:w="1037"/>
        <w:gridCol w:w="1226"/>
        <w:gridCol w:w="1517"/>
        <w:gridCol w:w="1300"/>
        <w:gridCol w:w="810"/>
      </w:tblGrid>
      <w:tr w:rsidRPr="002A07EC" w:rsidR="000B462D" w:rsidTr="00855721" w14:paraId="783B63B3" w14:textId="77777777">
        <w:trPr>
          <w:trHeight w:val="300"/>
        </w:trPr>
        <w:tc>
          <w:tcPr>
            <w:tcW w:w="1738" w:type="dxa"/>
            <w:shd w:val="clear" w:color="auto" w:fill="BFBFBF" w:themeFill="background1" w:themeFillShade="BF"/>
            <w:noWrap/>
            <w:hideMark/>
          </w:tcPr>
          <w:p w:rsidRPr="002A07EC" w:rsidR="000B462D" w:rsidP="004E0802" w:rsidRDefault="000B462D" w14:paraId="4C6FB22B" w14:textId="77777777">
            <w:pPr>
              <w:jc w:val="both"/>
            </w:pPr>
            <w:r w:rsidRPr="002A07EC">
              <w:t>Jaar</w:t>
            </w:r>
          </w:p>
        </w:tc>
        <w:tc>
          <w:tcPr>
            <w:tcW w:w="1099" w:type="dxa"/>
            <w:shd w:val="clear" w:color="auto" w:fill="BFBFBF" w:themeFill="background1" w:themeFillShade="BF"/>
            <w:noWrap/>
            <w:hideMark/>
          </w:tcPr>
          <w:p w:rsidRPr="002A07EC" w:rsidR="000B462D" w:rsidP="004E0802" w:rsidRDefault="000B462D" w14:paraId="741308A4" w14:textId="77777777">
            <w:pPr>
              <w:jc w:val="both"/>
            </w:pPr>
            <w:r w:rsidRPr="002A07EC">
              <w:t>LTV</w:t>
            </w:r>
          </w:p>
        </w:tc>
        <w:tc>
          <w:tcPr>
            <w:tcW w:w="1299" w:type="dxa"/>
            <w:shd w:val="clear" w:color="auto" w:fill="BFBFBF" w:themeFill="background1" w:themeFillShade="BF"/>
            <w:noWrap/>
            <w:hideMark/>
          </w:tcPr>
          <w:p w:rsidRPr="002A07EC" w:rsidR="000B462D" w:rsidP="004E0802" w:rsidRDefault="000B462D" w14:paraId="193F606F" w14:textId="77777777">
            <w:pPr>
              <w:jc w:val="both"/>
            </w:pPr>
            <w:r w:rsidRPr="002A07EC">
              <w:t>Gem marktwaarde</w:t>
            </w:r>
          </w:p>
        </w:tc>
        <w:tc>
          <w:tcPr>
            <w:tcW w:w="1159" w:type="dxa"/>
            <w:shd w:val="clear" w:color="auto" w:fill="BFBFBF" w:themeFill="background1" w:themeFillShade="BF"/>
            <w:vAlign w:val="bottom"/>
          </w:tcPr>
          <w:p w:rsidRPr="002A07EC" w:rsidR="000B462D" w:rsidP="004E0802" w:rsidRDefault="000B462D" w14:paraId="2F6348AF" w14:textId="77777777">
            <w:pPr>
              <w:jc w:val="both"/>
            </w:pPr>
            <w:r w:rsidRPr="002A07EC">
              <w:rPr>
                <w:rFonts w:cs="Calibri"/>
              </w:rPr>
              <w:t>Gem Hypotheekbedrag</w:t>
            </w:r>
          </w:p>
        </w:tc>
        <w:tc>
          <w:tcPr>
            <w:tcW w:w="1378" w:type="dxa"/>
            <w:shd w:val="clear" w:color="auto" w:fill="BFBFBF" w:themeFill="background1" w:themeFillShade="BF"/>
            <w:noWrap/>
            <w:hideMark/>
          </w:tcPr>
          <w:p w:rsidRPr="002A07EC" w:rsidR="000B462D" w:rsidP="004E0802" w:rsidRDefault="000B462D" w14:paraId="0EE82A8F" w14:textId="77777777">
            <w:pPr>
              <w:jc w:val="both"/>
            </w:pPr>
            <w:r w:rsidRPr="002A07EC">
              <w:t>Ingebrachte eigen geld</w:t>
            </w:r>
          </w:p>
        </w:tc>
        <w:tc>
          <w:tcPr>
            <w:tcW w:w="858" w:type="dxa"/>
            <w:shd w:val="clear" w:color="auto" w:fill="BFBFBF" w:themeFill="background1" w:themeFillShade="BF"/>
            <w:noWrap/>
            <w:hideMark/>
          </w:tcPr>
          <w:p w:rsidRPr="002A07EC" w:rsidR="000B462D" w:rsidP="004E0802" w:rsidRDefault="000B462D" w14:paraId="7BB56046" w14:textId="77777777">
            <w:pPr>
              <w:jc w:val="both"/>
            </w:pPr>
            <w:r w:rsidRPr="002A07EC">
              <w:t>LTI</w:t>
            </w:r>
          </w:p>
        </w:tc>
      </w:tr>
      <w:tr w:rsidRPr="002A07EC" w:rsidR="000B462D" w:rsidTr="00855721" w14:paraId="5AA873DA" w14:textId="77777777">
        <w:trPr>
          <w:trHeight w:val="300"/>
        </w:trPr>
        <w:tc>
          <w:tcPr>
            <w:tcW w:w="1738" w:type="dxa"/>
            <w:noWrap/>
            <w:hideMark/>
          </w:tcPr>
          <w:p w:rsidRPr="002A07EC" w:rsidR="000B462D" w:rsidP="004E0802" w:rsidRDefault="000B462D" w14:paraId="196CB70D" w14:textId="77777777">
            <w:pPr>
              <w:jc w:val="both"/>
            </w:pPr>
            <w:r w:rsidRPr="002A07EC">
              <w:t>2020</w:t>
            </w:r>
          </w:p>
        </w:tc>
        <w:tc>
          <w:tcPr>
            <w:tcW w:w="1099" w:type="dxa"/>
            <w:noWrap/>
            <w:hideMark/>
          </w:tcPr>
          <w:p w:rsidRPr="002A07EC" w:rsidR="000B462D" w:rsidP="004E0802" w:rsidRDefault="000B462D" w14:paraId="7AB72C49" w14:textId="77777777">
            <w:pPr>
              <w:jc w:val="both"/>
            </w:pPr>
            <w:r w:rsidRPr="002A07EC">
              <w:t>90%</w:t>
            </w:r>
          </w:p>
        </w:tc>
        <w:tc>
          <w:tcPr>
            <w:tcW w:w="1299" w:type="dxa"/>
            <w:noWrap/>
            <w:hideMark/>
          </w:tcPr>
          <w:p w:rsidRPr="002A07EC" w:rsidR="000B462D" w:rsidP="004E0802" w:rsidRDefault="000B462D" w14:paraId="602AE00F" w14:textId="77777777">
            <w:pPr>
              <w:jc w:val="both"/>
            </w:pPr>
            <w:r w:rsidRPr="002A07EC">
              <w:t>€                         319.257</w:t>
            </w:r>
          </w:p>
        </w:tc>
        <w:tc>
          <w:tcPr>
            <w:tcW w:w="1159" w:type="dxa"/>
            <w:vAlign w:val="bottom"/>
          </w:tcPr>
          <w:p w:rsidRPr="002A07EC" w:rsidR="000B462D" w:rsidP="004E0802" w:rsidRDefault="000B462D" w14:paraId="67E27CE2" w14:textId="77777777">
            <w:pPr>
              <w:jc w:val="both"/>
            </w:pPr>
            <w:r w:rsidRPr="002A07EC">
              <w:rPr>
                <w:rFonts w:cs="Calibri"/>
              </w:rPr>
              <w:t>€ 285.143</w:t>
            </w:r>
          </w:p>
        </w:tc>
        <w:tc>
          <w:tcPr>
            <w:tcW w:w="1378" w:type="dxa"/>
            <w:noWrap/>
            <w:hideMark/>
          </w:tcPr>
          <w:p w:rsidRPr="002A07EC" w:rsidR="000B462D" w:rsidP="004E0802" w:rsidRDefault="000B462D" w14:paraId="76DDD758" w14:textId="77777777">
            <w:pPr>
              <w:jc w:val="both"/>
            </w:pPr>
            <w:r w:rsidRPr="002A07EC">
              <w:t>€                               34.114</w:t>
            </w:r>
          </w:p>
        </w:tc>
        <w:tc>
          <w:tcPr>
            <w:tcW w:w="858" w:type="dxa"/>
            <w:noWrap/>
            <w:hideMark/>
          </w:tcPr>
          <w:p w:rsidRPr="002A07EC" w:rsidR="000B462D" w:rsidP="004E0802" w:rsidRDefault="000B462D" w14:paraId="379B44BA" w14:textId="77777777">
            <w:pPr>
              <w:jc w:val="both"/>
            </w:pPr>
            <w:r w:rsidRPr="002A07EC">
              <w:t>4,3</w:t>
            </w:r>
          </w:p>
        </w:tc>
      </w:tr>
      <w:tr w:rsidRPr="002A07EC" w:rsidR="000B462D" w:rsidTr="00855721" w14:paraId="0048A569" w14:textId="77777777">
        <w:trPr>
          <w:trHeight w:val="300"/>
        </w:trPr>
        <w:tc>
          <w:tcPr>
            <w:tcW w:w="1738" w:type="dxa"/>
            <w:noWrap/>
            <w:hideMark/>
          </w:tcPr>
          <w:p w:rsidRPr="002A07EC" w:rsidR="000B462D" w:rsidP="004E0802" w:rsidRDefault="000B462D" w14:paraId="0B715BB3" w14:textId="77777777">
            <w:pPr>
              <w:jc w:val="both"/>
            </w:pPr>
            <w:r w:rsidRPr="002A07EC">
              <w:t>2021</w:t>
            </w:r>
          </w:p>
        </w:tc>
        <w:tc>
          <w:tcPr>
            <w:tcW w:w="1099" w:type="dxa"/>
            <w:noWrap/>
            <w:hideMark/>
          </w:tcPr>
          <w:p w:rsidRPr="002A07EC" w:rsidR="000B462D" w:rsidP="004E0802" w:rsidRDefault="000B462D" w14:paraId="16D78BEA" w14:textId="77777777">
            <w:pPr>
              <w:jc w:val="both"/>
            </w:pPr>
            <w:r w:rsidRPr="002A07EC">
              <w:t>88%</w:t>
            </w:r>
          </w:p>
        </w:tc>
        <w:tc>
          <w:tcPr>
            <w:tcW w:w="1299" w:type="dxa"/>
            <w:noWrap/>
            <w:hideMark/>
          </w:tcPr>
          <w:p w:rsidRPr="002A07EC" w:rsidR="000B462D" w:rsidP="004E0802" w:rsidRDefault="000B462D" w14:paraId="661F5816" w14:textId="77777777">
            <w:pPr>
              <w:jc w:val="both"/>
            </w:pPr>
            <w:r w:rsidRPr="002A07EC">
              <w:t>€                          372.188</w:t>
            </w:r>
          </w:p>
        </w:tc>
        <w:tc>
          <w:tcPr>
            <w:tcW w:w="1159" w:type="dxa"/>
            <w:vAlign w:val="bottom"/>
          </w:tcPr>
          <w:p w:rsidRPr="002A07EC" w:rsidR="000B462D" w:rsidP="004E0802" w:rsidRDefault="000B462D" w14:paraId="5B833A27" w14:textId="77777777">
            <w:pPr>
              <w:jc w:val="both"/>
            </w:pPr>
            <w:r w:rsidRPr="002A07EC">
              <w:rPr>
                <w:rFonts w:cs="Calibri"/>
              </w:rPr>
              <w:t>€ 324.659</w:t>
            </w:r>
          </w:p>
        </w:tc>
        <w:tc>
          <w:tcPr>
            <w:tcW w:w="1378" w:type="dxa"/>
            <w:noWrap/>
            <w:hideMark/>
          </w:tcPr>
          <w:p w:rsidRPr="002A07EC" w:rsidR="000B462D" w:rsidP="004E0802" w:rsidRDefault="000B462D" w14:paraId="545AD52A" w14:textId="77777777">
            <w:pPr>
              <w:jc w:val="both"/>
            </w:pPr>
            <w:r w:rsidRPr="002A07EC">
              <w:t>€                               47.529</w:t>
            </w:r>
          </w:p>
        </w:tc>
        <w:tc>
          <w:tcPr>
            <w:tcW w:w="858" w:type="dxa"/>
            <w:noWrap/>
            <w:hideMark/>
          </w:tcPr>
          <w:p w:rsidRPr="002A07EC" w:rsidR="000B462D" w:rsidP="004E0802" w:rsidRDefault="000B462D" w14:paraId="3BB094C9" w14:textId="77777777">
            <w:pPr>
              <w:jc w:val="both"/>
            </w:pPr>
            <w:r w:rsidRPr="002A07EC">
              <w:t>4,6</w:t>
            </w:r>
          </w:p>
        </w:tc>
      </w:tr>
      <w:tr w:rsidRPr="002A07EC" w:rsidR="000B462D" w:rsidTr="00855721" w14:paraId="2EA6A95F" w14:textId="77777777">
        <w:trPr>
          <w:trHeight w:val="300"/>
        </w:trPr>
        <w:tc>
          <w:tcPr>
            <w:tcW w:w="1738" w:type="dxa"/>
            <w:noWrap/>
            <w:hideMark/>
          </w:tcPr>
          <w:p w:rsidRPr="002A07EC" w:rsidR="000B462D" w:rsidP="004E0802" w:rsidRDefault="000B462D" w14:paraId="7DFE5E12" w14:textId="77777777">
            <w:pPr>
              <w:jc w:val="both"/>
            </w:pPr>
            <w:r w:rsidRPr="002A07EC">
              <w:t>2022</w:t>
            </w:r>
          </w:p>
        </w:tc>
        <w:tc>
          <w:tcPr>
            <w:tcW w:w="1099" w:type="dxa"/>
            <w:noWrap/>
            <w:hideMark/>
          </w:tcPr>
          <w:p w:rsidRPr="002A07EC" w:rsidR="000B462D" w:rsidP="004E0802" w:rsidRDefault="000B462D" w14:paraId="226BC9D6" w14:textId="77777777">
            <w:pPr>
              <w:jc w:val="both"/>
            </w:pPr>
            <w:r w:rsidRPr="002A07EC">
              <w:t>86%</w:t>
            </w:r>
          </w:p>
        </w:tc>
        <w:tc>
          <w:tcPr>
            <w:tcW w:w="1299" w:type="dxa"/>
            <w:noWrap/>
            <w:hideMark/>
          </w:tcPr>
          <w:p w:rsidRPr="002A07EC" w:rsidR="000B462D" w:rsidP="004E0802" w:rsidRDefault="000B462D" w14:paraId="1C2ACAD2" w14:textId="77777777">
            <w:pPr>
              <w:jc w:val="both"/>
            </w:pPr>
            <w:r w:rsidRPr="002A07EC">
              <w:t>€                          386.116</w:t>
            </w:r>
          </w:p>
        </w:tc>
        <w:tc>
          <w:tcPr>
            <w:tcW w:w="1159" w:type="dxa"/>
            <w:vAlign w:val="bottom"/>
          </w:tcPr>
          <w:p w:rsidRPr="002A07EC" w:rsidR="000B462D" w:rsidP="004E0802" w:rsidRDefault="000B462D" w14:paraId="30B396FB" w14:textId="77777777">
            <w:pPr>
              <w:jc w:val="both"/>
            </w:pPr>
            <w:r w:rsidRPr="002A07EC">
              <w:rPr>
                <w:rFonts w:cs="Calibri"/>
              </w:rPr>
              <w:t>€ 330.002</w:t>
            </w:r>
          </w:p>
        </w:tc>
        <w:tc>
          <w:tcPr>
            <w:tcW w:w="1378" w:type="dxa"/>
            <w:noWrap/>
            <w:hideMark/>
          </w:tcPr>
          <w:p w:rsidRPr="002A07EC" w:rsidR="000B462D" w:rsidP="004E0802" w:rsidRDefault="000B462D" w14:paraId="74B3F9F7" w14:textId="77777777">
            <w:pPr>
              <w:jc w:val="both"/>
            </w:pPr>
            <w:r w:rsidRPr="002A07EC">
              <w:t>€                               56.114</w:t>
            </w:r>
          </w:p>
        </w:tc>
        <w:tc>
          <w:tcPr>
            <w:tcW w:w="858" w:type="dxa"/>
            <w:noWrap/>
            <w:hideMark/>
          </w:tcPr>
          <w:p w:rsidRPr="002A07EC" w:rsidR="000B462D" w:rsidP="004E0802" w:rsidRDefault="000B462D" w14:paraId="37897051" w14:textId="77777777">
            <w:pPr>
              <w:jc w:val="both"/>
            </w:pPr>
            <w:r w:rsidRPr="002A07EC">
              <w:t>4,4</w:t>
            </w:r>
          </w:p>
        </w:tc>
      </w:tr>
      <w:tr w:rsidRPr="002A07EC" w:rsidR="000B462D" w:rsidTr="00855721" w14:paraId="63E53FFB" w14:textId="77777777">
        <w:trPr>
          <w:trHeight w:val="300"/>
        </w:trPr>
        <w:tc>
          <w:tcPr>
            <w:tcW w:w="1738" w:type="dxa"/>
            <w:noWrap/>
            <w:hideMark/>
          </w:tcPr>
          <w:p w:rsidRPr="002A07EC" w:rsidR="000B462D" w:rsidP="004E0802" w:rsidRDefault="000B462D" w14:paraId="4ABC6219" w14:textId="77777777">
            <w:pPr>
              <w:jc w:val="both"/>
            </w:pPr>
            <w:r w:rsidRPr="002A07EC">
              <w:t>2023</w:t>
            </w:r>
          </w:p>
        </w:tc>
        <w:tc>
          <w:tcPr>
            <w:tcW w:w="1099" w:type="dxa"/>
            <w:noWrap/>
            <w:hideMark/>
          </w:tcPr>
          <w:p w:rsidRPr="002A07EC" w:rsidR="000B462D" w:rsidP="004E0802" w:rsidRDefault="000B462D" w14:paraId="380C48F3" w14:textId="77777777">
            <w:pPr>
              <w:jc w:val="both"/>
            </w:pPr>
            <w:r w:rsidRPr="002A07EC">
              <w:t>88%</w:t>
            </w:r>
          </w:p>
        </w:tc>
        <w:tc>
          <w:tcPr>
            <w:tcW w:w="1299" w:type="dxa"/>
            <w:noWrap/>
            <w:hideMark/>
          </w:tcPr>
          <w:p w:rsidRPr="002A07EC" w:rsidR="000B462D" w:rsidP="004E0802" w:rsidRDefault="000B462D" w14:paraId="4A577362" w14:textId="77777777">
            <w:pPr>
              <w:jc w:val="both"/>
            </w:pPr>
            <w:r w:rsidRPr="002A07EC">
              <w:t>€                          371.264</w:t>
            </w:r>
          </w:p>
        </w:tc>
        <w:tc>
          <w:tcPr>
            <w:tcW w:w="1159" w:type="dxa"/>
            <w:vAlign w:val="bottom"/>
          </w:tcPr>
          <w:p w:rsidRPr="002A07EC" w:rsidR="000B462D" w:rsidP="004E0802" w:rsidRDefault="000B462D" w14:paraId="17F26007" w14:textId="77777777">
            <w:pPr>
              <w:jc w:val="both"/>
            </w:pPr>
            <w:r w:rsidRPr="002A07EC">
              <w:rPr>
                <w:rFonts w:cs="Calibri"/>
              </w:rPr>
              <w:t>€ 323.849</w:t>
            </w:r>
          </w:p>
        </w:tc>
        <w:tc>
          <w:tcPr>
            <w:tcW w:w="1378" w:type="dxa"/>
            <w:noWrap/>
            <w:hideMark/>
          </w:tcPr>
          <w:p w:rsidRPr="002A07EC" w:rsidR="000B462D" w:rsidP="004E0802" w:rsidRDefault="000B462D" w14:paraId="485AB5D3" w14:textId="77777777">
            <w:pPr>
              <w:jc w:val="both"/>
            </w:pPr>
            <w:r w:rsidRPr="002A07EC">
              <w:t>€                               47.415</w:t>
            </w:r>
          </w:p>
        </w:tc>
        <w:tc>
          <w:tcPr>
            <w:tcW w:w="858" w:type="dxa"/>
            <w:noWrap/>
            <w:hideMark/>
          </w:tcPr>
          <w:p w:rsidRPr="002A07EC" w:rsidR="000B462D" w:rsidP="004E0802" w:rsidRDefault="000B462D" w14:paraId="5AFE2BDA" w14:textId="77777777">
            <w:pPr>
              <w:jc w:val="both"/>
            </w:pPr>
            <w:r w:rsidRPr="002A07EC">
              <w:t>4,2</w:t>
            </w:r>
          </w:p>
        </w:tc>
      </w:tr>
      <w:tr w:rsidRPr="002A07EC" w:rsidR="000B462D" w:rsidTr="00855721" w14:paraId="22738C34" w14:textId="77777777">
        <w:trPr>
          <w:trHeight w:val="300"/>
        </w:trPr>
        <w:tc>
          <w:tcPr>
            <w:tcW w:w="1738" w:type="dxa"/>
            <w:noWrap/>
            <w:hideMark/>
          </w:tcPr>
          <w:p w:rsidRPr="002A07EC" w:rsidR="000B462D" w:rsidP="004E0802" w:rsidRDefault="000B462D" w14:paraId="6CD46EB3" w14:textId="77777777">
            <w:pPr>
              <w:jc w:val="both"/>
            </w:pPr>
            <w:r w:rsidRPr="002A07EC">
              <w:t>2024</w:t>
            </w:r>
          </w:p>
        </w:tc>
        <w:tc>
          <w:tcPr>
            <w:tcW w:w="1099" w:type="dxa"/>
            <w:noWrap/>
            <w:hideMark/>
          </w:tcPr>
          <w:p w:rsidRPr="002A07EC" w:rsidR="000B462D" w:rsidP="004E0802" w:rsidRDefault="000B462D" w14:paraId="2CA7C629" w14:textId="77777777">
            <w:pPr>
              <w:jc w:val="both"/>
            </w:pPr>
            <w:r w:rsidRPr="002A07EC">
              <w:t>89%</w:t>
            </w:r>
          </w:p>
        </w:tc>
        <w:tc>
          <w:tcPr>
            <w:tcW w:w="1299" w:type="dxa"/>
            <w:noWrap/>
            <w:hideMark/>
          </w:tcPr>
          <w:p w:rsidRPr="002A07EC" w:rsidR="000B462D" w:rsidP="004E0802" w:rsidRDefault="000B462D" w14:paraId="3B69D38F" w14:textId="77777777">
            <w:pPr>
              <w:jc w:val="both"/>
            </w:pPr>
            <w:r w:rsidRPr="002A07EC">
              <w:t>€                          399.532</w:t>
            </w:r>
          </w:p>
        </w:tc>
        <w:tc>
          <w:tcPr>
            <w:tcW w:w="1159" w:type="dxa"/>
            <w:vAlign w:val="bottom"/>
          </w:tcPr>
          <w:p w:rsidRPr="002A07EC" w:rsidR="000B462D" w:rsidP="004E0802" w:rsidRDefault="000B462D" w14:paraId="65E5E56C" w14:textId="77777777">
            <w:pPr>
              <w:jc w:val="both"/>
            </w:pPr>
            <w:r w:rsidRPr="002A07EC">
              <w:rPr>
                <w:rFonts w:cs="Calibri"/>
              </w:rPr>
              <w:t>€ 351.153</w:t>
            </w:r>
          </w:p>
        </w:tc>
        <w:tc>
          <w:tcPr>
            <w:tcW w:w="1378" w:type="dxa"/>
            <w:noWrap/>
            <w:hideMark/>
          </w:tcPr>
          <w:p w:rsidRPr="002A07EC" w:rsidR="000B462D" w:rsidP="004E0802" w:rsidRDefault="000B462D" w14:paraId="3F9F3D39" w14:textId="77777777">
            <w:pPr>
              <w:jc w:val="both"/>
            </w:pPr>
            <w:r w:rsidRPr="002A07EC">
              <w:t>€                             48.379</w:t>
            </w:r>
          </w:p>
        </w:tc>
        <w:tc>
          <w:tcPr>
            <w:tcW w:w="858" w:type="dxa"/>
            <w:noWrap/>
            <w:hideMark/>
          </w:tcPr>
          <w:p w:rsidRPr="002A07EC" w:rsidR="000B462D" w:rsidP="004E0802" w:rsidRDefault="000B462D" w14:paraId="5AFC7724" w14:textId="77777777">
            <w:pPr>
              <w:jc w:val="both"/>
            </w:pPr>
            <w:r w:rsidRPr="002A07EC">
              <w:t>4,3</w:t>
            </w:r>
          </w:p>
        </w:tc>
      </w:tr>
    </w:tbl>
    <w:p w:rsidRPr="002A07EC" w:rsidR="000B462D" w:rsidP="000B462D" w:rsidRDefault="000B462D" w14:paraId="45D65E7D" w14:textId="77777777">
      <w:pPr>
        <w:spacing w:line="240" w:lineRule="auto"/>
        <w:rPr>
          <w:i/>
          <w:iCs/>
        </w:rPr>
      </w:pPr>
      <w:r w:rsidRPr="002A07EC">
        <w:rPr>
          <w:i/>
          <w:iCs/>
        </w:rPr>
        <w:t>Bron HDN, 2025</w:t>
      </w:r>
    </w:p>
    <w:p w:rsidRPr="002A07EC" w:rsidR="00620E6C" w:rsidP="00620E6C" w:rsidRDefault="00620E6C" w14:paraId="4BF3B2B5" w14:textId="77777777">
      <w:pPr>
        <w:spacing w:line="240" w:lineRule="auto"/>
      </w:pPr>
    </w:p>
    <w:p w:rsidRPr="002A07EC" w:rsidR="00620E6C" w:rsidP="00620E6C" w:rsidRDefault="00620E6C" w14:paraId="5F1BA6AA" w14:textId="77777777">
      <w:pPr>
        <w:spacing w:line="240" w:lineRule="auto"/>
      </w:pPr>
    </w:p>
    <w:p w:rsidRPr="002A07EC" w:rsidR="002B38EB" w:rsidP="002B38EB" w:rsidRDefault="002B38EB" w14:paraId="42D5AA97" w14:textId="77777777">
      <w:pPr>
        <w:spacing w:line="240" w:lineRule="auto"/>
        <w:rPr>
          <w:b/>
          <w:bCs/>
        </w:rPr>
      </w:pPr>
      <w:r w:rsidRPr="002A07EC">
        <w:rPr>
          <w:b/>
          <w:bCs/>
        </w:rPr>
        <w:t xml:space="preserve">Vraag 9: </w:t>
      </w:r>
    </w:p>
    <w:p w:rsidRPr="002A07EC" w:rsidR="00620E6C" w:rsidP="002B38EB" w:rsidRDefault="00620E6C" w14:paraId="19FE2CBD" w14:textId="77777777">
      <w:pPr>
        <w:spacing w:line="240" w:lineRule="auto"/>
      </w:pPr>
      <w:r w:rsidRPr="002A07EC">
        <w:t>Kunt u deze vragen één voor één, binnen drie weken en in ieder geval voor het commissiedebat Woningbouwopgave en koopsector op maart 5 aanstaande beantwoorden?</w:t>
      </w:r>
    </w:p>
    <w:p w:rsidRPr="002A07EC" w:rsidR="00620E6C" w:rsidP="00620E6C" w:rsidRDefault="00620E6C" w14:paraId="470705E2" w14:textId="77777777">
      <w:pPr>
        <w:spacing w:line="240" w:lineRule="auto"/>
      </w:pPr>
    </w:p>
    <w:p w:rsidRPr="002A07EC" w:rsidR="002B38EB" w:rsidP="00620E6C" w:rsidRDefault="002B38EB" w14:paraId="737983EB" w14:textId="77777777">
      <w:pPr>
        <w:spacing w:line="240" w:lineRule="auto"/>
        <w:rPr>
          <w:b/>
          <w:bCs/>
        </w:rPr>
      </w:pPr>
      <w:r w:rsidRPr="002A07EC">
        <w:rPr>
          <w:b/>
          <w:bCs/>
        </w:rPr>
        <w:t xml:space="preserve">Antwoord 9: </w:t>
      </w:r>
    </w:p>
    <w:p w:rsidRPr="002A07EC" w:rsidR="00620E6C" w:rsidP="00620E6C" w:rsidRDefault="00620E6C" w14:paraId="17C6BFE4" w14:textId="77777777">
      <w:pPr>
        <w:spacing w:line="240" w:lineRule="auto"/>
      </w:pPr>
      <w:r w:rsidRPr="002A07EC">
        <w:t xml:space="preserve">De Kamervragen zijn beantwoord voor het commissiedebat </w:t>
      </w:r>
      <w:r w:rsidR="00855721">
        <w:t xml:space="preserve">Woningbouwopgave en koopsector </w:t>
      </w:r>
      <w:r w:rsidRPr="002A07EC">
        <w:t>van 19 maart aanstaande</w:t>
      </w:r>
      <w:r w:rsidRPr="002A07EC" w:rsidR="00A47AB2">
        <w:t xml:space="preserve">. Alle vragen zijn beantwoord, maar voor de leesbaarheid zijn antwoorden soms samengevoegd. </w:t>
      </w:r>
    </w:p>
    <w:p w:rsidRPr="002A07EC" w:rsidR="00620E6C" w:rsidP="00620E6C" w:rsidRDefault="00620E6C" w14:paraId="3EBC487F" w14:textId="77777777">
      <w:pPr>
        <w:spacing w:line="240" w:lineRule="auto"/>
      </w:pPr>
    </w:p>
    <w:p w:rsidRPr="002A07EC" w:rsidR="00620E6C" w:rsidP="00620E6C" w:rsidRDefault="00620E6C" w14:paraId="58361297" w14:textId="77777777">
      <w:pPr>
        <w:spacing w:line="240" w:lineRule="auto"/>
        <w:rPr>
          <w:b/>
          <w:bCs/>
        </w:rPr>
      </w:pPr>
    </w:p>
    <w:p w:rsidRPr="002A07EC" w:rsidR="00620E6C" w:rsidP="00620E6C" w:rsidRDefault="00620E6C" w14:paraId="2D741E9F" w14:textId="77777777">
      <w:pPr>
        <w:spacing w:line="240" w:lineRule="auto"/>
        <w:rPr>
          <w:b/>
          <w:bCs/>
        </w:rPr>
      </w:pPr>
    </w:p>
    <w:p w:rsidR="00B42136" w:rsidRDefault="00A47AB2" w14:paraId="5AC78596" w14:textId="77777777">
      <w:r w:rsidRPr="002A07EC">
        <w:br/>
      </w:r>
      <w:r w:rsidRPr="002A07EC">
        <w:br/>
      </w:r>
      <w:r w:rsidRPr="002A07EC">
        <w:br/>
      </w:r>
      <w:r>
        <w:br/>
      </w:r>
      <w:r>
        <w:br/>
      </w:r>
    </w:p>
    <w:sectPr w:rsidR="00B42136">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EB6B4" w14:textId="77777777" w:rsidR="001918D1" w:rsidRDefault="001918D1">
      <w:pPr>
        <w:spacing w:line="240" w:lineRule="auto"/>
      </w:pPr>
      <w:r>
        <w:separator/>
      </w:r>
    </w:p>
  </w:endnote>
  <w:endnote w:type="continuationSeparator" w:id="0">
    <w:p w14:paraId="7FA2AA34" w14:textId="77777777" w:rsidR="001918D1" w:rsidRDefault="001918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0F77E" w14:textId="77777777" w:rsidR="001A13D9" w:rsidRDefault="001A13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DDF93" w14:textId="77777777" w:rsidR="001A13D9" w:rsidRDefault="001A13D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D3497" w14:textId="77777777" w:rsidR="001A13D9" w:rsidRDefault="001A13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5849E" w14:textId="77777777" w:rsidR="001918D1" w:rsidRDefault="001918D1">
      <w:pPr>
        <w:spacing w:line="240" w:lineRule="auto"/>
      </w:pPr>
      <w:r>
        <w:separator/>
      </w:r>
    </w:p>
  </w:footnote>
  <w:footnote w:type="continuationSeparator" w:id="0">
    <w:p w14:paraId="6972B248" w14:textId="77777777" w:rsidR="001918D1" w:rsidRDefault="001918D1">
      <w:pPr>
        <w:spacing w:line="240" w:lineRule="auto"/>
      </w:pPr>
      <w:r>
        <w:continuationSeparator/>
      </w:r>
    </w:p>
  </w:footnote>
  <w:footnote w:id="1">
    <w:p w14:paraId="3A3E1522" w14:textId="77777777" w:rsidR="00620E6C" w:rsidRDefault="00620E6C" w:rsidP="00620E6C">
      <w:pPr>
        <w:pStyle w:val="Voetnoottekst"/>
      </w:pPr>
      <w:r>
        <w:rPr>
          <w:rStyle w:val="Voetnootmarkering"/>
        </w:rPr>
        <w:footnoteRef/>
      </w:r>
      <w:r>
        <w:t xml:space="preserve"> </w:t>
      </w:r>
      <w:hyperlink r:id="rId1" w:history="1">
        <w:r w:rsidRPr="00AF4F81">
          <w:rPr>
            <w:rStyle w:val="Hyperlink"/>
          </w:rPr>
          <w:t>Over ons - hdn</w:t>
        </w:r>
      </w:hyperlink>
      <w:r>
        <w:t xml:space="preserve"> </w:t>
      </w:r>
    </w:p>
  </w:footnote>
  <w:footnote w:id="2">
    <w:p w14:paraId="7ABD9CA1" w14:textId="77777777" w:rsidR="00620E6C" w:rsidRDefault="00620E6C">
      <w:pPr>
        <w:pStyle w:val="Voetnoottekst"/>
      </w:pPr>
      <w:r>
        <w:rPr>
          <w:rStyle w:val="Voetnootmarkering"/>
        </w:rPr>
        <w:footnoteRef/>
      </w:r>
      <w:r>
        <w:t xml:space="preserve"> </w:t>
      </w:r>
      <w:hyperlink r:id="rId2" w:history="1">
        <w:r w:rsidRPr="00620E6C">
          <w:rPr>
            <w:rStyle w:val="Hyperlink"/>
          </w:rPr>
          <w:t>kop-munt.nl/kop/archief/kopers-jonger-dan-35-jaar-namen-in-2024-bijna-drie-keer-zoveel-eigen-vermogen-mee-als-in-2017/</w:t>
        </w:r>
      </w:hyperlink>
      <w:r>
        <w:t xml:space="preserve"> </w:t>
      </w:r>
    </w:p>
  </w:footnote>
  <w:footnote w:id="3">
    <w:p w14:paraId="572EC02D" w14:textId="77777777" w:rsidR="00620E6C" w:rsidRDefault="00620E6C" w:rsidP="00620E6C">
      <w:pPr>
        <w:pStyle w:val="Voetnoottekst"/>
      </w:pPr>
      <w:r>
        <w:rPr>
          <w:rStyle w:val="Voetnootmarkering"/>
        </w:rPr>
        <w:footnoteRef/>
      </w:r>
      <w:r>
        <w:t xml:space="preserve"> </w:t>
      </w:r>
      <w:hyperlink r:id="rId3" w:history="1">
        <w:r w:rsidRPr="00151981">
          <w:rPr>
            <w:rStyle w:val="Hyperlink"/>
          </w:rPr>
          <w:t>Kabinet verlaagt schenkingsvrijstelling eigen woning per 1 januari 2023 | Nieuwsbericht | Rijksoverheid.nl</w:t>
        </w:r>
      </w:hyperlink>
    </w:p>
  </w:footnote>
  <w:footnote w:id="4">
    <w:p w14:paraId="378F6992" w14:textId="77777777" w:rsidR="002A07EC" w:rsidRPr="002A07EC" w:rsidRDefault="002A07EC">
      <w:pPr>
        <w:pStyle w:val="Voetnoottekst"/>
        <w:rPr>
          <w:lang w:val="es-ES"/>
        </w:rPr>
      </w:pPr>
      <w:r w:rsidRPr="002A07EC">
        <w:rPr>
          <w:rStyle w:val="Voetnootmarkering"/>
        </w:rPr>
        <w:footnoteRef/>
      </w:r>
      <w:r w:rsidRPr="008612DB">
        <w:rPr>
          <w:lang w:val="es-ES"/>
        </w:rPr>
        <w:t xml:space="preserve"> </w:t>
      </w:r>
      <w:r w:rsidRPr="002A07EC">
        <w:rPr>
          <w:lang w:val="es-ES"/>
        </w:rPr>
        <w:t xml:space="preserve"> </w:t>
      </w:r>
      <w:hyperlink r:id="rId4" w:history="1">
        <w:r w:rsidRPr="002A07EC">
          <w:rPr>
            <w:rStyle w:val="Hyperlink"/>
            <w:lang w:val="es-ES"/>
          </w:rPr>
          <w:t>Li &amp; Mastrogiacomo, 2023</w:t>
        </w:r>
      </w:hyperlink>
    </w:p>
  </w:footnote>
  <w:footnote w:id="5">
    <w:p w14:paraId="13D1DD1C" w14:textId="77777777" w:rsidR="002A07EC" w:rsidRPr="008612DB" w:rsidRDefault="002A07EC">
      <w:pPr>
        <w:pStyle w:val="Voetnoottekst"/>
        <w:rPr>
          <w:lang w:val="es-ES"/>
        </w:rPr>
      </w:pPr>
      <w:r w:rsidRPr="002A07EC">
        <w:rPr>
          <w:rStyle w:val="Voetnootmarkering"/>
        </w:rPr>
        <w:footnoteRef/>
      </w:r>
      <w:r w:rsidRPr="008612DB">
        <w:rPr>
          <w:lang w:val="es-ES"/>
        </w:rPr>
        <w:t xml:space="preserve"> </w:t>
      </w:r>
      <w:hyperlink r:id="rId5" w:history="1">
        <w:r w:rsidRPr="002A07EC">
          <w:rPr>
            <w:rStyle w:val="Hyperlink"/>
            <w:lang w:val="es-ES"/>
          </w:rPr>
          <w:t>Kok, Wogh &amp; Bos, 2024</w:t>
        </w:r>
      </w:hyperlink>
    </w:p>
  </w:footnote>
  <w:footnote w:id="6">
    <w:p w14:paraId="751C3131" w14:textId="77777777" w:rsidR="002A07EC" w:rsidRDefault="002A07EC">
      <w:pPr>
        <w:pStyle w:val="Voetnoottekst"/>
      </w:pPr>
      <w:r w:rsidRPr="002A07EC">
        <w:rPr>
          <w:rStyle w:val="Voetnootmarkering"/>
        </w:rPr>
        <w:footnoteRef/>
      </w:r>
      <w:r w:rsidRPr="002A07EC">
        <w:t xml:space="preserve"> </w:t>
      </w:r>
      <w:hyperlink r:id="rId6" w:history="1">
        <w:r w:rsidRPr="002A07EC">
          <w:rPr>
            <w:rStyle w:val="Hyperlink"/>
          </w:rPr>
          <w:t>Eijsink &amp; Mastragiacomo, 2023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81551" w14:textId="77777777" w:rsidR="001A13D9" w:rsidRDefault="001A13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9D57B" w14:textId="77777777" w:rsidR="00B42136" w:rsidRDefault="00A47AB2">
    <w:r>
      <w:rPr>
        <w:noProof/>
      </w:rPr>
      <mc:AlternateContent>
        <mc:Choice Requires="wps">
          <w:drawing>
            <wp:anchor distT="0" distB="0" distL="0" distR="0" simplePos="0" relativeHeight="251652096" behindDoc="0" locked="1" layoutInCell="1" allowOverlap="1" wp14:anchorId="21052C4C" wp14:editId="5E8135C6">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899CB7E" w14:textId="77777777" w:rsidR="0061418D"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21052C4C"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4899CB7E" w14:textId="77777777" w:rsidR="0061418D"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DF8E8CA" wp14:editId="71074A86">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C37C8C5" w14:textId="77777777" w:rsidR="00B42136" w:rsidRDefault="00A47AB2">
                          <w:pPr>
                            <w:pStyle w:val="Referentiegegevensbold"/>
                          </w:pPr>
                          <w:r>
                            <w:t>DG Volkshuisvesting en Bouwen</w:t>
                          </w:r>
                        </w:p>
                        <w:p w14:paraId="731DEF80" w14:textId="77777777" w:rsidR="00B42136" w:rsidRDefault="00A47AB2">
                          <w:pPr>
                            <w:pStyle w:val="Referentiegegevens"/>
                          </w:pPr>
                          <w:r>
                            <w:t>DGVB-WN-Koop &amp; Kapitaalmarkt</w:t>
                          </w:r>
                        </w:p>
                        <w:p w14:paraId="5E79FBB5" w14:textId="77777777" w:rsidR="00B42136" w:rsidRDefault="00B42136">
                          <w:pPr>
                            <w:pStyle w:val="WitregelW2"/>
                          </w:pPr>
                        </w:p>
                        <w:p w14:paraId="08BA327D" w14:textId="77777777" w:rsidR="00B42136" w:rsidRDefault="00A47AB2">
                          <w:pPr>
                            <w:pStyle w:val="Referentiegegevensbold"/>
                          </w:pPr>
                          <w:r>
                            <w:t>Datum</w:t>
                          </w:r>
                        </w:p>
                        <w:p w14:paraId="6A2F8FD1" w14:textId="561654FF" w:rsidR="0061418D" w:rsidRDefault="001A13D9">
                          <w:pPr>
                            <w:pStyle w:val="Referentiegegevens"/>
                          </w:pPr>
                          <w:r>
                            <w:t>17 maart 2025</w:t>
                          </w:r>
                        </w:p>
                        <w:p w14:paraId="3DAD3DC9" w14:textId="77777777" w:rsidR="00B42136" w:rsidRDefault="00B42136">
                          <w:pPr>
                            <w:pStyle w:val="WitregelW1"/>
                          </w:pPr>
                        </w:p>
                        <w:p w14:paraId="3A282156" w14:textId="77777777" w:rsidR="00B42136" w:rsidRDefault="00A47AB2">
                          <w:pPr>
                            <w:pStyle w:val="Referentiegegevensbold"/>
                          </w:pPr>
                          <w:r>
                            <w:t>Onze referentie</w:t>
                          </w:r>
                        </w:p>
                        <w:p w14:paraId="3093A780" w14:textId="77777777" w:rsidR="0061418D" w:rsidRDefault="00000000">
                          <w:pPr>
                            <w:pStyle w:val="Referentiegegevens"/>
                          </w:pPr>
                          <w:fldSimple w:instr=" DOCPROPERTY  &quot;Kenmerk&quot;  \* MERGEFORMAT ">
                            <w:r w:rsidR="001A13D9">
                              <w:t>2025-0000219682</w:t>
                            </w:r>
                          </w:fldSimple>
                        </w:p>
                      </w:txbxContent>
                    </wps:txbx>
                    <wps:bodyPr vert="horz" wrap="square" lIns="0" tIns="0" rIns="0" bIns="0" anchor="t" anchorCtr="0"/>
                  </wps:wsp>
                </a:graphicData>
              </a:graphic>
            </wp:anchor>
          </w:drawing>
        </mc:Choice>
        <mc:Fallback>
          <w:pict>
            <v:shape w14:anchorId="1DF8E8CA"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C37C8C5" w14:textId="77777777" w:rsidR="00B42136" w:rsidRDefault="00A47AB2">
                    <w:pPr>
                      <w:pStyle w:val="Referentiegegevensbold"/>
                    </w:pPr>
                    <w:r>
                      <w:t>DG Volkshuisvesting en Bouwen</w:t>
                    </w:r>
                  </w:p>
                  <w:p w14:paraId="731DEF80" w14:textId="77777777" w:rsidR="00B42136" w:rsidRDefault="00A47AB2">
                    <w:pPr>
                      <w:pStyle w:val="Referentiegegevens"/>
                    </w:pPr>
                    <w:r>
                      <w:t>DGVB-WN-Koop &amp; Kapitaalmarkt</w:t>
                    </w:r>
                  </w:p>
                  <w:p w14:paraId="5E79FBB5" w14:textId="77777777" w:rsidR="00B42136" w:rsidRDefault="00B42136">
                    <w:pPr>
                      <w:pStyle w:val="WitregelW2"/>
                    </w:pPr>
                  </w:p>
                  <w:p w14:paraId="08BA327D" w14:textId="77777777" w:rsidR="00B42136" w:rsidRDefault="00A47AB2">
                    <w:pPr>
                      <w:pStyle w:val="Referentiegegevensbold"/>
                    </w:pPr>
                    <w:r>
                      <w:t>Datum</w:t>
                    </w:r>
                  </w:p>
                  <w:p w14:paraId="6A2F8FD1" w14:textId="561654FF" w:rsidR="0061418D" w:rsidRDefault="001A13D9">
                    <w:pPr>
                      <w:pStyle w:val="Referentiegegevens"/>
                    </w:pPr>
                    <w:r>
                      <w:t>17 maart 2025</w:t>
                    </w:r>
                  </w:p>
                  <w:p w14:paraId="3DAD3DC9" w14:textId="77777777" w:rsidR="00B42136" w:rsidRDefault="00B42136">
                    <w:pPr>
                      <w:pStyle w:val="WitregelW1"/>
                    </w:pPr>
                  </w:p>
                  <w:p w14:paraId="3A282156" w14:textId="77777777" w:rsidR="00B42136" w:rsidRDefault="00A47AB2">
                    <w:pPr>
                      <w:pStyle w:val="Referentiegegevensbold"/>
                    </w:pPr>
                    <w:r>
                      <w:t>Onze referentie</w:t>
                    </w:r>
                  </w:p>
                  <w:p w14:paraId="3093A780" w14:textId="77777777" w:rsidR="0061418D" w:rsidRDefault="00000000">
                    <w:pPr>
                      <w:pStyle w:val="Referentiegegevens"/>
                    </w:pPr>
                    <w:fldSimple w:instr=" DOCPROPERTY  &quot;Kenmerk&quot;  \* MERGEFORMAT ">
                      <w:r w:rsidR="001A13D9">
                        <w:t>2025-0000219682</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FC2D8E9" wp14:editId="31084194">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4A7937A" w14:textId="77777777" w:rsidR="0061418D"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3FC2D8E9"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4A7937A" w14:textId="77777777" w:rsidR="0061418D"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4C8A9ED" wp14:editId="412BB6CC">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21D0956" w14:textId="77777777" w:rsidR="0061418D"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4C8A9ED"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21D0956" w14:textId="77777777" w:rsidR="0061418D"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915CC" w14:textId="77777777" w:rsidR="00B42136" w:rsidRDefault="00A47AB2">
    <w:pPr>
      <w:spacing w:after="6377" w:line="14" w:lineRule="exact"/>
    </w:pPr>
    <w:r>
      <w:rPr>
        <w:noProof/>
      </w:rPr>
      <mc:AlternateContent>
        <mc:Choice Requires="wps">
          <w:drawing>
            <wp:anchor distT="0" distB="0" distL="0" distR="0" simplePos="0" relativeHeight="251656192" behindDoc="0" locked="1" layoutInCell="1" allowOverlap="1" wp14:anchorId="451097CF" wp14:editId="289CC907">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E401DFE" w14:textId="77777777" w:rsidR="00B42136" w:rsidRDefault="00A47AB2">
                          <w:pPr>
                            <w:spacing w:line="240" w:lineRule="auto"/>
                          </w:pPr>
                          <w:r>
                            <w:rPr>
                              <w:noProof/>
                            </w:rPr>
                            <w:drawing>
                              <wp:inline distT="0" distB="0" distL="0" distR="0" wp14:anchorId="258DD73B" wp14:editId="4D86BA5D">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51097CF"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1E401DFE" w14:textId="77777777" w:rsidR="00B42136" w:rsidRDefault="00A47AB2">
                    <w:pPr>
                      <w:spacing w:line="240" w:lineRule="auto"/>
                    </w:pPr>
                    <w:r>
                      <w:rPr>
                        <w:noProof/>
                      </w:rPr>
                      <w:drawing>
                        <wp:inline distT="0" distB="0" distL="0" distR="0" wp14:anchorId="258DD73B" wp14:editId="4D86BA5D">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1D8C971" wp14:editId="14B4BADC">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245C5A4" w14:textId="77777777" w:rsidR="00B42136" w:rsidRDefault="00A47AB2">
                          <w:pPr>
                            <w:spacing w:line="240" w:lineRule="auto"/>
                          </w:pPr>
                          <w:r>
                            <w:rPr>
                              <w:noProof/>
                            </w:rPr>
                            <w:drawing>
                              <wp:inline distT="0" distB="0" distL="0" distR="0" wp14:anchorId="44A86A03" wp14:editId="0BF7C1F8">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1D8C971"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4245C5A4" w14:textId="77777777" w:rsidR="00B42136" w:rsidRDefault="00A47AB2">
                    <w:pPr>
                      <w:spacing w:line="240" w:lineRule="auto"/>
                    </w:pPr>
                    <w:r>
                      <w:rPr>
                        <w:noProof/>
                      </w:rPr>
                      <w:drawing>
                        <wp:inline distT="0" distB="0" distL="0" distR="0" wp14:anchorId="44A86A03" wp14:editId="0BF7C1F8">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4715659" wp14:editId="3B0A78A9">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BE2A322" w14:textId="77777777" w:rsidR="00B42136" w:rsidRDefault="00A47AB2">
                          <w:pPr>
                            <w:pStyle w:val="Referentiegegevens"/>
                          </w:pPr>
                          <w:r>
                            <w:t xml:space="preserve">&gt; Retouradres    </w:t>
                          </w:r>
                        </w:p>
                      </w:txbxContent>
                    </wps:txbx>
                    <wps:bodyPr vert="horz" wrap="square" lIns="0" tIns="0" rIns="0" bIns="0" anchor="t" anchorCtr="0"/>
                  </wps:wsp>
                </a:graphicData>
              </a:graphic>
            </wp:anchor>
          </w:drawing>
        </mc:Choice>
        <mc:Fallback>
          <w:pict>
            <v:shape w14:anchorId="74715659"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0BE2A322" w14:textId="77777777" w:rsidR="00B42136" w:rsidRDefault="00A47AB2">
                    <w:pPr>
                      <w:pStyle w:val="Referentiegegevens"/>
                    </w:pPr>
                    <w:r>
                      <w:t xml:space="preserve">&gt; Retouradres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BC3CDA1" wp14:editId="41B451FC">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9D787A2" w14:textId="77777777" w:rsidR="0061418D"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3C7B3DAD" w14:textId="77777777" w:rsidR="00B42136" w:rsidRDefault="00A47AB2">
                          <w:r>
                            <w:t>Aan de Voorzitter van de Tweede Kamer der Staten-Generaal</w:t>
                          </w:r>
                        </w:p>
                        <w:p w14:paraId="5EF9D7EF" w14:textId="77777777" w:rsidR="00B42136" w:rsidRDefault="00A47AB2">
                          <w:r>
                            <w:t xml:space="preserve">Postbus 20018 </w:t>
                          </w:r>
                        </w:p>
                        <w:p w14:paraId="31DDCD9B" w14:textId="77777777" w:rsidR="00B42136" w:rsidRDefault="00A47AB2">
                          <w:r>
                            <w:t>2500EA  Den Haag</w:t>
                          </w:r>
                        </w:p>
                      </w:txbxContent>
                    </wps:txbx>
                    <wps:bodyPr vert="horz" wrap="square" lIns="0" tIns="0" rIns="0" bIns="0" anchor="t" anchorCtr="0"/>
                  </wps:wsp>
                </a:graphicData>
              </a:graphic>
            </wp:anchor>
          </w:drawing>
        </mc:Choice>
        <mc:Fallback>
          <w:pict>
            <v:shape w14:anchorId="1BC3CDA1"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59D787A2" w14:textId="77777777" w:rsidR="0061418D"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3C7B3DAD" w14:textId="77777777" w:rsidR="00B42136" w:rsidRDefault="00A47AB2">
                    <w:r>
                      <w:t>Aan de Voorzitter van de Tweede Kamer der Staten-Generaal</w:t>
                    </w:r>
                  </w:p>
                  <w:p w14:paraId="5EF9D7EF" w14:textId="77777777" w:rsidR="00B42136" w:rsidRDefault="00A47AB2">
                    <w:r>
                      <w:t xml:space="preserve">Postbus 20018 </w:t>
                    </w:r>
                  </w:p>
                  <w:p w14:paraId="31DDCD9B" w14:textId="77777777" w:rsidR="00B42136" w:rsidRDefault="00A47AB2">
                    <w:r>
                      <w:t>2500EA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DBA08BD" wp14:editId="24EE0C7C">
              <wp:simplePos x="0" y="0"/>
              <wp:positionH relativeFrom="page">
                <wp:posOffset>1019175</wp:posOffset>
              </wp:positionH>
              <wp:positionV relativeFrom="page">
                <wp:posOffset>3342640</wp:posOffset>
              </wp:positionV>
              <wp:extent cx="4772025" cy="111442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1114425"/>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B42136" w14:paraId="49C3419A" w14:textId="77777777">
                            <w:trPr>
                              <w:trHeight w:val="240"/>
                            </w:trPr>
                            <w:tc>
                              <w:tcPr>
                                <w:tcW w:w="1140" w:type="dxa"/>
                              </w:tcPr>
                              <w:p w14:paraId="2CE119C3" w14:textId="77777777" w:rsidR="00B42136" w:rsidRDefault="00A47AB2">
                                <w:r>
                                  <w:t>Datum</w:t>
                                </w:r>
                              </w:p>
                            </w:tc>
                            <w:tc>
                              <w:tcPr>
                                <w:tcW w:w="5918" w:type="dxa"/>
                              </w:tcPr>
                              <w:p w14:paraId="52A61D6A" w14:textId="0F300E10" w:rsidR="0061418D" w:rsidRDefault="001A13D9">
                                <w:r>
                                  <w:t>17 maart 2025</w:t>
                                </w:r>
                              </w:p>
                            </w:tc>
                          </w:tr>
                          <w:tr w:rsidR="00B42136" w14:paraId="049E7434" w14:textId="77777777">
                            <w:trPr>
                              <w:trHeight w:val="240"/>
                            </w:trPr>
                            <w:tc>
                              <w:tcPr>
                                <w:tcW w:w="1140" w:type="dxa"/>
                              </w:tcPr>
                              <w:p w14:paraId="62B87F78" w14:textId="77777777" w:rsidR="00B42136" w:rsidRDefault="00A47AB2">
                                <w:r>
                                  <w:t>Betreft</w:t>
                                </w:r>
                              </w:p>
                            </w:tc>
                            <w:tc>
                              <w:tcPr>
                                <w:tcW w:w="5918" w:type="dxa"/>
                              </w:tcPr>
                              <w:p w14:paraId="5AFF0638" w14:textId="77777777" w:rsidR="0061418D" w:rsidRDefault="00000000">
                                <w:fldSimple w:instr=" DOCPROPERTY  &quot;Onderwerp&quot;  \* MERGEFORMAT ">
                                  <w:r w:rsidR="001A13D9">
                                    <w:t>Antwoord op vragen van het lid Welzijn (Nieuw Sociaal Contract) aan de minister van Volkshuisvesting en Ruimtelijke Ordening over het AD-artikel 'Starter moet vette spaarpot hebben voor eerste woning: eigen vermogen van 91.000 euro vereist'</w:t>
                                  </w:r>
                                </w:fldSimple>
                              </w:p>
                            </w:tc>
                          </w:tr>
                        </w:tbl>
                        <w:p w14:paraId="4DDCAAE8" w14:textId="77777777" w:rsidR="00757C02" w:rsidRDefault="00757C02"/>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DBA08BD" id="1670fa0c-13cb-45ec-92be-ef1f34d237c5" o:spid="_x0000_s1034" type="#_x0000_t202" style="position:absolute;margin-left:80.25pt;margin-top:263.2pt;width:375.75pt;height:87.75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" filled="f" stroked="f">
              <v:textbox inset="0,0,0,0">
                <w:txbxContent>
                  <w:tbl>
                    <w:tblPr>
                      <w:tblW w:w="0" w:type="auto"/>
                      <w:tblLayout w:type="fixed"/>
                      <w:tblLook w:val="07E0" w:firstRow="1" w:lastRow="1" w:firstColumn="1" w:lastColumn="1" w:noHBand="1" w:noVBand="1"/>
                    </w:tblPr>
                    <w:tblGrid>
                      <w:gridCol w:w="1140"/>
                      <w:gridCol w:w="5918"/>
                    </w:tblGrid>
                    <w:tr w:rsidR="00B42136" w14:paraId="49C3419A" w14:textId="77777777">
                      <w:trPr>
                        <w:trHeight w:val="240"/>
                      </w:trPr>
                      <w:tc>
                        <w:tcPr>
                          <w:tcW w:w="1140" w:type="dxa"/>
                        </w:tcPr>
                        <w:p w14:paraId="2CE119C3" w14:textId="77777777" w:rsidR="00B42136" w:rsidRDefault="00A47AB2">
                          <w:r>
                            <w:t>Datum</w:t>
                          </w:r>
                        </w:p>
                      </w:tc>
                      <w:tc>
                        <w:tcPr>
                          <w:tcW w:w="5918" w:type="dxa"/>
                        </w:tcPr>
                        <w:p w14:paraId="52A61D6A" w14:textId="0F300E10" w:rsidR="0061418D" w:rsidRDefault="001A13D9">
                          <w:r>
                            <w:t>17 maart 2025</w:t>
                          </w:r>
                        </w:p>
                      </w:tc>
                    </w:tr>
                    <w:tr w:rsidR="00B42136" w14:paraId="049E7434" w14:textId="77777777">
                      <w:trPr>
                        <w:trHeight w:val="240"/>
                      </w:trPr>
                      <w:tc>
                        <w:tcPr>
                          <w:tcW w:w="1140" w:type="dxa"/>
                        </w:tcPr>
                        <w:p w14:paraId="62B87F78" w14:textId="77777777" w:rsidR="00B42136" w:rsidRDefault="00A47AB2">
                          <w:r>
                            <w:t>Betreft</w:t>
                          </w:r>
                        </w:p>
                      </w:tc>
                      <w:tc>
                        <w:tcPr>
                          <w:tcW w:w="5918" w:type="dxa"/>
                        </w:tcPr>
                        <w:p w14:paraId="5AFF0638" w14:textId="77777777" w:rsidR="0061418D" w:rsidRDefault="00000000">
                          <w:fldSimple w:instr=" DOCPROPERTY  &quot;Onderwerp&quot;  \* MERGEFORMAT ">
                            <w:r w:rsidR="001A13D9">
                              <w:t>Antwoord op vragen van het lid Welzijn (Nieuw Sociaal Contract) aan de minister van Volkshuisvesting en Ruimtelijke Ordening over het AD-artikel 'Starter moet vette spaarpot hebben voor eerste woning: eigen vermogen van 91.000 euro vereist'</w:t>
                            </w:r>
                          </w:fldSimple>
                        </w:p>
                      </w:tc>
                    </w:tr>
                  </w:tbl>
                  <w:p w14:paraId="4DDCAAE8" w14:textId="77777777" w:rsidR="00757C02" w:rsidRDefault="00757C02"/>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B61B202" wp14:editId="4DF6E313">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16C9636" w14:textId="77777777" w:rsidR="00B42136" w:rsidRDefault="00A47AB2">
                          <w:pPr>
                            <w:pStyle w:val="Referentiegegevensbold"/>
                          </w:pPr>
                          <w:r>
                            <w:t>DG Volkshuisvesting en Bouwen</w:t>
                          </w:r>
                        </w:p>
                        <w:p w14:paraId="6DCB8E8D" w14:textId="77777777" w:rsidR="00B42136" w:rsidRDefault="00A47AB2">
                          <w:pPr>
                            <w:pStyle w:val="Referentiegegevens"/>
                          </w:pPr>
                          <w:r>
                            <w:t>DGVB-WN-Koop &amp; Kapitaalmarkt</w:t>
                          </w:r>
                        </w:p>
                        <w:p w14:paraId="352897A8" w14:textId="77777777" w:rsidR="00B42136" w:rsidRDefault="00B42136">
                          <w:pPr>
                            <w:pStyle w:val="WitregelW1"/>
                          </w:pPr>
                        </w:p>
                        <w:p w14:paraId="714ED92D" w14:textId="77777777" w:rsidR="00B42136" w:rsidRDefault="00A47AB2">
                          <w:pPr>
                            <w:pStyle w:val="Referentiegegevens"/>
                          </w:pPr>
                          <w:r>
                            <w:t>Turfmarkt 147</w:t>
                          </w:r>
                        </w:p>
                        <w:p w14:paraId="78EE88AF" w14:textId="77777777" w:rsidR="00B42136" w:rsidRDefault="00A47AB2">
                          <w:pPr>
                            <w:pStyle w:val="Referentiegegevens"/>
                          </w:pPr>
                          <w:r>
                            <w:t>2511 DP  Den Haag</w:t>
                          </w:r>
                        </w:p>
                        <w:p w14:paraId="71FE8CCB" w14:textId="77777777" w:rsidR="00B42136" w:rsidRDefault="00B42136">
                          <w:pPr>
                            <w:pStyle w:val="WitregelW1"/>
                          </w:pPr>
                        </w:p>
                        <w:p w14:paraId="4D6C4540" w14:textId="77777777" w:rsidR="00B42136" w:rsidRDefault="00A47AB2">
                          <w:pPr>
                            <w:pStyle w:val="Referentiegegevensbold"/>
                          </w:pPr>
                          <w:r>
                            <w:t>Onze referentie</w:t>
                          </w:r>
                        </w:p>
                        <w:p w14:paraId="4DA98BAE" w14:textId="77777777" w:rsidR="0061418D" w:rsidRDefault="00000000">
                          <w:pPr>
                            <w:pStyle w:val="Referentiegegevens"/>
                          </w:pPr>
                          <w:fldSimple w:instr=" DOCPROPERTY  &quot;Kenmerk&quot;  \* MERGEFORMAT ">
                            <w:r w:rsidR="001A13D9">
                              <w:t>2025-0000219682</w:t>
                            </w:r>
                          </w:fldSimple>
                        </w:p>
                        <w:p w14:paraId="7C606D78" w14:textId="77777777" w:rsidR="00B42136" w:rsidRDefault="00B42136">
                          <w:pPr>
                            <w:pStyle w:val="WitregelW1"/>
                          </w:pPr>
                        </w:p>
                        <w:p w14:paraId="1A549DF1" w14:textId="77777777" w:rsidR="00B42136" w:rsidRDefault="00A47AB2">
                          <w:pPr>
                            <w:pStyle w:val="Referentiegegevensbold"/>
                          </w:pPr>
                          <w:r>
                            <w:t>Uw referentie</w:t>
                          </w:r>
                        </w:p>
                        <w:p w14:paraId="3B3BD814" w14:textId="77777777" w:rsidR="0061418D" w:rsidRDefault="00000000">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5B61B202"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716C9636" w14:textId="77777777" w:rsidR="00B42136" w:rsidRDefault="00A47AB2">
                    <w:pPr>
                      <w:pStyle w:val="Referentiegegevensbold"/>
                    </w:pPr>
                    <w:r>
                      <w:t>DG Volkshuisvesting en Bouwen</w:t>
                    </w:r>
                  </w:p>
                  <w:p w14:paraId="6DCB8E8D" w14:textId="77777777" w:rsidR="00B42136" w:rsidRDefault="00A47AB2">
                    <w:pPr>
                      <w:pStyle w:val="Referentiegegevens"/>
                    </w:pPr>
                    <w:r>
                      <w:t>DGVB-WN-Koop &amp; Kapitaalmarkt</w:t>
                    </w:r>
                  </w:p>
                  <w:p w14:paraId="352897A8" w14:textId="77777777" w:rsidR="00B42136" w:rsidRDefault="00B42136">
                    <w:pPr>
                      <w:pStyle w:val="WitregelW1"/>
                    </w:pPr>
                  </w:p>
                  <w:p w14:paraId="714ED92D" w14:textId="77777777" w:rsidR="00B42136" w:rsidRDefault="00A47AB2">
                    <w:pPr>
                      <w:pStyle w:val="Referentiegegevens"/>
                    </w:pPr>
                    <w:r>
                      <w:t>Turfmarkt 147</w:t>
                    </w:r>
                  </w:p>
                  <w:p w14:paraId="78EE88AF" w14:textId="77777777" w:rsidR="00B42136" w:rsidRDefault="00A47AB2">
                    <w:pPr>
                      <w:pStyle w:val="Referentiegegevens"/>
                    </w:pPr>
                    <w:r>
                      <w:t>2511 DP  Den Haag</w:t>
                    </w:r>
                  </w:p>
                  <w:p w14:paraId="71FE8CCB" w14:textId="77777777" w:rsidR="00B42136" w:rsidRDefault="00B42136">
                    <w:pPr>
                      <w:pStyle w:val="WitregelW1"/>
                    </w:pPr>
                  </w:p>
                  <w:p w14:paraId="4D6C4540" w14:textId="77777777" w:rsidR="00B42136" w:rsidRDefault="00A47AB2">
                    <w:pPr>
                      <w:pStyle w:val="Referentiegegevensbold"/>
                    </w:pPr>
                    <w:r>
                      <w:t>Onze referentie</w:t>
                    </w:r>
                  </w:p>
                  <w:p w14:paraId="4DA98BAE" w14:textId="77777777" w:rsidR="0061418D" w:rsidRDefault="00000000">
                    <w:pPr>
                      <w:pStyle w:val="Referentiegegevens"/>
                    </w:pPr>
                    <w:fldSimple w:instr=" DOCPROPERTY  &quot;Kenmerk&quot;  \* MERGEFORMAT ">
                      <w:r w:rsidR="001A13D9">
                        <w:t>2025-0000219682</w:t>
                      </w:r>
                    </w:fldSimple>
                  </w:p>
                  <w:p w14:paraId="7C606D78" w14:textId="77777777" w:rsidR="00B42136" w:rsidRDefault="00B42136">
                    <w:pPr>
                      <w:pStyle w:val="WitregelW1"/>
                    </w:pPr>
                  </w:p>
                  <w:p w14:paraId="1A549DF1" w14:textId="77777777" w:rsidR="00B42136" w:rsidRDefault="00A47AB2">
                    <w:pPr>
                      <w:pStyle w:val="Referentiegegevensbold"/>
                    </w:pPr>
                    <w:r>
                      <w:t>Uw referentie</w:t>
                    </w:r>
                  </w:p>
                  <w:p w14:paraId="3B3BD814" w14:textId="77777777" w:rsidR="0061418D" w:rsidRDefault="00000000">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3721C68" wp14:editId="1BB886B8">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2DC2637" w14:textId="77777777" w:rsidR="0061418D"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3721C68"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22DC2637" w14:textId="77777777" w:rsidR="0061418D"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114F885" wp14:editId="6C8EB837">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0F456D2" w14:textId="77777777" w:rsidR="00757C02" w:rsidRDefault="00757C02"/>
                      </w:txbxContent>
                    </wps:txbx>
                    <wps:bodyPr vert="horz" wrap="square" lIns="0" tIns="0" rIns="0" bIns="0" anchor="t" anchorCtr="0"/>
                  </wps:wsp>
                </a:graphicData>
              </a:graphic>
            </wp:anchor>
          </w:drawing>
        </mc:Choice>
        <mc:Fallback>
          <w:pict>
            <v:shape w14:anchorId="1114F885"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50F456D2" w14:textId="77777777" w:rsidR="00757C02" w:rsidRDefault="00757C0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A3178C9"/>
    <w:multiLevelType w:val="multilevel"/>
    <w:tmpl w:val="315E794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F69110A3"/>
    <w:multiLevelType w:val="multilevel"/>
    <w:tmpl w:val="24A1A069"/>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2695A337"/>
    <w:multiLevelType w:val="multilevel"/>
    <w:tmpl w:val="6327854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6678B73E"/>
    <w:multiLevelType w:val="multilevel"/>
    <w:tmpl w:val="3B89AC0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6D1F7E58"/>
    <w:multiLevelType w:val="hybridMultilevel"/>
    <w:tmpl w:val="0BAAC0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ED5A891"/>
    <w:multiLevelType w:val="multilevel"/>
    <w:tmpl w:val="193E607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473064686">
    <w:abstractNumId w:val="1"/>
  </w:num>
  <w:num w:numId="2" w16cid:durableId="1791363632">
    <w:abstractNumId w:val="0"/>
  </w:num>
  <w:num w:numId="3" w16cid:durableId="1945186330">
    <w:abstractNumId w:val="5"/>
  </w:num>
  <w:num w:numId="4" w16cid:durableId="316766120">
    <w:abstractNumId w:val="2"/>
  </w:num>
  <w:num w:numId="5" w16cid:durableId="1585872499">
    <w:abstractNumId w:val="3"/>
  </w:num>
  <w:num w:numId="6" w16cid:durableId="6041930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E6C"/>
    <w:rsid w:val="0004746D"/>
    <w:rsid w:val="000B462D"/>
    <w:rsid w:val="001918D1"/>
    <w:rsid w:val="001A13D9"/>
    <w:rsid w:val="001A603A"/>
    <w:rsid w:val="001D24D4"/>
    <w:rsid w:val="00253A98"/>
    <w:rsid w:val="002A07EC"/>
    <w:rsid w:val="002B38EB"/>
    <w:rsid w:val="00357F95"/>
    <w:rsid w:val="00382646"/>
    <w:rsid w:val="003A60CC"/>
    <w:rsid w:val="00497298"/>
    <w:rsid w:val="005E324B"/>
    <w:rsid w:val="00612FFC"/>
    <w:rsid w:val="0061418D"/>
    <w:rsid w:val="00620E6C"/>
    <w:rsid w:val="0064591D"/>
    <w:rsid w:val="00712D35"/>
    <w:rsid w:val="00757C02"/>
    <w:rsid w:val="00767F6C"/>
    <w:rsid w:val="00775C09"/>
    <w:rsid w:val="00855721"/>
    <w:rsid w:val="008612DB"/>
    <w:rsid w:val="00966249"/>
    <w:rsid w:val="009E2F2E"/>
    <w:rsid w:val="00A47AB2"/>
    <w:rsid w:val="00B42136"/>
    <w:rsid w:val="00B606E4"/>
    <w:rsid w:val="00C47CDF"/>
    <w:rsid w:val="00C50E60"/>
    <w:rsid w:val="00C60DF6"/>
    <w:rsid w:val="00CC1E06"/>
    <w:rsid w:val="00CE3D68"/>
    <w:rsid w:val="00D073BD"/>
    <w:rsid w:val="00D25AB8"/>
    <w:rsid w:val="00D8470F"/>
    <w:rsid w:val="00E0226A"/>
    <w:rsid w:val="00E5744B"/>
    <w:rsid w:val="00E9002B"/>
    <w:rsid w:val="00F13AC6"/>
    <w:rsid w:val="00F73E03"/>
    <w:rsid w:val="00FF22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1888"/>
  <w15:docId w15:val="{B152BF6C-0883-420F-93AB-D3BCFEC68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20E6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20E6C"/>
    <w:rPr>
      <w:rFonts w:ascii="Verdana" w:hAnsi="Verdana"/>
      <w:color w:val="000000"/>
      <w:sz w:val="18"/>
      <w:szCs w:val="18"/>
    </w:rPr>
  </w:style>
  <w:style w:type="paragraph" w:styleId="Voettekst">
    <w:name w:val="footer"/>
    <w:basedOn w:val="Standaard"/>
    <w:link w:val="VoettekstChar"/>
    <w:uiPriority w:val="99"/>
    <w:unhideWhenUsed/>
    <w:rsid w:val="00620E6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20E6C"/>
    <w:rPr>
      <w:rFonts w:ascii="Verdana" w:hAnsi="Verdana"/>
      <w:color w:val="000000"/>
      <w:sz w:val="18"/>
      <w:szCs w:val="18"/>
    </w:rPr>
  </w:style>
  <w:style w:type="paragraph" w:styleId="Lijstalinea">
    <w:name w:val="List Paragraph"/>
    <w:basedOn w:val="Standaard"/>
    <w:uiPriority w:val="34"/>
    <w:qFormat/>
    <w:rsid w:val="00620E6C"/>
    <w:pPr>
      <w:autoSpaceDN/>
      <w:spacing w:after="160" w:line="278" w:lineRule="auto"/>
      <w:ind w:left="720"/>
      <w:contextualSpacing/>
      <w:textAlignment w:val="auto"/>
    </w:pPr>
    <w:rPr>
      <w:rFonts w:asciiTheme="minorHAnsi" w:eastAsiaTheme="minorHAnsi" w:hAnsiTheme="minorHAnsi" w:cstheme="minorBidi"/>
      <w:color w:val="auto"/>
      <w:kern w:val="2"/>
      <w:sz w:val="24"/>
      <w:szCs w:val="24"/>
      <w:lang w:eastAsia="en-US"/>
      <w14:ligatures w14:val="standardContextual"/>
    </w:rPr>
  </w:style>
  <w:style w:type="paragraph" w:styleId="Voetnoottekst">
    <w:name w:val="footnote text"/>
    <w:basedOn w:val="Standaard"/>
    <w:link w:val="VoetnoottekstChar"/>
    <w:uiPriority w:val="99"/>
    <w:semiHidden/>
    <w:unhideWhenUsed/>
    <w:rsid w:val="00620E6C"/>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620E6C"/>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620E6C"/>
    <w:rPr>
      <w:vertAlign w:val="superscript"/>
    </w:rPr>
  </w:style>
  <w:style w:type="character" w:styleId="Onopgelostemelding">
    <w:name w:val="Unresolved Mention"/>
    <w:basedOn w:val="Standaardalinea-lettertype"/>
    <w:uiPriority w:val="99"/>
    <w:semiHidden/>
    <w:unhideWhenUsed/>
    <w:rsid w:val="00620E6C"/>
    <w:rPr>
      <w:color w:val="605E5C"/>
      <w:shd w:val="clear" w:color="auto" w:fill="E1DFDD"/>
    </w:rPr>
  </w:style>
  <w:style w:type="paragraph" w:styleId="Revisie">
    <w:name w:val="Revision"/>
    <w:hidden/>
    <w:uiPriority w:val="99"/>
    <w:semiHidden/>
    <w:rsid w:val="00C50E60"/>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C50E60"/>
    <w:rPr>
      <w:sz w:val="16"/>
      <w:szCs w:val="16"/>
    </w:rPr>
  </w:style>
  <w:style w:type="paragraph" w:styleId="Tekstopmerking">
    <w:name w:val="annotation text"/>
    <w:basedOn w:val="Standaard"/>
    <w:link w:val="TekstopmerkingChar"/>
    <w:uiPriority w:val="99"/>
    <w:unhideWhenUsed/>
    <w:rsid w:val="00C50E60"/>
    <w:pPr>
      <w:spacing w:line="240" w:lineRule="auto"/>
    </w:pPr>
    <w:rPr>
      <w:sz w:val="20"/>
      <w:szCs w:val="20"/>
    </w:rPr>
  </w:style>
  <w:style w:type="character" w:customStyle="1" w:styleId="TekstopmerkingChar">
    <w:name w:val="Tekst opmerking Char"/>
    <w:basedOn w:val="Standaardalinea-lettertype"/>
    <w:link w:val="Tekstopmerking"/>
    <w:uiPriority w:val="99"/>
    <w:rsid w:val="00C50E6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50E60"/>
    <w:rPr>
      <w:b/>
      <w:bCs/>
    </w:rPr>
  </w:style>
  <w:style w:type="character" w:customStyle="1" w:styleId="OnderwerpvanopmerkingChar">
    <w:name w:val="Onderwerp van opmerking Char"/>
    <w:basedOn w:val="TekstopmerkingChar"/>
    <w:link w:val="Onderwerpvanopmerking"/>
    <w:uiPriority w:val="99"/>
    <w:semiHidden/>
    <w:rsid w:val="00C50E60"/>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webSetting" Target="webSettings0.xml" Id="rId23"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chart" Target="charts/chart1.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actueel/nieuws/2022/03/08/kabinet-verlaagt-schenkingsvrijstelling-eigen-woning-per-1-januari-2023" TargetMode="External"/><Relationship Id="rId2" Type="http://schemas.openxmlformats.org/officeDocument/2006/relationships/hyperlink" Target="https://www.kop-munt.nl/kop/archief/kopers-jonger-dan-35-jaar-namen-in-2024-bijna-drie-keer-zoveel-eigen-vermogen-mee-als-in-2017/" TargetMode="External"/><Relationship Id="rId1" Type="http://schemas.openxmlformats.org/officeDocument/2006/relationships/hyperlink" Target="https://hdn.nl/over-ons/" TargetMode="External"/><Relationship Id="rId6" Type="http://schemas.openxmlformats.org/officeDocument/2006/relationships/hyperlink" Target="https://esb.nu/voordeel-familiehypotheek-groter-dan-jubelton/" TargetMode="External"/><Relationship Id="rId5" Type="http://schemas.openxmlformats.org/officeDocument/2006/relationships/hyperlink" Target="https://onlinelibrary.wiley.com/doi/10.1111/roiw.12644?msockid=25a8fd62213c6eab2410e87a209f6f86" TargetMode="External"/><Relationship Id="rId4" Type="http://schemas.openxmlformats.org/officeDocument/2006/relationships/hyperlink" Target="https://onlinelibrary.wiley.com/doi/10.1111/roiw.12644?msockid=25a8fd62213c6eab2410e87a209f6f86"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2).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H:\Mijn%20documenten\Starters\Startersonderzoekje\MvBZ_Data%20verzoek_%20starters%20data_202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Eigen</a:t>
            </a:r>
            <a:r>
              <a:rPr lang="nl-NL" baseline="0"/>
              <a:t> Inbreng Starters (HDN) </a:t>
            </a:r>
            <a:endParaRPr lang="nl-N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lineChart>
        <c:grouping val="standard"/>
        <c:varyColors val="0"/>
        <c:ser>
          <c:idx val="0"/>
          <c:order val="0"/>
          <c:tx>
            <c:strRef>
              <c:f>'Ontwikkeling starter (grafiek)'!$I$3</c:f>
              <c:strCache>
                <c:ptCount val="1"/>
                <c:pt idx="0">
                  <c:v>Starter</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'Ontwikkeling starter (grafiek)'!$H$4:$H$8</c:f>
              <c:numCache>
                <c:formatCode>General</c:formatCode>
                <c:ptCount val="5"/>
                <c:pt idx="0">
                  <c:v>2020</c:v>
                </c:pt>
                <c:pt idx="1">
                  <c:v>2021</c:v>
                </c:pt>
                <c:pt idx="2">
                  <c:v>2022</c:v>
                </c:pt>
                <c:pt idx="3">
                  <c:v>2023</c:v>
                </c:pt>
                <c:pt idx="4">
                  <c:v>2024</c:v>
                </c:pt>
              </c:numCache>
            </c:numRef>
          </c:cat>
          <c:val>
            <c:numRef>
              <c:f>'Ontwikkeling starter (grafiek)'!$I$4:$I$8</c:f>
              <c:numCache>
                <c:formatCode>_ "€"\ * #,##0_ ;_ "€"\ * \-#,##0_ ;_ "€"\ * "-"??_ ;_ @_ </c:formatCode>
                <c:ptCount val="5"/>
                <c:pt idx="0">
                  <c:v>34114</c:v>
                </c:pt>
                <c:pt idx="1">
                  <c:v>47529</c:v>
                </c:pt>
                <c:pt idx="2">
                  <c:v>56114</c:v>
                </c:pt>
                <c:pt idx="3">
                  <c:v>47415</c:v>
                </c:pt>
                <c:pt idx="4">
                  <c:v>48379</c:v>
                </c:pt>
              </c:numCache>
            </c:numRef>
          </c:val>
          <c:smooth val="0"/>
          <c:extLst>
            <c:ext xmlns:c16="http://schemas.microsoft.com/office/drawing/2014/chart" uri="{C3380CC4-5D6E-409C-BE32-E72D297353CC}">
              <c16:uniqueId val="{00000000-FE0C-42E4-ACEF-F61AB2150A24}"/>
            </c:ext>
          </c:extLst>
        </c:ser>
        <c:dLbls>
          <c:showLegendKey val="0"/>
          <c:showVal val="0"/>
          <c:showCatName val="0"/>
          <c:showSerName val="0"/>
          <c:showPercent val="0"/>
          <c:showBubbleSize val="0"/>
        </c:dLbls>
        <c:smooth val="0"/>
        <c:axId val="1111037999"/>
        <c:axId val="1111043759"/>
        <c:extLst>
          <c:ext xmlns:c15="http://schemas.microsoft.com/office/drawing/2012/chart" uri="{02D57815-91ED-43cb-92C2-25804820EDAC}">
            <c15:filteredLineSeries>
              <c15:ser>
                <c:idx val="1"/>
                <c:order val="1"/>
                <c:tx>
                  <c:strRef>
                    <c:extLst>
                      <c:ext uri="{02D57815-91ED-43cb-92C2-25804820EDAC}">
                        <c15:formulaRef>
                          <c15:sqref>'Ontwikkeling starter (grafiek)'!$J$3</c15:sqref>
                        </c15:formulaRef>
                      </c:ext>
                    </c:extLst>
                    <c:strCache>
                      <c:ptCount val="1"/>
                      <c:pt idx="0">
                        <c:v>Starter hoog segment</c:v>
                      </c:pt>
                    </c:strCache>
                  </c:strRef>
                </c:tx>
                <c:spPr>
                  <a:ln w="28575" cap="rnd">
                    <a:solidFill>
                      <a:schemeClr val="accent2"/>
                    </a:solidFill>
                    <a:round/>
                  </a:ln>
                  <a:effectLst/>
                </c:spPr>
                <c:marker>
                  <c:symbol val="none"/>
                </c:marker>
                <c:cat>
                  <c:numRef>
                    <c:extLst>
                      <c:ext uri="{02D57815-91ED-43cb-92C2-25804820EDAC}">
                        <c15:formulaRef>
                          <c15:sqref>'Ontwikkeling starter (grafiek)'!$H$4:$H$8</c15:sqref>
                        </c15:formulaRef>
                      </c:ext>
                    </c:extLst>
                    <c:numCache>
                      <c:formatCode>General</c:formatCode>
                      <c:ptCount val="5"/>
                      <c:pt idx="0">
                        <c:v>2020</c:v>
                      </c:pt>
                      <c:pt idx="1">
                        <c:v>2021</c:v>
                      </c:pt>
                      <c:pt idx="2">
                        <c:v>2022</c:v>
                      </c:pt>
                      <c:pt idx="3">
                        <c:v>2023</c:v>
                      </c:pt>
                      <c:pt idx="4">
                        <c:v>2024</c:v>
                      </c:pt>
                    </c:numCache>
                  </c:numRef>
                </c:cat>
                <c:val>
                  <c:numRef>
                    <c:extLst>
                      <c:ext uri="{02D57815-91ED-43cb-92C2-25804820EDAC}">
                        <c15:formulaRef>
                          <c15:sqref>'Ontwikkeling starter (grafiek)'!$J$4:$J$8</c15:sqref>
                        </c15:formulaRef>
                      </c:ext>
                    </c:extLst>
                    <c:numCache>
                      <c:formatCode>_ "€"\ * #,##0_ ;_ "€"\ * \-#,##0_ ;_ "€"\ * "-"??_ ;_ @_ </c:formatCode>
                      <c:ptCount val="5"/>
                      <c:pt idx="0">
                        <c:v>77900</c:v>
                      </c:pt>
                      <c:pt idx="1">
                        <c:v>94359.631631246419</c:v>
                      </c:pt>
                      <c:pt idx="2">
                        <c:v>116698.37324043206</c:v>
                      </c:pt>
                      <c:pt idx="3">
                        <c:v>101606.04354835913</c:v>
                      </c:pt>
                      <c:pt idx="4">
                        <c:v>106486.70684501796</c:v>
                      </c:pt>
                    </c:numCache>
                  </c:numRef>
                </c:val>
                <c:smooth val="0"/>
                <c:extLst>
                  <c:ext xmlns:c16="http://schemas.microsoft.com/office/drawing/2014/chart" uri="{C3380CC4-5D6E-409C-BE32-E72D297353CC}">
                    <c16:uniqueId val="{00000001-FE0C-42E4-ACEF-F61AB2150A24}"/>
                  </c:ext>
                </c:extLst>
              </c15:ser>
            </c15:filteredLineSeries>
            <c15:filteredLineSeries>
              <c15:ser>
                <c:idx val="2"/>
                <c:order val="2"/>
                <c:tx>
                  <c:strRef>
                    <c:extLst xmlns:c15="http://schemas.microsoft.com/office/drawing/2012/chart">
                      <c:ext xmlns:c15="http://schemas.microsoft.com/office/drawing/2012/chart" uri="{02D57815-91ED-43cb-92C2-25804820EDAC}">
                        <c15:formulaRef>
                          <c15:sqref>'Ontwikkeling starter (grafiek)'!$K$3</c15:sqref>
                        </c15:formulaRef>
                      </c:ext>
                    </c:extLst>
                    <c:strCache>
                      <c:ptCount val="1"/>
                      <c:pt idx="0">
                        <c:v>Starter jong</c:v>
                      </c:pt>
                    </c:strCache>
                  </c:strRef>
                </c:tx>
                <c:spPr>
                  <a:ln w="28575" cap="rnd">
                    <a:solidFill>
                      <a:schemeClr val="accent3"/>
                    </a:solidFill>
                    <a:round/>
                  </a:ln>
                  <a:effectLst/>
                </c:spPr>
                <c:marker>
                  <c:symbol val="none"/>
                </c:marker>
                <c:cat>
                  <c:numRef>
                    <c:extLst xmlns:c15="http://schemas.microsoft.com/office/drawing/2012/chart">
                      <c:ext xmlns:c15="http://schemas.microsoft.com/office/drawing/2012/chart" uri="{02D57815-91ED-43cb-92C2-25804820EDAC}">
                        <c15:formulaRef>
                          <c15:sqref>'Ontwikkeling starter (grafiek)'!$H$4:$H$8</c15:sqref>
                        </c15:formulaRef>
                      </c:ext>
                    </c:extLst>
                    <c:numCache>
                      <c:formatCode>General</c:formatCode>
                      <c:ptCount val="5"/>
                      <c:pt idx="0">
                        <c:v>2020</c:v>
                      </c:pt>
                      <c:pt idx="1">
                        <c:v>2021</c:v>
                      </c:pt>
                      <c:pt idx="2">
                        <c:v>2022</c:v>
                      </c:pt>
                      <c:pt idx="3">
                        <c:v>2023</c:v>
                      </c:pt>
                      <c:pt idx="4">
                        <c:v>2024</c:v>
                      </c:pt>
                    </c:numCache>
                  </c:numRef>
                </c:cat>
                <c:val>
                  <c:numRef>
                    <c:extLst xmlns:c15="http://schemas.microsoft.com/office/drawing/2012/chart">
                      <c:ext xmlns:c15="http://schemas.microsoft.com/office/drawing/2012/chart" uri="{02D57815-91ED-43cb-92C2-25804820EDAC}">
                        <c15:formulaRef>
                          <c15:sqref>'Ontwikkeling starter (grafiek)'!$K$4:$K$8</c15:sqref>
                        </c15:formulaRef>
                      </c:ext>
                    </c:extLst>
                    <c:numCache>
                      <c:formatCode>_ "€"\ * #,##0_ ;_ "€"\ * \-#,##0_ ;_ "€"\ * "-"??_ ;_ @_ </c:formatCode>
                      <c:ptCount val="5"/>
                      <c:pt idx="0">
                        <c:v>27286</c:v>
                      </c:pt>
                      <c:pt idx="1">
                        <c:v>38762.221862142818</c:v>
                      </c:pt>
                      <c:pt idx="2">
                        <c:v>51353.127003322676</c:v>
                      </c:pt>
                      <c:pt idx="3">
                        <c:v>45051.652402309439</c:v>
                      </c:pt>
                      <c:pt idx="4">
                        <c:v>48446.933887872903</c:v>
                      </c:pt>
                    </c:numCache>
                  </c:numRef>
                </c:val>
                <c:smooth val="0"/>
                <c:extLst xmlns:c15="http://schemas.microsoft.com/office/drawing/2012/chart">
                  <c:ext xmlns:c16="http://schemas.microsoft.com/office/drawing/2014/chart" uri="{C3380CC4-5D6E-409C-BE32-E72D297353CC}">
                    <c16:uniqueId val="{00000002-FE0C-42E4-ACEF-F61AB2150A24}"/>
                  </c:ext>
                </c:extLst>
              </c15:ser>
            </c15:filteredLineSeries>
            <c15:filteredLineSeries>
              <c15:ser>
                <c:idx val="3"/>
                <c:order val="3"/>
                <c:tx>
                  <c:strRef>
                    <c:extLst xmlns:c15="http://schemas.microsoft.com/office/drawing/2012/chart">
                      <c:ext xmlns:c15="http://schemas.microsoft.com/office/drawing/2012/chart" uri="{02D57815-91ED-43cb-92C2-25804820EDAC}">
                        <c15:formulaRef>
                          <c15:sqref>'Ontwikkeling starter (grafiek)'!$L$3</c15:sqref>
                        </c15:formulaRef>
                      </c:ext>
                    </c:extLst>
                    <c:strCache>
                      <c:ptCount val="1"/>
                      <c:pt idx="0">
                        <c:v>Starter stabiel</c:v>
                      </c:pt>
                    </c:strCache>
                  </c:strRef>
                </c:tx>
                <c:spPr>
                  <a:ln w="28575" cap="rnd">
                    <a:solidFill>
                      <a:schemeClr val="accent4"/>
                    </a:solidFill>
                    <a:round/>
                  </a:ln>
                  <a:effectLst/>
                </c:spPr>
                <c:marker>
                  <c:symbol val="none"/>
                </c:marker>
                <c:cat>
                  <c:numRef>
                    <c:extLst xmlns:c15="http://schemas.microsoft.com/office/drawing/2012/chart">
                      <c:ext xmlns:c15="http://schemas.microsoft.com/office/drawing/2012/chart" uri="{02D57815-91ED-43cb-92C2-25804820EDAC}">
                        <c15:formulaRef>
                          <c15:sqref>'Ontwikkeling starter (grafiek)'!$H$4:$H$8</c15:sqref>
                        </c15:formulaRef>
                      </c:ext>
                    </c:extLst>
                    <c:numCache>
                      <c:formatCode>General</c:formatCode>
                      <c:ptCount val="5"/>
                      <c:pt idx="0">
                        <c:v>2020</c:v>
                      </c:pt>
                      <c:pt idx="1">
                        <c:v>2021</c:v>
                      </c:pt>
                      <c:pt idx="2">
                        <c:v>2022</c:v>
                      </c:pt>
                      <c:pt idx="3">
                        <c:v>2023</c:v>
                      </c:pt>
                      <c:pt idx="4">
                        <c:v>2024</c:v>
                      </c:pt>
                    </c:numCache>
                  </c:numRef>
                </c:cat>
                <c:val>
                  <c:numRef>
                    <c:extLst xmlns:c15="http://schemas.microsoft.com/office/drawing/2012/chart">
                      <c:ext xmlns:c15="http://schemas.microsoft.com/office/drawing/2012/chart" uri="{02D57815-91ED-43cb-92C2-25804820EDAC}">
                        <c15:formulaRef>
                          <c15:sqref>'Ontwikkeling starter (grafiek)'!$L$4:$L$8</c15:sqref>
                        </c15:formulaRef>
                      </c:ext>
                    </c:extLst>
                    <c:numCache>
                      <c:formatCode>_ "€"\ * #,##0_ ;_ "€"\ * \-#,##0_ ;_ "€"\ * "-"??_ ;_ @_ </c:formatCode>
                      <c:ptCount val="5"/>
                      <c:pt idx="0">
                        <c:v>24988</c:v>
                      </c:pt>
                      <c:pt idx="1">
                        <c:v>32387.289152746176</c:v>
                      </c:pt>
                      <c:pt idx="2">
                        <c:v>40304.376634234912</c:v>
                      </c:pt>
                      <c:pt idx="3">
                        <c:v>41054.865070053609</c:v>
                      </c:pt>
                      <c:pt idx="4">
                        <c:v>44970.506810991967</c:v>
                      </c:pt>
                    </c:numCache>
                  </c:numRef>
                </c:val>
                <c:smooth val="0"/>
                <c:extLst xmlns:c15="http://schemas.microsoft.com/office/drawing/2012/chart">
                  <c:ext xmlns:c16="http://schemas.microsoft.com/office/drawing/2014/chart" uri="{C3380CC4-5D6E-409C-BE32-E72D297353CC}">
                    <c16:uniqueId val="{00000003-FE0C-42E4-ACEF-F61AB2150A24}"/>
                  </c:ext>
                </c:extLst>
              </c15:ser>
            </c15:filteredLineSeries>
          </c:ext>
        </c:extLst>
      </c:lineChart>
      <c:catAx>
        <c:axId val="11110379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111043759"/>
        <c:crosses val="autoZero"/>
        <c:auto val="1"/>
        <c:lblAlgn val="ctr"/>
        <c:lblOffset val="100"/>
        <c:noMultiLvlLbl val="0"/>
      </c:catAx>
      <c:valAx>
        <c:axId val="1111043759"/>
        <c:scaling>
          <c:orientation val="minMax"/>
        </c:scaling>
        <c:delete val="0"/>
        <c:axPos val="l"/>
        <c:majorGridlines>
          <c:spPr>
            <a:ln w="9525" cap="flat" cmpd="sng" algn="ctr">
              <a:solidFill>
                <a:schemeClr val="tx1">
                  <a:lumMod val="15000"/>
                  <a:lumOff val="85000"/>
                </a:schemeClr>
              </a:solidFill>
              <a:round/>
            </a:ln>
            <a:effectLst/>
          </c:spPr>
        </c:majorGridlines>
        <c:numFmt formatCode="_ &quot;€&quot;\ * #,##0_ ;_ &quot;€&quot;\ * \-#,##0_ ;_ &quot;€&quot;\ * &quot;-&quot;??_ ;_ @_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1110379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1212</ap:Words>
  <ap:Characters>6666</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Brief - Antwoord op vragen van het lid Welzijn (Nieuw Sociaal Contract) aan de minister van Volkshuisvesting en Ruimtelijke Ordening over het AD-artikel 'Starter moet vette spaarpot hebben voor eerste woning: eigen vermogen van 91.000 euro vereist'</vt:lpstr>
    </vt:vector>
  </ap:TitlesOfParts>
  <ap:LinksUpToDate>false</ap:LinksUpToDate>
  <ap:CharactersWithSpaces>7863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2025-03-11T15:30:00.0000000Z</dcterms:created>
  <dcterms:modified xsi:type="dcterms:W3CDTF">2025-03-17T14:05:00.0000000Z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Antwoord op vragen van het lid Welzijn (Nieuw Sociaal Contract) aan de minister van Volkshuisvesting en Ruimtelijke Ordening over het AD-artikel 'Starter moet vette spaarpot hebben voor eerste woning: eigen vermogen van 91.000 euro vereist'</vt:lpwstr>
  </property>
  <property fmtid="{D5CDD505-2E9C-101B-9397-08002B2CF9AE}" pid="5" name="Publicatiedatum">
    <vt:lpwstr/>
  </property>
  <property fmtid="{D5CDD505-2E9C-101B-9397-08002B2CF9AE}" pid="6" name="Verantwoordelijke organisatie">
    <vt:lpwstr>DGVB-WN-Koop &amp; Kapitaalmarkt</vt:lpwstr>
  </property>
  <property fmtid="{D5CDD505-2E9C-101B-9397-08002B2CF9AE}" pid="7" name="Taal">
    <vt:lpwstr>nl_NL</vt:lpwstr>
  </property>
  <property fmtid="{D5CDD505-2E9C-101B-9397-08002B2CF9AE}" pid="8" name="Inhoudsindicatie">
    <vt:lpwstr>_x000d_
Antwoord op vragen van het lid Welzijn (Nieuw Sociaal Contract) aan de minister van Volkshuisvesting en Ruimtelijke Ordening over het AD-artikel 'Starter moet vette spaarpot hebben voor eerste woning: eigen vermogen van 91.000 euro vereist' (ingezonden 21 februari 2025)_x000d_
</vt:lpwstr>
  </property>
  <property fmtid="{D5CDD505-2E9C-101B-9397-08002B2CF9AE}" pid="9" name="Status">
    <vt:lpwstr/>
  </property>
  <property fmtid="{D5CDD505-2E9C-101B-9397-08002B2CF9AE}" pid="10" name="Aan">
    <vt:lpwstr>_x000d_
</vt:lpwstr>
  </property>
  <property fmtid="{D5CDD505-2E9C-101B-9397-08002B2CF9AE}" pid="11" name="Van">
    <vt:lpwstr/>
  </property>
  <property fmtid="{D5CDD505-2E9C-101B-9397-08002B2CF9AE}" pid="12" name="Datum">
    <vt:lpwstr>12 maart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2025-0000219682</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Antwoord op vragen van het lid Welzijn (Nieuw Sociaal Contract) aan de minister van Volkshuisvesting en Ruimtelijke Ordening over het AD-artikel 'Starter moet vette spaarpot hebben voor eerste woning: eigen vermogen van 91.000 euro vereist'</vt:lpwstr>
  </property>
  <property fmtid="{D5CDD505-2E9C-101B-9397-08002B2CF9AE}" pid="30" name="UwKenmerk">
    <vt:lpwstr/>
  </property>
</Properties>
</file>