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671E" w:rsidP="00E1671E" w:rsidRDefault="00E1671E" w14:paraId="0FCFBD1A" w14:textId="72050CB8">
      <w:pPr>
        <w:autoSpaceDE w:val="0"/>
        <w:adjustRightInd w:val="0"/>
        <w:spacing w:line="240" w:lineRule="auto"/>
        <w:rPr>
          <w:rFonts w:eastAsia="DejaVuSerifCondensed" w:cs="DejaVuSerifCondensed"/>
        </w:rPr>
      </w:pPr>
      <w:r>
        <w:rPr>
          <w:rFonts w:eastAsia="DejaVuSerifCondensed" w:cs="DejaVuSerifCondensed"/>
        </w:rPr>
        <w:t>AH 1658</w:t>
      </w:r>
    </w:p>
    <w:p w:rsidR="00E1671E" w:rsidP="00E1671E" w:rsidRDefault="00E1671E" w14:paraId="32569259" w14:textId="168FE688">
      <w:pPr>
        <w:autoSpaceDE w:val="0"/>
        <w:adjustRightInd w:val="0"/>
        <w:spacing w:line="240" w:lineRule="auto"/>
        <w:rPr>
          <w:rFonts w:eastAsia="DejaVuSerifCondensed" w:cs="DejaVuSerifCondensed"/>
        </w:rPr>
      </w:pPr>
      <w:r>
        <w:rPr>
          <w:rFonts w:eastAsia="DejaVuSerifCondensed" w:cs="DejaVuSerifCondensed"/>
        </w:rPr>
        <w:t>2025Z04032</w:t>
      </w:r>
    </w:p>
    <w:p w:rsidR="00E1671E" w:rsidP="00E1671E" w:rsidRDefault="00E1671E" w14:paraId="70D9FCE5" w14:textId="50DF029F">
      <w:pPr>
        <w:autoSpaceDE w:val="0"/>
        <w:adjustRightInd w:val="0"/>
        <w:spacing w:line="240" w:lineRule="auto"/>
        <w:rPr>
          <w:rFonts w:eastAsia="DejaVuSerifCondensed" w:cs="DejaVuSerifCondensed"/>
          <w:sz w:val="24"/>
          <w:szCs w:val="24"/>
        </w:rPr>
      </w:pPr>
      <w:r w:rsidRPr="00E1671E">
        <w:rPr>
          <w:rFonts w:eastAsia="DejaVuSerifCondensed" w:cs="DejaVuSerifCondensed"/>
          <w:sz w:val="24"/>
          <w:szCs w:val="24"/>
        </w:rPr>
        <w:t>Antwoord van minister Van Hijum (Sociale Zaken en Werkgelegenheid) (ontvangen</w:t>
      </w:r>
      <w:r>
        <w:rPr>
          <w:rFonts w:eastAsia="DejaVuSerifCondensed" w:cs="DejaVuSerifCondensed"/>
          <w:sz w:val="24"/>
          <w:szCs w:val="24"/>
        </w:rPr>
        <w:t xml:space="preserve"> 18 maart 2025)</w:t>
      </w:r>
    </w:p>
    <w:p w:rsidR="00E1671E" w:rsidP="00E1671E" w:rsidRDefault="00E1671E" w14:paraId="0D2434B0" w14:textId="77777777">
      <w:pPr>
        <w:autoSpaceDE w:val="0"/>
        <w:adjustRightInd w:val="0"/>
        <w:spacing w:line="240" w:lineRule="auto"/>
        <w:rPr>
          <w:rFonts w:eastAsia="DejaVuSerifCondensed" w:cs="DejaVuSerifCondensed"/>
        </w:rPr>
      </w:pPr>
    </w:p>
    <w:p w:rsidR="00E1671E" w:rsidP="00E1671E" w:rsidRDefault="00E1671E" w14:paraId="2F9645D2" w14:textId="77777777">
      <w:pPr>
        <w:autoSpaceDE w:val="0"/>
        <w:adjustRightInd w:val="0"/>
        <w:spacing w:line="240" w:lineRule="auto"/>
        <w:rPr>
          <w:rFonts w:eastAsia="DejaVuSerifCondensed" w:cs="DejaVuSerifCondensed"/>
        </w:rPr>
      </w:pPr>
      <w:r>
        <w:rPr>
          <w:rFonts w:eastAsia="DejaVuSerifCondensed" w:cs="DejaVuSerifCondensed"/>
        </w:rPr>
        <w:t>Vraag 1</w:t>
      </w:r>
    </w:p>
    <w:p w:rsidR="00E1671E" w:rsidP="00E1671E" w:rsidRDefault="00E1671E" w14:paraId="330145AF" w14:textId="77777777">
      <w:pPr>
        <w:autoSpaceDE w:val="0"/>
        <w:adjustRightInd w:val="0"/>
        <w:spacing w:line="240" w:lineRule="auto"/>
        <w:rPr>
          <w:rFonts w:eastAsia="DejaVuSerifCondensed" w:cs="DejaVuSerifCondensed"/>
        </w:rPr>
      </w:pPr>
      <w:r w:rsidRPr="00FE57B1">
        <w:rPr>
          <w:rFonts w:eastAsia="DejaVuSerifCondensed" w:cs="DejaVuSerifCondensed"/>
        </w:rPr>
        <w:t>Bent u bekend met het bericht ‘Steeds meer longcovidpatiënten arbeidsongeschikt, 'topje van de ijsberg'?</w:t>
      </w:r>
      <w:r>
        <w:rPr>
          <w:rStyle w:val="Voetnootmarkering"/>
          <w:rFonts w:eastAsia="DejaVuSerifCondensed" w:cs="DejaVuSerifCondensed"/>
        </w:rPr>
        <w:footnoteReference w:id="1"/>
      </w:r>
    </w:p>
    <w:p w:rsidR="00E1671E" w:rsidP="00E1671E" w:rsidRDefault="00E1671E" w14:paraId="52DB0D7C" w14:textId="77777777">
      <w:pPr>
        <w:autoSpaceDE w:val="0"/>
        <w:adjustRightInd w:val="0"/>
        <w:spacing w:line="240" w:lineRule="auto"/>
        <w:rPr>
          <w:rFonts w:eastAsia="DejaVuSerifCondensed" w:cs="DejaVuSerifCondensed"/>
        </w:rPr>
      </w:pPr>
    </w:p>
    <w:p w:rsidR="00E1671E" w:rsidP="00E1671E" w:rsidRDefault="00E1671E" w14:paraId="38A12FC1" w14:textId="77777777">
      <w:pPr>
        <w:autoSpaceDE w:val="0"/>
        <w:adjustRightInd w:val="0"/>
        <w:spacing w:line="240" w:lineRule="auto"/>
        <w:rPr>
          <w:rFonts w:eastAsia="DejaVuSerifCondensed" w:cs="DejaVuSerifCondensed"/>
        </w:rPr>
      </w:pPr>
      <w:r>
        <w:rPr>
          <w:rFonts w:eastAsia="DejaVuSerifCondensed" w:cs="DejaVuSerifCondensed"/>
        </w:rPr>
        <w:t>Antwoord 1</w:t>
      </w:r>
    </w:p>
    <w:p w:rsidR="00E1671E" w:rsidP="00E1671E" w:rsidRDefault="00E1671E" w14:paraId="1AB1D38F" w14:textId="77777777">
      <w:pPr>
        <w:autoSpaceDE w:val="0"/>
        <w:adjustRightInd w:val="0"/>
        <w:spacing w:line="240" w:lineRule="auto"/>
        <w:rPr>
          <w:rFonts w:eastAsia="DejaVuSerifCondensed" w:cs="DejaVuSerifCondensed"/>
        </w:rPr>
      </w:pPr>
      <w:r>
        <w:rPr>
          <w:rFonts w:eastAsia="DejaVuSerifCondensed" w:cs="DejaVuSerifCondensed"/>
        </w:rPr>
        <w:t>Ja.</w:t>
      </w:r>
    </w:p>
    <w:p w:rsidR="00E1671E" w:rsidP="00E1671E" w:rsidRDefault="00E1671E" w14:paraId="330DE3A0" w14:textId="77777777">
      <w:pPr>
        <w:autoSpaceDE w:val="0"/>
        <w:adjustRightInd w:val="0"/>
        <w:spacing w:line="240" w:lineRule="auto"/>
        <w:rPr>
          <w:rFonts w:eastAsia="DejaVuSerifCondensed" w:cs="DejaVuSerifCondensed"/>
        </w:rPr>
      </w:pPr>
    </w:p>
    <w:p w:rsidR="00E1671E" w:rsidP="00E1671E" w:rsidRDefault="00E1671E" w14:paraId="36E24053" w14:textId="77777777">
      <w:pPr>
        <w:autoSpaceDE w:val="0"/>
        <w:adjustRightInd w:val="0"/>
        <w:spacing w:line="240" w:lineRule="auto"/>
        <w:rPr>
          <w:rFonts w:eastAsia="DejaVuSerifCondensed" w:cs="DejaVuSerifCondensed"/>
        </w:rPr>
      </w:pPr>
      <w:r>
        <w:rPr>
          <w:rFonts w:eastAsia="DejaVuSerifCondensed" w:cs="DejaVuSerifCondensed"/>
        </w:rPr>
        <w:t>Vraag 2</w:t>
      </w:r>
    </w:p>
    <w:p w:rsidR="00E1671E" w:rsidP="00E1671E" w:rsidRDefault="00E1671E" w14:paraId="20CA89C5" w14:textId="77777777">
      <w:pPr>
        <w:autoSpaceDE w:val="0"/>
        <w:adjustRightInd w:val="0"/>
        <w:spacing w:line="240" w:lineRule="auto"/>
        <w:rPr>
          <w:rFonts w:eastAsia="DejaVuSerifCondensed" w:cs="DejaVuSerifCondensed"/>
        </w:rPr>
      </w:pPr>
      <w:r w:rsidRPr="00FE57B1">
        <w:rPr>
          <w:rFonts w:eastAsia="DejaVuSerifCondensed" w:cs="DejaVuSerifCondensed"/>
        </w:rPr>
        <w:t>Kunt u inzicht geven in hoeveel van de Wet werk en inkomen naar</w:t>
      </w:r>
      <w:r>
        <w:rPr>
          <w:rFonts w:eastAsia="DejaVuSerifCondensed" w:cs="DejaVuSerifCondensed"/>
        </w:rPr>
        <w:t xml:space="preserve"> </w:t>
      </w:r>
      <w:r w:rsidRPr="00FE57B1">
        <w:rPr>
          <w:rFonts w:eastAsia="DejaVuSerifCondensed" w:cs="DejaVuSerifCondensed"/>
        </w:rPr>
        <w:t xml:space="preserve">arbeidsvermogen </w:t>
      </w:r>
      <w:r w:rsidRPr="009E4D4E">
        <w:rPr>
          <w:rFonts w:eastAsia="DejaVuSerifCondensed" w:cs="DejaVuSerifCondensed"/>
        </w:rPr>
        <w:t>(WIA-)instroom sinds 2020 gerelateerd is aan long covid?</w:t>
      </w:r>
    </w:p>
    <w:p w:rsidR="00E1671E" w:rsidP="00E1671E" w:rsidRDefault="00E1671E" w14:paraId="15140756" w14:textId="77777777">
      <w:pPr>
        <w:autoSpaceDE w:val="0"/>
        <w:adjustRightInd w:val="0"/>
        <w:spacing w:line="240" w:lineRule="auto"/>
        <w:rPr>
          <w:rFonts w:eastAsia="DejaVuSerifCondensed" w:cs="DejaVuSerifCondensed"/>
        </w:rPr>
      </w:pPr>
    </w:p>
    <w:p w:rsidR="00E1671E" w:rsidP="00E1671E" w:rsidRDefault="00E1671E" w14:paraId="3C6A2DA2" w14:textId="77777777">
      <w:pPr>
        <w:autoSpaceDE w:val="0"/>
        <w:adjustRightInd w:val="0"/>
        <w:spacing w:line="240" w:lineRule="auto"/>
        <w:rPr>
          <w:rFonts w:eastAsia="DejaVuSerifCondensed" w:cs="DejaVuSerifCondensed"/>
        </w:rPr>
      </w:pPr>
      <w:r>
        <w:rPr>
          <w:rFonts w:eastAsia="DejaVuSerifCondensed" w:cs="DejaVuSerifCondensed"/>
        </w:rPr>
        <w:t>Antwoord 2</w:t>
      </w:r>
    </w:p>
    <w:p w:rsidR="00E1671E" w:rsidP="00E1671E" w:rsidRDefault="00E1671E" w14:paraId="50656CF4" w14:textId="77777777">
      <w:pPr>
        <w:autoSpaceDE w:val="0"/>
        <w:adjustRightInd w:val="0"/>
        <w:spacing w:line="240" w:lineRule="auto"/>
        <w:rPr>
          <w:rFonts w:eastAsia="DejaVuSerifCondensed" w:cs="DejaVuSerifCondensed"/>
        </w:rPr>
      </w:pPr>
      <w:r>
        <w:rPr>
          <w:rFonts w:eastAsia="DejaVuSerifCondensed" w:cs="DejaVuSerifCondensed"/>
        </w:rPr>
        <w:t>UWV beschikt over cijfers waaruit het aantal mensen dat een WIA-aanvraag doet met COVID-19 of post-covid</w:t>
      </w:r>
      <w:r>
        <w:rPr>
          <w:rStyle w:val="Voetnootmarkering"/>
          <w:rFonts w:eastAsia="DejaVuSerifCondensed" w:cs="DejaVuSerifCondensed"/>
        </w:rPr>
        <w:footnoteReference w:id="2"/>
      </w:r>
      <w:r>
        <w:rPr>
          <w:rFonts w:eastAsia="DejaVuSerifCondensed" w:cs="DejaVuSerifCondensed"/>
        </w:rPr>
        <w:t xml:space="preserve"> als hoofddiagnose. In 2022, twee jaar na de start van de pandemie, ging dit om bijna 2000 gevallen. In 2023 zijn het 4000 gevallen en in 2024 5500. Bij 85% van deze beoordelingen, constateert UWV dat er sprake is van  35% of meer inkomensverlies en dus recht op een uitkering op grond van de Wet WIA. Het gemiddelde toekenningspercentage bij alle WIA-aanvragen is 70%.</w:t>
      </w:r>
    </w:p>
    <w:p w:rsidR="00E1671E" w:rsidP="00E1671E" w:rsidRDefault="00E1671E" w14:paraId="5E11A2F5" w14:textId="77777777">
      <w:pPr>
        <w:autoSpaceDE w:val="0"/>
        <w:adjustRightInd w:val="0"/>
        <w:spacing w:line="240" w:lineRule="auto"/>
        <w:rPr>
          <w:rFonts w:eastAsia="DejaVuSerifCondensed" w:cs="DejaVuSerifCondensed"/>
        </w:rPr>
      </w:pPr>
    </w:p>
    <w:p w:rsidR="00E1671E" w:rsidP="00E1671E" w:rsidRDefault="00E1671E" w14:paraId="65A5746F" w14:textId="77777777">
      <w:pPr>
        <w:autoSpaceDE w:val="0"/>
        <w:adjustRightInd w:val="0"/>
        <w:spacing w:line="240" w:lineRule="auto"/>
        <w:rPr>
          <w:rFonts w:eastAsia="DejaVuSerifCondensed" w:cs="DejaVuSerifCondensed"/>
        </w:rPr>
      </w:pPr>
      <w:r>
        <w:rPr>
          <w:rFonts w:eastAsia="DejaVuSerifCondensed" w:cs="DejaVuSerifCondensed"/>
        </w:rPr>
        <w:t>In de periode januari 2022 tot en met december 2024 is bij circa 5</w:t>
      </w:r>
      <w:r w:rsidRPr="5E766349">
        <w:rPr>
          <w:rFonts w:eastAsia="DejaVuSerifCondensed" w:cs="DejaVuSerifCondensed"/>
        </w:rPr>
        <w:t xml:space="preserve">% van de </w:t>
      </w:r>
      <w:r>
        <w:rPr>
          <w:rFonts w:eastAsia="DejaVuSerifCondensed" w:cs="DejaVuSerifCondensed"/>
        </w:rPr>
        <w:t>WIA-uitkeringen sprake van post-COVID als hoofddiagnose.</w:t>
      </w:r>
    </w:p>
    <w:p w:rsidR="00E1671E" w:rsidP="00E1671E" w:rsidRDefault="00E1671E" w14:paraId="1770A197" w14:textId="77777777">
      <w:pPr>
        <w:autoSpaceDE w:val="0"/>
        <w:adjustRightInd w:val="0"/>
        <w:spacing w:line="240" w:lineRule="auto"/>
        <w:rPr>
          <w:rFonts w:eastAsia="DejaVuSerifCondensed" w:cs="DejaVuSerifCondensed"/>
        </w:rPr>
      </w:pPr>
    </w:p>
    <w:p w:rsidR="00E1671E" w:rsidP="00E1671E" w:rsidRDefault="00E1671E" w14:paraId="56F3DA79" w14:textId="77777777">
      <w:pPr>
        <w:autoSpaceDE w:val="0"/>
        <w:adjustRightInd w:val="0"/>
        <w:spacing w:line="240" w:lineRule="auto"/>
        <w:rPr>
          <w:rFonts w:eastAsia="DejaVuSerifCondensed" w:cs="DejaVuSerifCondensed"/>
        </w:rPr>
      </w:pPr>
      <w:r>
        <w:rPr>
          <w:rFonts w:eastAsia="DejaVuSerifCondensed" w:cs="DejaVuSerifCondensed"/>
        </w:rPr>
        <w:t>Vraag 3</w:t>
      </w:r>
    </w:p>
    <w:p w:rsidR="00E1671E" w:rsidP="00E1671E" w:rsidRDefault="00E1671E" w14:paraId="64112BC5" w14:textId="77777777">
      <w:pPr>
        <w:autoSpaceDE w:val="0"/>
        <w:adjustRightInd w:val="0"/>
        <w:spacing w:line="240" w:lineRule="auto"/>
        <w:rPr>
          <w:rFonts w:eastAsia="DejaVuSerifCondensed" w:cs="DejaVuSerifCondensed"/>
        </w:rPr>
      </w:pPr>
      <w:r w:rsidRPr="00FE57B1">
        <w:rPr>
          <w:rFonts w:eastAsia="DejaVuSerifCondensed" w:cs="DejaVuSerifCondensed"/>
        </w:rPr>
        <w:t>Kunt u bij deze cijfers onderscheid maken tussen 35-80 Werkhervatting Gedeeltelijk Arbeidsgeschikten (WGA), 80-100 WGA, Inkomensvoorziening Volledig Arbeidsongeschikten (IVA) en geen recht op een uitkering?</w:t>
      </w:r>
    </w:p>
    <w:p w:rsidR="00E1671E" w:rsidP="00E1671E" w:rsidRDefault="00E1671E" w14:paraId="01C92047" w14:textId="77777777">
      <w:pPr>
        <w:autoSpaceDE w:val="0"/>
        <w:adjustRightInd w:val="0"/>
        <w:spacing w:line="240" w:lineRule="auto"/>
        <w:rPr>
          <w:rFonts w:eastAsia="DejaVuSerifCondensed" w:cs="DejaVuSerifCondensed"/>
        </w:rPr>
      </w:pPr>
    </w:p>
    <w:p w:rsidR="00E1671E" w:rsidP="00E1671E" w:rsidRDefault="00E1671E" w14:paraId="1BE7F300" w14:textId="77777777">
      <w:pPr>
        <w:autoSpaceDE w:val="0"/>
        <w:adjustRightInd w:val="0"/>
        <w:spacing w:line="240" w:lineRule="auto"/>
        <w:rPr>
          <w:rFonts w:eastAsia="DejaVuSerifCondensed" w:cs="DejaVuSerifCondensed"/>
        </w:rPr>
      </w:pPr>
      <w:r>
        <w:rPr>
          <w:rFonts w:eastAsia="DejaVuSerifCondensed" w:cs="DejaVuSerifCondensed"/>
        </w:rPr>
        <w:t>Antwoord 3</w:t>
      </w:r>
    </w:p>
    <w:p w:rsidR="00E1671E" w:rsidP="00E1671E" w:rsidRDefault="00E1671E" w14:paraId="2C620B1D" w14:textId="77777777">
      <w:pPr>
        <w:autoSpaceDE w:val="0"/>
        <w:adjustRightInd w:val="0"/>
        <w:spacing w:line="240" w:lineRule="auto"/>
        <w:rPr>
          <w:rFonts w:eastAsia="DejaVuSerifCondensed" w:cs="DejaVuSerifCondensed"/>
        </w:rPr>
      </w:pPr>
      <w:r>
        <w:rPr>
          <w:rFonts w:eastAsia="DejaVuSerifCondensed" w:cs="DejaVuSerifCondensed"/>
        </w:rPr>
        <w:t>Het onderscheid volgt in onderstaande tabel. Deze percentages betreffen mensen van wie de hoofddiagnose na de WIA-beoordeling na einde wachttijd post-covid was. Herbeoordelingen zijn niet meegenomen in deze cijfers. Ook zijn de cijfers uit 2020 niet meegenomen vanwege de lage aantallen, die zorgen voor grote fluctuaties in de percentages. Onderstaande percentages zijn stabiel over de jaren 2021 tot en met 2024.</w:t>
      </w:r>
      <w:r>
        <w:rPr>
          <w:rStyle w:val="Voetnootmarkering"/>
          <w:rFonts w:eastAsia="DejaVuSerifCondensed" w:cs="DejaVuSerifCondensed"/>
        </w:rPr>
        <w:footnoteReference w:id="3"/>
      </w:r>
    </w:p>
    <w:p w:rsidR="00E1671E" w:rsidP="00E1671E" w:rsidRDefault="00E1671E" w14:paraId="48512649" w14:textId="77777777">
      <w:pPr>
        <w:autoSpaceDE w:val="0"/>
        <w:adjustRightInd w:val="0"/>
        <w:spacing w:line="240" w:lineRule="auto"/>
        <w:rPr>
          <w:rFonts w:eastAsia="DejaVuSerifCondensed" w:cs="DejaVuSerifCondensed"/>
        </w:rPr>
      </w:pPr>
    </w:p>
    <w:tbl>
      <w:tblPr>
        <w:tblStyle w:val="Tabelraster"/>
        <w:tblW w:w="0" w:type="auto"/>
        <w:tblLook w:val="04A0" w:firstRow="1" w:lastRow="0" w:firstColumn="1" w:lastColumn="0" w:noHBand="0" w:noVBand="1"/>
      </w:tblPr>
      <w:tblGrid>
        <w:gridCol w:w="1581"/>
        <w:gridCol w:w="1581"/>
      </w:tblGrid>
      <w:tr w:rsidR="00E1671E" w:rsidTr="00C5083A" w14:paraId="7857D48A" w14:textId="77777777">
        <w:trPr>
          <w:trHeight w:val="257"/>
        </w:trPr>
        <w:tc>
          <w:tcPr>
            <w:tcW w:w="1581" w:type="dxa"/>
          </w:tcPr>
          <w:p w:rsidRPr="006904FF" w:rsidR="00E1671E" w:rsidP="00C5083A" w:rsidRDefault="00E1671E" w14:paraId="6C3694AF" w14:textId="77777777">
            <w:pPr>
              <w:autoSpaceDE w:val="0"/>
              <w:adjustRightInd w:val="0"/>
              <w:rPr>
                <w:rFonts w:eastAsia="DejaVuSerifCondensed" w:cs="DejaVuSerifCondensed"/>
                <w:b/>
                <w:bCs/>
              </w:rPr>
            </w:pPr>
            <w:r>
              <w:rPr>
                <w:rFonts w:eastAsia="DejaVuSerifCondensed" w:cs="DejaVuSerifCondensed"/>
                <w:b/>
                <w:bCs/>
              </w:rPr>
              <w:t>Uitkomst</w:t>
            </w:r>
          </w:p>
        </w:tc>
        <w:tc>
          <w:tcPr>
            <w:tcW w:w="1581" w:type="dxa"/>
          </w:tcPr>
          <w:p w:rsidRPr="006904FF" w:rsidR="00E1671E" w:rsidP="00C5083A" w:rsidRDefault="00E1671E" w14:paraId="04F2F96F" w14:textId="77777777">
            <w:pPr>
              <w:autoSpaceDE w:val="0"/>
              <w:adjustRightInd w:val="0"/>
              <w:rPr>
                <w:rFonts w:eastAsia="DejaVuSerifCondensed" w:cs="DejaVuSerifCondensed"/>
                <w:b/>
                <w:bCs/>
              </w:rPr>
            </w:pPr>
            <w:r>
              <w:rPr>
                <w:rFonts w:eastAsia="DejaVuSerifCondensed" w:cs="DejaVuSerifCondensed"/>
                <w:b/>
                <w:bCs/>
              </w:rPr>
              <w:t>Percentage</w:t>
            </w:r>
          </w:p>
        </w:tc>
      </w:tr>
      <w:tr w:rsidR="00E1671E" w:rsidTr="00C5083A" w14:paraId="360C13F7" w14:textId="77777777">
        <w:trPr>
          <w:trHeight w:val="275"/>
        </w:trPr>
        <w:tc>
          <w:tcPr>
            <w:tcW w:w="1581" w:type="dxa"/>
          </w:tcPr>
          <w:p w:rsidRPr="006904FF" w:rsidR="00E1671E" w:rsidP="00C5083A" w:rsidRDefault="00E1671E" w14:paraId="5C819B55" w14:textId="77777777">
            <w:pPr>
              <w:autoSpaceDE w:val="0"/>
              <w:adjustRightInd w:val="0"/>
              <w:rPr>
                <w:rFonts w:eastAsia="DejaVuSerifCondensed" w:cs="DejaVuSerifCondensed"/>
              </w:rPr>
            </w:pPr>
            <w:r w:rsidRPr="006904FF">
              <w:rPr>
                <w:rFonts w:eastAsia="DejaVuSerifCondensed" w:cs="DejaVuSerifCondensed"/>
              </w:rPr>
              <w:t>IVA</w:t>
            </w:r>
          </w:p>
        </w:tc>
        <w:tc>
          <w:tcPr>
            <w:tcW w:w="1581" w:type="dxa"/>
          </w:tcPr>
          <w:p w:rsidR="00E1671E" w:rsidP="00C5083A" w:rsidRDefault="00E1671E" w14:paraId="7330E69D" w14:textId="77777777">
            <w:pPr>
              <w:autoSpaceDE w:val="0"/>
              <w:adjustRightInd w:val="0"/>
              <w:rPr>
                <w:rFonts w:eastAsia="DejaVuSerifCondensed" w:cs="DejaVuSerifCondensed"/>
              </w:rPr>
            </w:pPr>
            <w:r>
              <w:rPr>
                <w:rFonts w:eastAsia="DejaVuSerifCondensed" w:cs="DejaVuSerifCondensed"/>
              </w:rPr>
              <w:t>8-9%</w:t>
            </w:r>
          </w:p>
        </w:tc>
      </w:tr>
      <w:tr w:rsidR="00E1671E" w:rsidTr="00C5083A" w14:paraId="56C3CE20" w14:textId="77777777">
        <w:trPr>
          <w:trHeight w:val="257"/>
        </w:trPr>
        <w:tc>
          <w:tcPr>
            <w:tcW w:w="1581" w:type="dxa"/>
          </w:tcPr>
          <w:p w:rsidR="00E1671E" w:rsidP="00C5083A" w:rsidRDefault="00E1671E" w14:paraId="0866B92F" w14:textId="77777777">
            <w:pPr>
              <w:autoSpaceDE w:val="0"/>
              <w:adjustRightInd w:val="0"/>
              <w:rPr>
                <w:rFonts w:eastAsia="DejaVuSerifCondensed" w:cs="DejaVuSerifCondensed"/>
              </w:rPr>
            </w:pPr>
            <w:r>
              <w:rPr>
                <w:rFonts w:eastAsia="DejaVuSerifCondensed" w:cs="DejaVuSerifCondensed"/>
              </w:rPr>
              <w:t>WGA 80-100</w:t>
            </w:r>
          </w:p>
        </w:tc>
        <w:tc>
          <w:tcPr>
            <w:tcW w:w="1581" w:type="dxa"/>
          </w:tcPr>
          <w:p w:rsidR="00E1671E" w:rsidP="00C5083A" w:rsidRDefault="00E1671E" w14:paraId="67DAFA5E" w14:textId="77777777">
            <w:pPr>
              <w:autoSpaceDE w:val="0"/>
              <w:adjustRightInd w:val="0"/>
              <w:rPr>
                <w:rFonts w:eastAsia="DejaVuSerifCondensed" w:cs="DejaVuSerifCondensed"/>
              </w:rPr>
            </w:pPr>
            <w:r>
              <w:rPr>
                <w:rFonts w:eastAsia="DejaVuSerifCondensed" w:cs="DejaVuSerifCondensed"/>
              </w:rPr>
              <w:t>49-53%</w:t>
            </w:r>
          </w:p>
        </w:tc>
      </w:tr>
      <w:tr w:rsidR="00E1671E" w:rsidTr="00C5083A" w14:paraId="4D5F6E64" w14:textId="77777777">
        <w:trPr>
          <w:trHeight w:val="257"/>
        </w:trPr>
        <w:tc>
          <w:tcPr>
            <w:tcW w:w="1581" w:type="dxa"/>
          </w:tcPr>
          <w:p w:rsidR="00E1671E" w:rsidP="00C5083A" w:rsidRDefault="00E1671E" w14:paraId="30C783A2" w14:textId="77777777">
            <w:pPr>
              <w:autoSpaceDE w:val="0"/>
              <w:adjustRightInd w:val="0"/>
              <w:rPr>
                <w:rFonts w:eastAsia="DejaVuSerifCondensed" w:cs="DejaVuSerifCondensed"/>
              </w:rPr>
            </w:pPr>
            <w:r>
              <w:rPr>
                <w:rFonts w:eastAsia="DejaVuSerifCondensed" w:cs="DejaVuSerifCondensed"/>
              </w:rPr>
              <w:t>WGA 35-80</w:t>
            </w:r>
          </w:p>
        </w:tc>
        <w:tc>
          <w:tcPr>
            <w:tcW w:w="1581" w:type="dxa"/>
          </w:tcPr>
          <w:p w:rsidR="00E1671E" w:rsidP="00C5083A" w:rsidRDefault="00E1671E" w14:paraId="7111A7CE" w14:textId="77777777">
            <w:pPr>
              <w:autoSpaceDE w:val="0"/>
              <w:adjustRightInd w:val="0"/>
              <w:rPr>
                <w:rFonts w:eastAsia="DejaVuSerifCondensed" w:cs="DejaVuSerifCondensed"/>
              </w:rPr>
            </w:pPr>
            <w:r>
              <w:rPr>
                <w:rFonts w:eastAsia="DejaVuSerifCondensed" w:cs="DejaVuSerifCondensed"/>
              </w:rPr>
              <w:t>25-26%</w:t>
            </w:r>
          </w:p>
        </w:tc>
      </w:tr>
      <w:tr w:rsidR="00E1671E" w:rsidTr="00C5083A" w14:paraId="56ADF6C1" w14:textId="77777777">
        <w:trPr>
          <w:trHeight w:val="257"/>
        </w:trPr>
        <w:tc>
          <w:tcPr>
            <w:tcW w:w="1581" w:type="dxa"/>
          </w:tcPr>
          <w:p w:rsidR="00E1671E" w:rsidP="00C5083A" w:rsidRDefault="00E1671E" w14:paraId="611AC32D" w14:textId="77777777">
            <w:pPr>
              <w:autoSpaceDE w:val="0"/>
              <w:adjustRightInd w:val="0"/>
              <w:rPr>
                <w:rFonts w:eastAsia="DejaVuSerifCondensed" w:cs="DejaVuSerifCondensed"/>
              </w:rPr>
            </w:pPr>
            <w:r>
              <w:rPr>
                <w:rFonts w:eastAsia="DejaVuSerifCondensed" w:cs="DejaVuSerifCondensed"/>
              </w:rPr>
              <w:t>Geen recht</w:t>
            </w:r>
          </w:p>
        </w:tc>
        <w:tc>
          <w:tcPr>
            <w:tcW w:w="1581" w:type="dxa"/>
          </w:tcPr>
          <w:p w:rsidR="00E1671E" w:rsidP="00C5083A" w:rsidRDefault="00E1671E" w14:paraId="5ABE6ED0" w14:textId="77777777">
            <w:pPr>
              <w:autoSpaceDE w:val="0"/>
              <w:adjustRightInd w:val="0"/>
              <w:rPr>
                <w:rFonts w:eastAsia="DejaVuSerifCondensed" w:cs="DejaVuSerifCondensed"/>
              </w:rPr>
            </w:pPr>
            <w:r>
              <w:rPr>
                <w:rFonts w:eastAsia="DejaVuSerifCondensed" w:cs="DejaVuSerifCondensed"/>
              </w:rPr>
              <w:t>12-16%</w:t>
            </w:r>
          </w:p>
        </w:tc>
      </w:tr>
    </w:tbl>
    <w:p w:rsidR="00E1671E" w:rsidP="00E1671E" w:rsidRDefault="00E1671E" w14:paraId="6AE0381B" w14:textId="77777777">
      <w:pPr>
        <w:autoSpaceDE w:val="0"/>
        <w:adjustRightInd w:val="0"/>
        <w:spacing w:line="240" w:lineRule="auto"/>
        <w:rPr>
          <w:rFonts w:eastAsia="DejaVuSerifCondensed" w:cs="DejaVuSerifCondensed"/>
        </w:rPr>
      </w:pPr>
    </w:p>
    <w:p w:rsidR="00E1671E" w:rsidP="00E1671E" w:rsidRDefault="00E1671E" w14:paraId="36D55686" w14:textId="77777777">
      <w:pPr>
        <w:autoSpaceDE w:val="0"/>
        <w:adjustRightInd w:val="0"/>
        <w:spacing w:line="240" w:lineRule="auto"/>
        <w:rPr>
          <w:rFonts w:eastAsia="DejaVuSerifCondensed" w:cs="DejaVuSerifCondensed"/>
        </w:rPr>
      </w:pPr>
      <w:r>
        <w:rPr>
          <w:rFonts w:eastAsia="DejaVuSerifCondensed" w:cs="DejaVuSerifCondensed"/>
        </w:rPr>
        <w:t>Het grootste deel van de mensen, ongeveer 85%, krijgt dus een WIA-uitkering toegekend.</w:t>
      </w:r>
    </w:p>
    <w:p w:rsidR="00E1671E" w:rsidP="00E1671E" w:rsidRDefault="00E1671E" w14:paraId="3165301E" w14:textId="77777777">
      <w:pPr>
        <w:autoSpaceDE w:val="0"/>
        <w:adjustRightInd w:val="0"/>
        <w:spacing w:line="240" w:lineRule="auto"/>
        <w:rPr>
          <w:rFonts w:eastAsia="DejaVuSerifCondensed" w:cs="DejaVuSerifCondensed"/>
        </w:rPr>
      </w:pPr>
    </w:p>
    <w:p w:rsidR="00E1671E" w:rsidP="00E1671E" w:rsidRDefault="00E1671E" w14:paraId="11F3B5C9" w14:textId="77777777">
      <w:pPr>
        <w:autoSpaceDE w:val="0"/>
        <w:adjustRightInd w:val="0"/>
        <w:spacing w:line="240" w:lineRule="auto"/>
        <w:rPr>
          <w:rFonts w:eastAsia="DejaVuSerifCondensed" w:cs="DejaVuSerifCondensed"/>
        </w:rPr>
      </w:pPr>
      <w:r>
        <w:rPr>
          <w:rFonts w:eastAsia="DejaVuSerifCondensed" w:cs="DejaVuSerifCondensed"/>
        </w:rPr>
        <w:t>Vraag 4</w:t>
      </w:r>
    </w:p>
    <w:p w:rsidR="00E1671E" w:rsidP="00E1671E" w:rsidRDefault="00E1671E" w14:paraId="4D918D0D" w14:textId="77777777">
      <w:pPr>
        <w:autoSpaceDE w:val="0"/>
        <w:adjustRightInd w:val="0"/>
        <w:spacing w:line="240" w:lineRule="auto"/>
        <w:rPr>
          <w:rFonts w:eastAsia="DejaVuSerifCondensed" w:cs="DejaVuSerifCondensed"/>
        </w:rPr>
      </w:pPr>
      <w:r w:rsidRPr="00FE57B1">
        <w:rPr>
          <w:rFonts w:eastAsia="DejaVuSerifCondensed" w:cs="DejaVuSerifCondensed"/>
        </w:rPr>
        <w:t>Welke richtlijnen zijn er op dit moment over long covid in de sociaal-medische beoordelingen bij het UWV?</w:t>
      </w:r>
    </w:p>
    <w:p w:rsidR="00E1671E" w:rsidP="00E1671E" w:rsidRDefault="00E1671E" w14:paraId="63DD0BEE" w14:textId="77777777">
      <w:pPr>
        <w:autoSpaceDE w:val="0"/>
        <w:adjustRightInd w:val="0"/>
        <w:spacing w:line="240" w:lineRule="auto"/>
        <w:rPr>
          <w:rFonts w:eastAsia="DejaVuSerifCondensed" w:cs="DejaVuSerifCondensed"/>
        </w:rPr>
      </w:pPr>
    </w:p>
    <w:p w:rsidR="00E1671E" w:rsidP="00E1671E" w:rsidRDefault="00E1671E" w14:paraId="321F8BFE" w14:textId="77777777">
      <w:pPr>
        <w:autoSpaceDE w:val="0"/>
        <w:adjustRightInd w:val="0"/>
        <w:spacing w:line="240" w:lineRule="auto"/>
        <w:rPr>
          <w:rFonts w:eastAsia="DejaVuSerifCondensed" w:cs="DejaVuSerifCondensed"/>
        </w:rPr>
      </w:pPr>
      <w:r>
        <w:rPr>
          <w:rFonts w:eastAsia="DejaVuSerifCondensed" w:cs="DejaVuSerifCondensed"/>
        </w:rPr>
        <w:t>Antwoord 4</w:t>
      </w:r>
    </w:p>
    <w:p w:rsidR="00E1671E" w:rsidP="00E1671E" w:rsidRDefault="00E1671E" w14:paraId="7F4A63A4" w14:textId="77777777">
      <w:pPr>
        <w:rPr>
          <w:rFonts w:eastAsia="Aptos" w:cs="Aptos"/>
        </w:rPr>
      </w:pPr>
      <w:r>
        <w:t xml:space="preserve">Er bestaat een </w:t>
      </w:r>
      <w:proofErr w:type="spellStart"/>
      <w:r w:rsidRPr="002B7809">
        <w:t>ziektespecifieke</w:t>
      </w:r>
      <w:proofErr w:type="spellEnd"/>
      <w:r w:rsidRPr="002B7809">
        <w:t xml:space="preserve"> leidraad voor bedrijfsartsen</w:t>
      </w:r>
      <w:r>
        <w:t>,</w:t>
      </w:r>
      <w:r w:rsidRPr="002B7809">
        <w:t xml:space="preserve"> die </w:t>
      </w:r>
      <w:r>
        <w:t xml:space="preserve">door de </w:t>
      </w:r>
      <w:r w:rsidRPr="002B7809">
        <w:t xml:space="preserve">verzekeringsarts vooral </w:t>
      </w:r>
      <w:r>
        <w:t xml:space="preserve">wordt </w:t>
      </w:r>
      <w:r w:rsidRPr="002B7809">
        <w:t>gebruik</w:t>
      </w:r>
      <w:r>
        <w:t>t</w:t>
      </w:r>
      <w:r w:rsidRPr="002B7809">
        <w:t xml:space="preserve"> bij de toetsing van het re-integratieverslag. Deze leidraad is te vinden op </w:t>
      </w:r>
      <w:hyperlink w:history="1" r:id="rId6">
        <w:hyperlink w:history="1" r:id="rId7">
          <w:r w:rsidRPr="002B7809">
            <w:rPr>
              <w:rStyle w:val="Hyperlink"/>
              <w:rFonts w:eastAsia="Aptos" w:cs="Aptos"/>
            </w:rPr>
            <w:t>Leidraad_Post-COVID_Syndroom_2022.pdf</w:t>
          </w:r>
        </w:hyperlink>
      </w:hyperlink>
      <w:r w:rsidRPr="002B7809">
        <w:rPr>
          <w:rFonts w:eastAsia="Aptos" w:cs="Aptos"/>
        </w:rPr>
        <w:t xml:space="preserve">. </w:t>
      </w:r>
      <w:r>
        <w:rPr>
          <w:rFonts w:eastAsia="Aptos" w:cs="Aptos"/>
        </w:rPr>
        <w:t xml:space="preserve">Verzekeringsartsen maken ook gebruik van richtlijnmodules over COVID-19 van de federatie medisch specialisten en van beschikbare (wetenschappelijke) bronnen. </w:t>
      </w:r>
      <w:r w:rsidRPr="002B7809">
        <w:rPr>
          <w:rFonts w:eastAsia="Aptos" w:cs="Aptos"/>
        </w:rPr>
        <w:t>Voor de verzekeringsgeneeskundige beoordeling</w:t>
      </w:r>
      <w:r>
        <w:rPr>
          <w:rFonts w:eastAsia="Aptos" w:cs="Aptos"/>
        </w:rPr>
        <w:t xml:space="preserve"> binnen het UWV</w:t>
      </w:r>
      <w:r w:rsidRPr="002B7809">
        <w:rPr>
          <w:rFonts w:eastAsia="Aptos" w:cs="Aptos"/>
        </w:rPr>
        <w:t xml:space="preserve"> werkt de verzekeringsarts vanuit het wettelijk kader (WIA en schattingsbesluit) en de richtlijn ‘Medisch arbeidsongeschiktheidscriterium’</w:t>
      </w:r>
      <w:r>
        <w:rPr>
          <w:rFonts w:eastAsia="Aptos" w:cs="Aptos"/>
        </w:rPr>
        <w:t>.</w:t>
      </w:r>
      <w:r>
        <w:rPr>
          <w:rStyle w:val="Voetnootmarkering"/>
          <w:rFonts w:eastAsia="Aptos" w:cs="Aptos"/>
        </w:rPr>
        <w:footnoteReference w:id="4"/>
      </w:r>
      <w:r w:rsidRPr="002B7809">
        <w:rPr>
          <w:rFonts w:eastAsia="Aptos" w:cs="Aptos"/>
        </w:rPr>
        <w:t xml:space="preserve"> </w:t>
      </w:r>
    </w:p>
    <w:p w:rsidR="00E1671E" w:rsidP="00E1671E" w:rsidRDefault="00E1671E" w14:paraId="63DD78A5" w14:textId="77777777">
      <w:pPr>
        <w:rPr>
          <w:rFonts w:eastAsia="Aptos" w:cs="Aptos"/>
        </w:rPr>
      </w:pPr>
    </w:p>
    <w:p w:rsidRPr="002B7809" w:rsidR="00E1671E" w:rsidP="00E1671E" w:rsidRDefault="00E1671E" w14:paraId="426A4BB3" w14:textId="77777777">
      <w:r>
        <w:rPr>
          <w:rFonts w:eastAsia="Aptos" w:cs="Aptos"/>
        </w:rPr>
        <w:t>D</w:t>
      </w:r>
      <w:r w:rsidRPr="002B7809">
        <w:rPr>
          <w:rFonts w:eastAsia="Aptos" w:cs="Aptos"/>
        </w:rPr>
        <w:t xml:space="preserve">e Nederlandse </w:t>
      </w:r>
      <w:r>
        <w:rPr>
          <w:rFonts w:eastAsia="Aptos" w:cs="Aptos"/>
        </w:rPr>
        <w:t>V</w:t>
      </w:r>
      <w:r w:rsidRPr="002B7809">
        <w:rPr>
          <w:rFonts w:eastAsia="Aptos" w:cs="Aptos"/>
        </w:rPr>
        <w:t xml:space="preserve">ereniging voor </w:t>
      </w:r>
      <w:r>
        <w:rPr>
          <w:rFonts w:eastAsia="Aptos" w:cs="Aptos"/>
        </w:rPr>
        <w:t>V</w:t>
      </w:r>
      <w:r w:rsidRPr="002B7809">
        <w:rPr>
          <w:rFonts w:eastAsia="Aptos" w:cs="Aptos"/>
        </w:rPr>
        <w:t xml:space="preserve">erzekeringsgeneeskunde (NVVG) </w:t>
      </w:r>
      <w:r w:rsidRPr="00AC241E">
        <w:rPr>
          <w:rFonts w:eastAsia="Aptos" w:cs="Aptos"/>
        </w:rPr>
        <w:t xml:space="preserve">is de wetenschappelijke beroepsvereniging van verzekeringsartsen en artsen in opleiding </w:t>
      </w:r>
      <w:r w:rsidRPr="00AC241E">
        <w:rPr>
          <w:rFonts w:eastAsia="Aptos" w:cs="Aptos"/>
        </w:rPr>
        <w:lastRenderedPageBreak/>
        <w:t>tot verzekeringsarts</w:t>
      </w:r>
      <w:r>
        <w:rPr>
          <w:rFonts w:eastAsia="Aptos" w:cs="Aptos"/>
        </w:rPr>
        <w:t>. De NVVG werkt aan</w:t>
      </w:r>
      <w:r w:rsidRPr="002B7809">
        <w:rPr>
          <w:rFonts w:eastAsia="Aptos" w:cs="Aptos"/>
        </w:rPr>
        <w:t xml:space="preserve"> een </w:t>
      </w:r>
      <w:proofErr w:type="spellStart"/>
      <w:r w:rsidRPr="002B7809">
        <w:rPr>
          <w:rFonts w:eastAsia="Aptos" w:cs="Aptos"/>
        </w:rPr>
        <w:t>factsheet</w:t>
      </w:r>
      <w:proofErr w:type="spellEnd"/>
      <w:r w:rsidRPr="002B7809">
        <w:rPr>
          <w:rFonts w:eastAsia="Aptos" w:cs="Aptos"/>
        </w:rPr>
        <w:t xml:space="preserve"> en </w:t>
      </w:r>
      <w:r>
        <w:rPr>
          <w:rFonts w:eastAsia="Aptos" w:cs="Aptos"/>
        </w:rPr>
        <w:t>voorbeeld</w:t>
      </w:r>
      <w:r w:rsidRPr="002B7809">
        <w:rPr>
          <w:rFonts w:eastAsia="Aptos" w:cs="Aptos"/>
        </w:rPr>
        <w:t>casuïstiek voor post</w:t>
      </w:r>
      <w:r>
        <w:rPr>
          <w:rFonts w:eastAsia="Aptos" w:cs="Aptos"/>
        </w:rPr>
        <w:t>-covid</w:t>
      </w:r>
      <w:r w:rsidRPr="002B7809">
        <w:rPr>
          <w:rFonts w:eastAsia="Aptos" w:cs="Aptos"/>
        </w:rPr>
        <w:t>.</w:t>
      </w:r>
      <w:r>
        <w:rPr>
          <w:rFonts w:eastAsia="Aptos" w:cs="Aptos"/>
        </w:rPr>
        <w:t xml:space="preserve"> Het doel daarvan is om verzekeringsartsen op korte termijn aanvullende, praktische handvatten te kunnen bieden. In een volgende fase wil de NVVG een wetenschappelijk onderbouwde (multidisciplinaire) richtlijn PCS ontwikkelen.</w:t>
      </w:r>
    </w:p>
    <w:p w:rsidR="00E1671E" w:rsidP="00E1671E" w:rsidRDefault="00E1671E" w14:paraId="02E6F23D" w14:textId="77777777">
      <w:pPr>
        <w:autoSpaceDE w:val="0"/>
        <w:adjustRightInd w:val="0"/>
        <w:spacing w:line="240" w:lineRule="auto"/>
        <w:rPr>
          <w:rFonts w:eastAsia="DejaVuSerifCondensed" w:cs="DejaVuSerifCondensed"/>
        </w:rPr>
      </w:pPr>
    </w:p>
    <w:p w:rsidR="00E1671E" w:rsidP="00E1671E" w:rsidRDefault="00E1671E" w14:paraId="70E7CA53" w14:textId="77777777">
      <w:pPr>
        <w:autoSpaceDE w:val="0"/>
        <w:adjustRightInd w:val="0"/>
        <w:spacing w:line="240" w:lineRule="auto"/>
        <w:rPr>
          <w:rFonts w:eastAsia="DejaVuSerifCondensed" w:cs="DejaVuSerifCondensed"/>
        </w:rPr>
      </w:pPr>
      <w:r>
        <w:rPr>
          <w:rFonts w:eastAsia="DejaVuSerifCondensed" w:cs="DejaVuSerifCondensed"/>
        </w:rPr>
        <w:t>Vraag 5</w:t>
      </w:r>
    </w:p>
    <w:p w:rsidR="00E1671E" w:rsidP="00E1671E" w:rsidRDefault="00E1671E" w14:paraId="0749CCE4" w14:textId="77777777">
      <w:pPr>
        <w:autoSpaceDE w:val="0"/>
        <w:adjustRightInd w:val="0"/>
        <w:spacing w:line="240" w:lineRule="auto"/>
        <w:rPr>
          <w:rFonts w:eastAsia="DejaVuSerifCondensed" w:cs="DejaVuSerifCondensed"/>
        </w:rPr>
      </w:pPr>
      <w:r w:rsidRPr="00FE57B1">
        <w:rPr>
          <w:rFonts w:eastAsia="DejaVuSerifCondensed" w:cs="DejaVuSerifCondensed"/>
        </w:rPr>
        <w:t>Op welke manier worden verzekeringsartsen bij het UWV gestimuleerd om scholing te volgen over long covid?</w:t>
      </w:r>
    </w:p>
    <w:p w:rsidR="00E1671E" w:rsidP="00E1671E" w:rsidRDefault="00E1671E" w14:paraId="3545FF40" w14:textId="77777777">
      <w:pPr>
        <w:autoSpaceDE w:val="0"/>
        <w:adjustRightInd w:val="0"/>
        <w:spacing w:line="240" w:lineRule="auto"/>
        <w:rPr>
          <w:rFonts w:eastAsia="DejaVuSerifCondensed" w:cs="DejaVuSerifCondensed"/>
        </w:rPr>
      </w:pPr>
    </w:p>
    <w:p w:rsidR="00E1671E" w:rsidP="00E1671E" w:rsidRDefault="00E1671E" w14:paraId="595E0B79" w14:textId="77777777">
      <w:pPr>
        <w:autoSpaceDE w:val="0"/>
        <w:adjustRightInd w:val="0"/>
        <w:spacing w:line="240" w:lineRule="auto"/>
        <w:rPr>
          <w:rFonts w:eastAsia="DejaVuSerifCondensed" w:cs="DejaVuSerifCondensed"/>
        </w:rPr>
      </w:pPr>
      <w:r>
        <w:rPr>
          <w:rFonts w:eastAsia="DejaVuSerifCondensed" w:cs="DejaVuSerifCondensed"/>
        </w:rPr>
        <w:t>Antwoord 5</w:t>
      </w:r>
    </w:p>
    <w:p w:rsidR="00E1671E" w:rsidP="00E1671E" w:rsidRDefault="00E1671E" w14:paraId="07EAF6E7" w14:textId="77777777">
      <w:r>
        <w:t>Van verzekeringsartsen wordt verwacht dat zij bij- en nascholing volgen en zij hebben daarbij vrijheid in het bepalen van de onderwerpen. Verzekeringsartsen zijn hierbij bovengemiddeld geïnteresseerd in een nieuw ziektebeeld. Daarnaast is er in oktober 2024 voor alle verzekeringsartsen en verpleegkundigen een verplichte bijscholing georganiseerd over post-COVID, het ‘Symposium covid &amp; postinfectieuze ziektebeelden’, met betrokkenheid van C-support en de Stichting Long Covid.</w:t>
      </w:r>
    </w:p>
    <w:p w:rsidR="00E1671E" w:rsidP="00E1671E" w:rsidRDefault="00E1671E" w14:paraId="5C0EBC81" w14:textId="77777777">
      <w:pPr>
        <w:autoSpaceDE w:val="0"/>
        <w:adjustRightInd w:val="0"/>
        <w:spacing w:line="240" w:lineRule="auto"/>
        <w:rPr>
          <w:rFonts w:eastAsia="DejaVuSerifCondensed" w:cs="DejaVuSerifCondensed"/>
        </w:rPr>
      </w:pPr>
    </w:p>
    <w:p w:rsidR="00E1671E" w:rsidP="00E1671E" w:rsidRDefault="00E1671E" w14:paraId="3C6290BB" w14:textId="77777777">
      <w:pPr>
        <w:autoSpaceDE w:val="0"/>
        <w:adjustRightInd w:val="0"/>
        <w:spacing w:line="240" w:lineRule="auto"/>
        <w:rPr>
          <w:rFonts w:eastAsia="DejaVuSerifCondensed" w:cs="DejaVuSerifCondensed"/>
        </w:rPr>
      </w:pPr>
      <w:r>
        <w:rPr>
          <w:rFonts w:eastAsia="DejaVuSerifCondensed" w:cs="DejaVuSerifCondensed"/>
        </w:rPr>
        <w:t>Vraag 6</w:t>
      </w:r>
    </w:p>
    <w:p w:rsidR="00E1671E" w:rsidP="00E1671E" w:rsidRDefault="00E1671E" w14:paraId="2C57370B" w14:textId="77777777">
      <w:pPr>
        <w:autoSpaceDE w:val="0"/>
        <w:adjustRightInd w:val="0"/>
        <w:spacing w:line="240" w:lineRule="auto"/>
        <w:rPr>
          <w:rFonts w:eastAsia="DejaVuSerifCondensed" w:cs="DejaVuSerifCondensed"/>
        </w:rPr>
      </w:pPr>
      <w:r w:rsidRPr="00FE57B1">
        <w:rPr>
          <w:rFonts w:eastAsia="DejaVuSerifCondensed" w:cs="DejaVuSerifCondensed"/>
        </w:rPr>
        <w:t>Herkent u de signalen dat het voor bedrijfs- en verzekeringsartsen moeilijk is om in te schatten hoelang iemand met long covid ziek blijft en of iemand een terugval krijgt? Zo ja, hoe wordt daar rekenschap aan gegeven door het UWV in de sociaal-medische beoordelingen?</w:t>
      </w:r>
    </w:p>
    <w:p w:rsidR="00E1671E" w:rsidP="00E1671E" w:rsidRDefault="00E1671E" w14:paraId="28E7640F" w14:textId="77777777">
      <w:pPr>
        <w:autoSpaceDE w:val="0"/>
        <w:adjustRightInd w:val="0"/>
        <w:spacing w:line="240" w:lineRule="auto"/>
        <w:rPr>
          <w:rFonts w:eastAsia="DejaVuSerifCondensed" w:cs="DejaVuSerifCondensed"/>
        </w:rPr>
      </w:pPr>
    </w:p>
    <w:p w:rsidR="00E1671E" w:rsidP="00E1671E" w:rsidRDefault="00E1671E" w14:paraId="4FF65CBA" w14:textId="77777777">
      <w:pPr>
        <w:autoSpaceDE w:val="0"/>
        <w:adjustRightInd w:val="0"/>
        <w:spacing w:line="240" w:lineRule="auto"/>
        <w:rPr>
          <w:rFonts w:eastAsia="DejaVuSerifCondensed" w:cs="DejaVuSerifCondensed"/>
        </w:rPr>
      </w:pPr>
      <w:r>
        <w:rPr>
          <w:rFonts w:eastAsia="DejaVuSerifCondensed" w:cs="DejaVuSerifCondensed"/>
        </w:rPr>
        <w:t>Antwoord 6</w:t>
      </w:r>
    </w:p>
    <w:p w:rsidR="00E1671E" w:rsidP="00E1671E" w:rsidRDefault="00E1671E" w14:paraId="39503E23" w14:textId="77777777">
      <w:pPr>
        <w:autoSpaceDE w:val="0"/>
        <w:adjustRightInd w:val="0"/>
        <w:spacing w:line="240" w:lineRule="auto"/>
      </w:pPr>
      <w:r w:rsidRPr="004A4440">
        <w:t>Post-</w:t>
      </w:r>
      <w:r>
        <w:t>covid</w:t>
      </w:r>
      <w:r w:rsidRPr="004A4440">
        <w:t xml:space="preserve"> is een relatief nieuw ziektebeeld</w:t>
      </w:r>
      <w:r>
        <w:t xml:space="preserve"> en i</w:t>
      </w:r>
      <w:r w:rsidRPr="00A650E5">
        <w:t>n het algemeen geldt dat de kennis hierover nog in opbouw is in de gehele medische sector.</w:t>
      </w:r>
      <w:r>
        <w:t xml:space="preserve"> Er is in deze sector dus nog geen duidelijkheid over de prognose. Daarom kan ik mij goed voorstellen dat het voor bedrijfs- en verzekeringsartsen lastig is om het verloop van de belastbaarheid goed in te schatten. Als er geen </w:t>
      </w:r>
      <w:proofErr w:type="spellStart"/>
      <w:r>
        <w:t>ziektespecifieke</w:t>
      </w:r>
      <w:proofErr w:type="spellEnd"/>
      <w:r>
        <w:t xml:space="preserve"> handvatten zijn, moeten de bedrijfs- en verzekeringsartsen terugvallen op meer algemene handvatten. Bijvoorbeeld de richtlijn ‘Chronisch zieken en werk’.</w:t>
      </w:r>
      <w:r>
        <w:rPr>
          <w:rStyle w:val="Voetnootmarkering"/>
        </w:rPr>
        <w:footnoteReference w:id="5"/>
      </w:r>
      <w:r>
        <w:t xml:space="preserve"> </w:t>
      </w:r>
    </w:p>
    <w:p w:rsidR="00E1671E" w:rsidP="00E1671E" w:rsidRDefault="00E1671E" w14:paraId="566C9423" w14:textId="77777777">
      <w:pPr>
        <w:autoSpaceDE w:val="0"/>
        <w:adjustRightInd w:val="0"/>
        <w:spacing w:line="240" w:lineRule="auto"/>
      </w:pPr>
      <w:r>
        <w:t xml:space="preserve">Ook kunnen deze professionals praktijkervaring gebruiken die ze hebben opgedaan bij andere postinfectieuze en/of ‘moeilijk objectiveerbare’ aandoeningen. Uit eigen ervaring, op kantoor in casuïstiekbesprekingen of landelijk vanuit de zogenaamde </w:t>
      </w:r>
      <w:proofErr w:type="spellStart"/>
      <w:r>
        <w:t>mediprudentiedatabase</w:t>
      </w:r>
      <w:proofErr w:type="spellEnd"/>
      <w:r>
        <w:t xml:space="preserve"> (beheerd door de Nederlandse Vereniging Verzekeringsgeneeskunde (NVVG)). Verzekeringsartsen van UWV kunnen daarbij het UWV-beoordelingskader ‘Beoordeling van de duurzaamheid van </w:t>
      </w:r>
      <w:r>
        <w:lastRenderedPageBreak/>
        <w:t xml:space="preserve">arbeidsbeperkingen’ gebruiken. De </w:t>
      </w:r>
      <w:proofErr w:type="spellStart"/>
      <w:r>
        <w:t>factsheet</w:t>
      </w:r>
      <w:proofErr w:type="spellEnd"/>
      <w:r>
        <w:t xml:space="preserve"> die binnen de NVVG in ontwikkeling is over post-COVID, zal op korte termijn aanvullend houvast bieden bij beoordelingen voor verzekeringsartsen.</w:t>
      </w:r>
    </w:p>
    <w:p w:rsidR="00E1671E" w:rsidP="00E1671E" w:rsidRDefault="00E1671E" w14:paraId="1E7BF13D" w14:textId="77777777">
      <w:pPr>
        <w:autoSpaceDE w:val="0"/>
        <w:adjustRightInd w:val="0"/>
        <w:spacing w:line="240" w:lineRule="auto"/>
        <w:rPr>
          <w:rFonts w:eastAsia="DejaVuSerifCondensed" w:cs="DejaVuSerifCondensed"/>
        </w:rPr>
      </w:pPr>
    </w:p>
    <w:p w:rsidR="00E1671E" w:rsidP="00E1671E" w:rsidRDefault="00E1671E" w14:paraId="13E26191" w14:textId="77777777">
      <w:pPr>
        <w:autoSpaceDE w:val="0"/>
        <w:adjustRightInd w:val="0"/>
        <w:spacing w:line="240" w:lineRule="auto"/>
        <w:rPr>
          <w:rFonts w:eastAsia="DejaVuSerifCondensed" w:cs="DejaVuSerifCondensed"/>
        </w:rPr>
      </w:pPr>
      <w:r>
        <w:rPr>
          <w:rFonts w:eastAsia="DejaVuSerifCondensed" w:cs="DejaVuSerifCondensed"/>
        </w:rPr>
        <w:t>Vraag 7</w:t>
      </w:r>
    </w:p>
    <w:p w:rsidR="00E1671E" w:rsidP="00E1671E" w:rsidRDefault="00E1671E" w14:paraId="6EC5B830" w14:textId="77777777">
      <w:pPr>
        <w:autoSpaceDE w:val="0"/>
        <w:adjustRightInd w:val="0"/>
        <w:spacing w:line="240" w:lineRule="auto"/>
        <w:rPr>
          <w:rFonts w:eastAsia="DejaVuSerifCondensed" w:cs="DejaVuSerifCondensed"/>
        </w:rPr>
      </w:pPr>
      <w:r w:rsidRPr="00FE57B1">
        <w:rPr>
          <w:rFonts w:eastAsia="DejaVuSerifCondensed" w:cs="DejaVuSerifCondensed"/>
        </w:rPr>
        <w:t>Deelt u de verwachting van het UWV dat het aantal long covid patiënten dat in de WIA terechtkomt de komende jaren nog op zal lopen? Zo ja, kunt u een prognose geven van de toename van de long covid gerelateerde instroom in de WIA voor de komende vijf jaar?</w:t>
      </w:r>
    </w:p>
    <w:p w:rsidR="00E1671E" w:rsidP="00E1671E" w:rsidRDefault="00E1671E" w14:paraId="3237F257" w14:textId="77777777">
      <w:pPr>
        <w:autoSpaceDE w:val="0"/>
        <w:adjustRightInd w:val="0"/>
        <w:spacing w:line="240" w:lineRule="auto"/>
        <w:rPr>
          <w:rFonts w:eastAsia="DejaVuSerifCondensed" w:cs="DejaVuSerifCondensed"/>
        </w:rPr>
      </w:pPr>
    </w:p>
    <w:p w:rsidR="00E1671E" w:rsidP="00E1671E" w:rsidRDefault="00E1671E" w14:paraId="2758B279" w14:textId="77777777">
      <w:pPr>
        <w:autoSpaceDE w:val="0"/>
        <w:adjustRightInd w:val="0"/>
        <w:spacing w:line="240" w:lineRule="auto"/>
        <w:rPr>
          <w:rFonts w:eastAsia="DejaVuSerifCondensed" w:cs="DejaVuSerifCondensed"/>
        </w:rPr>
      </w:pPr>
      <w:r>
        <w:rPr>
          <w:rFonts w:eastAsia="DejaVuSerifCondensed" w:cs="DejaVuSerifCondensed"/>
        </w:rPr>
        <w:t>Antwoord 7</w:t>
      </w:r>
    </w:p>
    <w:p w:rsidR="00E1671E" w:rsidP="00E1671E" w:rsidRDefault="00E1671E" w14:paraId="10C38EA5" w14:textId="77777777">
      <w:pPr>
        <w:autoSpaceDE w:val="0"/>
        <w:adjustRightInd w:val="0"/>
        <w:spacing w:line="240" w:lineRule="auto"/>
        <w:rPr>
          <w:rFonts w:eastAsia="DejaVuSerifCondensed" w:cs="DejaVuSerifCondensed"/>
        </w:rPr>
      </w:pPr>
      <w:r>
        <w:rPr>
          <w:rFonts w:eastAsia="DejaVuSerifCondensed" w:cs="DejaVuSerifCondensed"/>
        </w:rPr>
        <w:t xml:space="preserve">Het aantal mensen met post-covid liep op omdat het gaat om een relatief nieuw ziektebeeld. Er worden nog steeds nieuwe mensen beoordeeld met dit ziektebeeld. Ook zijn er (nog) weinig mensen met post-covid die uit de WIA stromen. </w:t>
      </w:r>
    </w:p>
    <w:p w:rsidR="00E1671E" w:rsidP="00E1671E" w:rsidRDefault="00E1671E" w14:paraId="39441CBE" w14:textId="77777777">
      <w:pPr>
        <w:autoSpaceDE w:val="0"/>
        <w:adjustRightInd w:val="0"/>
        <w:spacing w:line="240" w:lineRule="auto"/>
        <w:rPr>
          <w:rFonts w:eastAsia="DejaVuSerifCondensed" w:cs="DejaVuSerifCondensed"/>
        </w:rPr>
      </w:pPr>
    </w:p>
    <w:p w:rsidR="00E1671E" w:rsidP="00E1671E" w:rsidRDefault="00E1671E" w14:paraId="050F85D6" w14:textId="77777777">
      <w:pPr>
        <w:autoSpaceDE w:val="0"/>
        <w:adjustRightInd w:val="0"/>
        <w:spacing w:line="240" w:lineRule="auto"/>
        <w:rPr>
          <w:rFonts w:eastAsia="DejaVuSerifCondensed" w:cs="DejaVuSerifCondensed"/>
        </w:rPr>
      </w:pPr>
      <w:r>
        <w:rPr>
          <w:rFonts w:eastAsia="DejaVuSerifCondensed" w:cs="DejaVuSerifCondensed"/>
        </w:rPr>
        <w:t>Ik kan geen specifieke prognose geven van de toename van het aantal mensen met post-covid die in de WIA belanden. Het UWV neemt aan dat er vanaf 2026 minder mensen met post-covid in de WIA terecht zullen komen ten opzichte van 2024. Er zijn verschillende oorzaken voor. Veel mensen zijn ondertussen gevaccineerd en/of hebben immuniteit tegen COVID-19 opgebouwd. Ook lijken de nieuwe coronavarianten minder vaak tot langdurige klachten leiden.</w:t>
      </w:r>
    </w:p>
    <w:p w:rsidR="00E1671E" w:rsidP="00E1671E" w:rsidRDefault="00E1671E" w14:paraId="3F8E09EE" w14:textId="77777777">
      <w:pPr>
        <w:autoSpaceDE w:val="0"/>
        <w:adjustRightInd w:val="0"/>
        <w:spacing w:line="240" w:lineRule="auto"/>
        <w:rPr>
          <w:rFonts w:eastAsia="DejaVuSerifCondensed" w:cs="DejaVuSerifCondensed"/>
        </w:rPr>
      </w:pPr>
    </w:p>
    <w:p w:rsidR="00E1671E" w:rsidP="00E1671E" w:rsidRDefault="00E1671E" w14:paraId="471FC93A" w14:textId="77777777">
      <w:pPr>
        <w:autoSpaceDE w:val="0"/>
        <w:adjustRightInd w:val="0"/>
        <w:spacing w:line="240" w:lineRule="auto"/>
        <w:rPr>
          <w:rFonts w:eastAsia="DejaVuSerifCondensed" w:cs="DejaVuSerifCondensed"/>
        </w:rPr>
      </w:pPr>
      <w:r>
        <w:rPr>
          <w:rFonts w:eastAsia="DejaVuSerifCondensed" w:cs="DejaVuSerifCondensed"/>
        </w:rPr>
        <w:t>Vraag 8</w:t>
      </w:r>
    </w:p>
    <w:p w:rsidR="00E1671E" w:rsidP="00E1671E" w:rsidRDefault="00E1671E" w14:paraId="297780C7" w14:textId="77777777">
      <w:pPr>
        <w:autoSpaceDE w:val="0"/>
        <w:adjustRightInd w:val="0"/>
        <w:spacing w:line="240" w:lineRule="auto"/>
        <w:rPr>
          <w:rFonts w:eastAsia="DejaVuSerifCondensed" w:cs="DejaVuSerifCondensed"/>
        </w:rPr>
      </w:pPr>
      <w:r w:rsidRPr="00FE57B1">
        <w:rPr>
          <w:rFonts w:eastAsia="DejaVuSerifCondensed" w:cs="DejaVuSerifCondensed"/>
        </w:rPr>
        <w:t>Kunt u deze vragen beantwoorden voor het tweeminutendebat Arbeidsongeschiktheid (CD 18/2)?</w:t>
      </w:r>
    </w:p>
    <w:p w:rsidR="00E1671E" w:rsidP="00E1671E" w:rsidRDefault="00E1671E" w14:paraId="68940970" w14:textId="77777777">
      <w:pPr>
        <w:autoSpaceDE w:val="0"/>
        <w:adjustRightInd w:val="0"/>
        <w:spacing w:line="240" w:lineRule="auto"/>
        <w:rPr>
          <w:rFonts w:eastAsia="DejaVuSerifCondensed" w:cs="DejaVuSerifCondensed"/>
        </w:rPr>
      </w:pPr>
    </w:p>
    <w:p w:rsidR="00E1671E" w:rsidP="00E1671E" w:rsidRDefault="00E1671E" w14:paraId="123B01E8" w14:textId="77777777">
      <w:pPr>
        <w:autoSpaceDE w:val="0"/>
        <w:adjustRightInd w:val="0"/>
        <w:spacing w:line="240" w:lineRule="auto"/>
        <w:rPr>
          <w:rFonts w:eastAsia="DejaVuSerifCondensed" w:cs="DejaVuSerifCondensed"/>
        </w:rPr>
      </w:pPr>
      <w:r>
        <w:rPr>
          <w:rFonts w:eastAsia="DejaVuSerifCondensed" w:cs="DejaVuSerifCondensed"/>
        </w:rPr>
        <w:t>Antwoord 8</w:t>
      </w:r>
    </w:p>
    <w:p w:rsidR="00E1671E" w:rsidP="00E1671E" w:rsidRDefault="00E1671E" w14:paraId="7CC4CA30" w14:textId="77777777">
      <w:pPr>
        <w:autoSpaceDE w:val="0"/>
        <w:adjustRightInd w:val="0"/>
        <w:spacing w:line="240" w:lineRule="auto"/>
        <w:rPr>
          <w:rFonts w:eastAsia="DejaVuSerifCondensed" w:cs="DejaVuSerifCondensed"/>
        </w:rPr>
      </w:pPr>
      <w:r>
        <w:rPr>
          <w:rFonts w:eastAsia="DejaVuSerifCondensed" w:cs="DejaVuSerifCondensed"/>
        </w:rPr>
        <w:t>Hierbij stuur ik u de antwoorden voorafgaand aan het tweeminutendebat.</w:t>
      </w:r>
    </w:p>
    <w:p w:rsidRPr="009E4D4E" w:rsidR="00E1671E" w:rsidP="00E1671E" w:rsidRDefault="00E1671E" w14:paraId="248D9A63" w14:textId="77777777">
      <w:pPr>
        <w:autoSpaceDE w:val="0"/>
        <w:adjustRightInd w:val="0"/>
        <w:spacing w:line="240" w:lineRule="auto"/>
        <w:rPr>
          <w:rFonts w:eastAsia="DejaVuSerifCondensed" w:cs="DejaVuSerifCondensed"/>
        </w:rPr>
      </w:pPr>
    </w:p>
    <w:p w:rsidR="00E1671E" w:rsidP="00E1671E" w:rsidRDefault="00E1671E" w14:paraId="676880AF" w14:textId="77777777">
      <w:pPr>
        <w:autoSpaceDE w:val="0"/>
        <w:adjustRightInd w:val="0"/>
        <w:spacing w:line="240" w:lineRule="auto"/>
        <w:rPr>
          <w:rFonts w:eastAsia="DejaVuSerifCondensed" w:cs="DejaVuSerifCondensed"/>
        </w:rPr>
      </w:pPr>
    </w:p>
    <w:p w:rsidR="00E1671E" w:rsidP="00E1671E" w:rsidRDefault="00E1671E" w14:paraId="2F1DA6AC" w14:textId="77777777"/>
    <w:p w:rsidR="005141B2" w:rsidRDefault="005141B2" w14:paraId="1F8FD9F2" w14:textId="77777777"/>
    <w:sectPr w:rsidR="005141B2" w:rsidSect="00E1671E">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686A1" w14:textId="77777777" w:rsidR="00E1671E" w:rsidRDefault="00E1671E" w:rsidP="00E1671E">
      <w:pPr>
        <w:spacing w:after="0" w:line="240" w:lineRule="auto"/>
      </w:pPr>
      <w:r>
        <w:separator/>
      </w:r>
    </w:p>
  </w:endnote>
  <w:endnote w:type="continuationSeparator" w:id="0">
    <w:p w14:paraId="3610B9A5" w14:textId="77777777" w:rsidR="00E1671E" w:rsidRDefault="00E1671E" w:rsidP="00E16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00000000" w:usb1="5200FDFF" w:usb2="0A042021" w:usb3="00000000" w:csb0="000001BF" w:csb1="00000000"/>
  </w:font>
  <w:font w:name="Lohit Hindi">
    <w:altName w:val="Times New Roman"/>
    <w:charset w:val="00"/>
    <w:family w:val="auto"/>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C1DC" w14:textId="77777777" w:rsidR="00E1671E" w:rsidRPr="00E1671E" w:rsidRDefault="00E1671E" w:rsidP="00E167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17B8C" w14:textId="77777777" w:rsidR="00E1671E" w:rsidRPr="00E1671E" w:rsidRDefault="00E1671E" w:rsidP="00E167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4E46B" w14:textId="77777777" w:rsidR="00E1671E" w:rsidRPr="00E1671E" w:rsidRDefault="00E1671E" w:rsidP="00E167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379DC" w14:textId="77777777" w:rsidR="00E1671E" w:rsidRDefault="00E1671E" w:rsidP="00E1671E">
      <w:pPr>
        <w:spacing w:after="0" w:line="240" w:lineRule="auto"/>
      </w:pPr>
      <w:r>
        <w:separator/>
      </w:r>
    </w:p>
  </w:footnote>
  <w:footnote w:type="continuationSeparator" w:id="0">
    <w:p w14:paraId="3B9BC079" w14:textId="77777777" w:rsidR="00E1671E" w:rsidRDefault="00E1671E" w:rsidP="00E1671E">
      <w:pPr>
        <w:spacing w:after="0" w:line="240" w:lineRule="auto"/>
      </w:pPr>
      <w:r>
        <w:continuationSeparator/>
      </w:r>
    </w:p>
  </w:footnote>
  <w:footnote w:id="1">
    <w:p w14:paraId="7C2FD8C5" w14:textId="77777777" w:rsidR="00E1671E" w:rsidRPr="00DA5333" w:rsidRDefault="00E1671E" w:rsidP="00E1671E">
      <w:pPr>
        <w:autoSpaceDE w:val="0"/>
        <w:adjustRightInd w:val="0"/>
        <w:spacing w:line="240" w:lineRule="auto"/>
        <w:rPr>
          <w:rFonts w:eastAsia="DejaVuSerifCondensed" w:cs="DejaVuSerifCondensed"/>
          <w:sz w:val="16"/>
          <w:szCs w:val="16"/>
        </w:rPr>
      </w:pPr>
      <w:r w:rsidRPr="00781622">
        <w:rPr>
          <w:rStyle w:val="Voetnootmarkering"/>
          <w:sz w:val="16"/>
          <w:szCs w:val="16"/>
        </w:rPr>
        <w:footnoteRef/>
      </w:r>
      <w:r w:rsidRPr="00781622">
        <w:rPr>
          <w:sz w:val="16"/>
          <w:szCs w:val="16"/>
        </w:rPr>
        <w:t xml:space="preserve"> </w:t>
      </w:r>
      <w:r w:rsidRPr="00781622">
        <w:rPr>
          <w:rFonts w:eastAsia="DejaVuSerifCondensed" w:cs="DejaVuSerifCondensed"/>
          <w:sz w:val="16"/>
          <w:szCs w:val="16"/>
        </w:rPr>
        <w:t>NOS, 3 maart 2025, 'Steeds meer longcovidpatiënten arbeidsongeschikt, 'topje van de ijsberg', (</w:t>
      </w:r>
      <w:hyperlink r:id="rId1" w:history="1">
        <w:r w:rsidRPr="004840B0">
          <w:rPr>
            <w:rStyle w:val="Hyperlink"/>
            <w:rFonts w:eastAsia="DejaVuSerifCondensed" w:cs="DejaVuSerifCondensed"/>
            <w:sz w:val="16"/>
            <w:szCs w:val="16"/>
          </w:rPr>
          <w:t>Steeds meer longcovidpatiënten arbeidsongeschikt, 'topje van de ijsberg'</w:t>
        </w:r>
      </w:hyperlink>
      <w:r w:rsidRPr="00781622">
        <w:rPr>
          <w:rFonts w:eastAsia="DejaVuSerifCondensed" w:cs="DejaVuSerifCondensed"/>
          <w:sz w:val="16"/>
          <w:szCs w:val="16"/>
        </w:rPr>
        <w:t>).</w:t>
      </w:r>
    </w:p>
  </w:footnote>
  <w:footnote w:id="2">
    <w:p w14:paraId="529C0A22" w14:textId="77777777" w:rsidR="00E1671E" w:rsidRPr="0066345E" w:rsidRDefault="00E1671E" w:rsidP="00E1671E">
      <w:pPr>
        <w:pStyle w:val="Voetnoottekst"/>
        <w:rPr>
          <w:sz w:val="16"/>
          <w:szCs w:val="16"/>
        </w:rPr>
      </w:pPr>
      <w:r w:rsidRPr="00DA5333">
        <w:rPr>
          <w:rStyle w:val="Voetnootmarkering"/>
          <w:sz w:val="16"/>
          <w:szCs w:val="16"/>
        </w:rPr>
        <w:footnoteRef/>
      </w:r>
      <w:r w:rsidRPr="00DA5333">
        <w:rPr>
          <w:sz w:val="16"/>
          <w:szCs w:val="16"/>
        </w:rPr>
        <w:t xml:space="preserve"> De Rijksoverheid gebruikt de term ‘post-covid’ in plaats van ‘long covid’. Daarom wordt deze term ook gebruikt in de beantwoording van deze vragen.</w:t>
      </w:r>
    </w:p>
  </w:footnote>
  <w:footnote w:id="3">
    <w:p w14:paraId="473D8AE6" w14:textId="77777777" w:rsidR="00E1671E" w:rsidRDefault="00E1671E" w:rsidP="00E1671E">
      <w:pPr>
        <w:pStyle w:val="Voetnoottekst"/>
      </w:pPr>
      <w:r w:rsidRPr="00781622">
        <w:rPr>
          <w:rStyle w:val="Voetnootmarkering"/>
          <w:sz w:val="16"/>
          <w:szCs w:val="16"/>
        </w:rPr>
        <w:footnoteRef/>
      </w:r>
      <w:r w:rsidRPr="00781622">
        <w:rPr>
          <w:sz w:val="16"/>
          <w:szCs w:val="16"/>
        </w:rPr>
        <w:t xml:space="preserve"> Van 1 oktober 2022 tot en met 31 december 2024 liep de tijdelijke 60+-maatregel</w:t>
      </w:r>
      <w:r>
        <w:rPr>
          <w:sz w:val="16"/>
          <w:szCs w:val="16"/>
        </w:rPr>
        <w:t xml:space="preserve">. Hierbij beoordeelde </w:t>
      </w:r>
      <w:r w:rsidRPr="00781622">
        <w:rPr>
          <w:sz w:val="16"/>
          <w:szCs w:val="16"/>
        </w:rPr>
        <w:t>het UWV de WIA-aanvraag van 60-plussers eenvoudiger. Voor deze beoordelingen</w:t>
      </w:r>
      <w:r>
        <w:rPr>
          <w:sz w:val="16"/>
          <w:szCs w:val="16"/>
        </w:rPr>
        <w:t xml:space="preserve"> heeft het UWV niet bijgehouden of de diagnose </w:t>
      </w:r>
      <w:r w:rsidRPr="00781622">
        <w:rPr>
          <w:sz w:val="16"/>
          <w:szCs w:val="16"/>
        </w:rPr>
        <w:t xml:space="preserve">COVID-19 </w:t>
      </w:r>
      <w:r>
        <w:rPr>
          <w:sz w:val="16"/>
          <w:szCs w:val="16"/>
        </w:rPr>
        <w:t>of</w:t>
      </w:r>
      <w:r w:rsidRPr="00781622">
        <w:rPr>
          <w:sz w:val="16"/>
          <w:szCs w:val="16"/>
        </w:rPr>
        <w:t xml:space="preserve"> post-</w:t>
      </w:r>
      <w:r>
        <w:rPr>
          <w:sz w:val="16"/>
          <w:szCs w:val="16"/>
        </w:rPr>
        <w:t>covid was</w:t>
      </w:r>
      <w:r w:rsidRPr="00781622">
        <w:rPr>
          <w:sz w:val="16"/>
          <w:szCs w:val="16"/>
        </w:rPr>
        <w:t>. Hierdoor is het onbekend of deze instroom gerelateerd is aan COVID-19 of post-</w:t>
      </w:r>
      <w:r>
        <w:rPr>
          <w:sz w:val="16"/>
          <w:szCs w:val="16"/>
        </w:rPr>
        <w:t>covid</w:t>
      </w:r>
      <w:r w:rsidRPr="00781622">
        <w:rPr>
          <w:sz w:val="16"/>
          <w:szCs w:val="16"/>
        </w:rPr>
        <w:t>.</w:t>
      </w:r>
    </w:p>
  </w:footnote>
  <w:footnote w:id="4">
    <w:p w14:paraId="1F067D83" w14:textId="77777777" w:rsidR="00E1671E" w:rsidRPr="0066345E" w:rsidRDefault="00E1671E" w:rsidP="00E1671E">
      <w:pPr>
        <w:pStyle w:val="Voetnoottekst"/>
        <w:rPr>
          <w:rFonts w:eastAsia="Aptos" w:cs="Aptos"/>
          <w:sz w:val="16"/>
          <w:szCs w:val="16"/>
        </w:rPr>
      </w:pPr>
      <w:r w:rsidRPr="009E4C55">
        <w:rPr>
          <w:rStyle w:val="Voetnootmarkering"/>
          <w:sz w:val="16"/>
          <w:szCs w:val="16"/>
        </w:rPr>
        <w:footnoteRef/>
      </w:r>
      <w:r w:rsidRPr="009E4C55">
        <w:rPr>
          <w:sz w:val="16"/>
          <w:szCs w:val="16"/>
        </w:rPr>
        <w:t xml:space="preserve"> </w:t>
      </w:r>
      <w:r w:rsidRPr="009E4C55">
        <w:rPr>
          <w:rFonts w:eastAsia="Aptos" w:cs="Aptos"/>
          <w:sz w:val="16"/>
          <w:szCs w:val="16"/>
        </w:rPr>
        <w:t xml:space="preserve">Te vinden op </w:t>
      </w:r>
      <w:hyperlink r:id="rId2" w:history="1">
        <w:r w:rsidRPr="009E4C55">
          <w:rPr>
            <w:rStyle w:val="Hyperlink"/>
            <w:rFonts w:eastAsia="Aptos" w:cs="Aptos"/>
            <w:sz w:val="16"/>
            <w:szCs w:val="16"/>
          </w:rPr>
          <w:t>MAO–</w:t>
        </w:r>
      </w:hyperlink>
      <w:r w:rsidRPr="009E4C55">
        <w:rPr>
          <w:rFonts w:eastAsia="Aptos" w:cs="Aptos"/>
          <w:sz w:val="16"/>
          <w:szCs w:val="16"/>
        </w:rPr>
        <w:t>.</w:t>
      </w:r>
    </w:p>
  </w:footnote>
  <w:footnote w:id="5">
    <w:p w14:paraId="5709C9E7" w14:textId="77777777" w:rsidR="00E1671E" w:rsidRDefault="00E1671E" w:rsidP="00E1671E">
      <w:pPr>
        <w:pStyle w:val="Voetnoottekst"/>
      </w:pPr>
      <w:r w:rsidRPr="007A3535">
        <w:rPr>
          <w:rStyle w:val="Voetnootmarkering"/>
          <w:sz w:val="16"/>
          <w:szCs w:val="16"/>
        </w:rPr>
        <w:footnoteRef/>
      </w:r>
      <w:r w:rsidRPr="007A3535">
        <w:rPr>
          <w:sz w:val="16"/>
          <w:szCs w:val="16"/>
        </w:rPr>
        <w:t xml:space="preserve"> Te vinden op </w:t>
      </w:r>
      <w:hyperlink r:id="rId3" w:history="1">
        <w:r w:rsidRPr="007A3535">
          <w:rPr>
            <w:rStyle w:val="Hyperlink"/>
            <w:sz w:val="16"/>
            <w:szCs w:val="16"/>
          </w:rPr>
          <w:t>Richtlijn_ChronischZiekenenWerk.pdf</w:t>
        </w:r>
      </w:hyperlink>
      <w:r w:rsidRPr="007A3535">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4F1CF" w14:textId="77777777" w:rsidR="00E1671E" w:rsidRPr="00E1671E" w:rsidRDefault="00E1671E" w:rsidP="00E167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CA851" w14:textId="77777777" w:rsidR="00E1671E" w:rsidRPr="00E1671E" w:rsidRDefault="00E1671E" w:rsidP="00E167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1FB62" w14:textId="77777777" w:rsidR="00E1671E" w:rsidRPr="00E1671E" w:rsidRDefault="00E1671E" w:rsidP="00E1671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71E"/>
    <w:rsid w:val="005141B2"/>
    <w:rsid w:val="009116F2"/>
    <w:rsid w:val="00E167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ED288"/>
  <w15:chartTrackingRefBased/>
  <w15:docId w15:val="{9D874A84-387A-46BA-AF8D-26E4CC295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67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167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1671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1671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1671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167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67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67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67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671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1671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1671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1671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1671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167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67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67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671E"/>
    <w:rPr>
      <w:rFonts w:eastAsiaTheme="majorEastAsia" w:cstheme="majorBidi"/>
      <w:color w:val="272727" w:themeColor="text1" w:themeTint="D8"/>
    </w:rPr>
  </w:style>
  <w:style w:type="paragraph" w:styleId="Titel">
    <w:name w:val="Title"/>
    <w:basedOn w:val="Standaard"/>
    <w:next w:val="Standaard"/>
    <w:link w:val="TitelChar"/>
    <w:uiPriority w:val="10"/>
    <w:qFormat/>
    <w:rsid w:val="00E167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67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67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67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67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671E"/>
    <w:rPr>
      <w:i/>
      <w:iCs/>
      <w:color w:val="404040" w:themeColor="text1" w:themeTint="BF"/>
    </w:rPr>
  </w:style>
  <w:style w:type="paragraph" w:styleId="Lijstalinea">
    <w:name w:val="List Paragraph"/>
    <w:basedOn w:val="Standaard"/>
    <w:uiPriority w:val="34"/>
    <w:qFormat/>
    <w:rsid w:val="00E1671E"/>
    <w:pPr>
      <w:ind w:left="720"/>
      <w:contextualSpacing/>
    </w:pPr>
  </w:style>
  <w:style w:type="character" w:styleId="Intensievebenadrukking">
    <w:name w:val="Intense Emphasis"/>
    <w:basedOn w:val="Standaardalinea-lettertype"/>
    <w:uiPriority w:val="21"/>
    <w:qFormat/>
    <w:rsid w:val="00E1671E"/>
    <w:rPr>
      <w:i/>
      <w:iCs/>
      <w:color w:val="2F5496" w:themeColor="accent1" w:themeShade="BF"/>
    </w:rPr>
  </w:style>
  <w:style w:type="paragraph" w:styleId="Duidelijkcitaat">
    <w:name w:val="Intense Quote"/>
    <w:basedOn w:val="Standaard"/>
    <w:next w:val="Standaard"/>
    <w:link w:val="DuidelijkcitaatChar"/>
    <w:uiPriority w:val="30"/>
    <w:qFormat/>
    <w:rsid w:val="00E167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1671E"/>
    <w:rPr>
      <w:i/>
      <w:iCs/>
      <w:color w:val="2F5496" w:themeColor="accent1" w:themeShade="BF"/>
    </w:rPr>
  </w:style>
  <w:style w:type="character" w:styleId="Intensieveverwijzing">
    <w:name w:val="Intense Reference"/>
    <w:basedOn w:val="Standaardalinea-lettertype"/>
    <w:uiPriority w:val="32"/>
    <w:qFormat/>
    <w:rsid w:val="00E1671E"/>
    <w:rPr>
      <w:b/>
      <w:bCs/>
      <w:smallCaps/>
      <w:color w:val="2F5496" w:themeColor="accent1" w:themeShade="BF"/>
      <w:spacing w:val="5"/>
    </w:rPr>
  </w:style>
  <w:style w:type="character" w:styleId="Hyperlink">
    <w:name w:val="Hyperlink"/>
    <w:basedOn w:val="Standaardalinea-lettertype"/>
    <w:uiPriority w:val="99"/>
    <w:unhideWhenUsed/>
    <w:rsid w:val="00E1671E"/>
    <w:rPr>
      <w:color w:val="0563C1" w:themeColor="hyperlink"/>
      <w:u w:val="single"/>
    </w:rPr>
  </w:style>
  <w:style w:type="paragraph" w:customStyle="1" w:styleId="Afzendgegevens">
    <w:name w:val="Afzendgegevens"/>
    <w:basedOn w:val="Standaard"/>
    <w:next w:val="Standaard"/>
    <w:rsid w:val="00E1671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E1671E"/>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E1671E"/>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E1671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E1671E"/>
    <w:rPr>
      <w:caps/>
    </w:rPr>
  </w:style>
  <w:style w:type="paragraph" w:customStyle="1" w:styleId="Referentiegegevenskopjes">
    <w:name w:val="Referentiegegevenskopjes"/>
    <w:basedOn w:val="Standaard"/>
    <w:next w:val="Standaard"/>
    <w:rsid w:val="00E1671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E1671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E1671E"/>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E1671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1671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E1671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1671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1671E"/>
    <w:rPr>
      <w:vertAlign w:val="superscript"/>
    </w:rPr>
  </w:style>
  <w:style w:type="table" w:styleId="Tabelraster">
    <w:name w:val="Table Grid"/>
    <w:basedOn w:val="Standaardtabel"/>
    <w:uiPriority w:val="39"/>
    <w:rsid w:val="00E1671E"/>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nvab-online.nl/app/uploads/2024/08/Leidraad_Post-COVID_Syndroom_2022.pdf"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idraad_Post-COVID_Syndroom_2022.pdf"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nvab-online.nl/app/uploads/2024/06/Richtlijn_ChronischZiekenenWerk.pdf" TargetMode="External"/><Relationship Id="rId2" Type="http://schemas.openxmlformats.org/officeDocument/2006/relationships/hyperlink" Target="https://www.nvvg.nl/files/40/06_MAOC_Lisv.pdf" TargetMode="External"/><Relationship Id="rId1" Type="http://schemas.openxmlformats.org/officeDocument/2006/relationships/hyperlink" Target="https://nos.nl/artikel/2558025-steeds-meer-longcovidpatienten-arbeidsongeschikt-topje-van-de-ijsber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981</ap:Words>
  <ap:Characters>5400</ap:Characters>
  <ap:DocSecurity>0</ap:DocSecurity>
  <ap:Lines>45</ap:Lines>
  <ap:Paragraphs>12</ap:Paragraphs>
  <ap:ScaleCrop>false</ap:ScaleCrop>
  <ap:LinksUpToDate>false</ap:LinksUpToDate>
  <ap:CharactersWithSpaces>6369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2025-03-18T11:36:00.0000000Z</dcterms:created>
  <dcterms:modified xsi:type="dcterms:W3CDTF">2025-03-18T11:37:00.0000000Z</dcterms:modified>
  <version/>
  <category/>
</coreProperties>
</file>