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2025Z04931</w:t>
        <w:br/>
      </w:r>
      <w:proofErr w:type="spellEnd"/>
    </w:p>
    <w:p>
      <w:pPr>
        <w:pStyle w:val="Normal"/>
        <w:rPr>
          <w:b w:val="1"/>
          <w:bCs w:val="1"/>
        </w:rPr>
      </w:pPr>
      <w:r w:rsidR="250AE766">
        <w:rPr>
          <w:b w:val="0"/>
          <w:bCs w:val="0"/>
        </w:rPr>
        <w:t>(ingezonden 18 maart 2025)</w:t>
        <w:br/>
      </w:r>
    </w:p>
    <w:p>
      <w:r>
        <w:t xml:space="preserve">Vragen van de leden Hirsch en Piri (beiden GroenLinks-PvdA) aan de ministers van Buitenlandse Zaken en voor Buitenlandse Handel en Ontwikkelingshulp over de IOB-evaluatie van het Nederlandse mensenrechtenbeleid</w:t>
      </w:r>
      <w:r>
        <w:br/>
      </w:r>
    </w:p>
    <w:p>
      <w:pPr>
        <w:pStyle w:val="ListParagraph"/>
        <w:numPr>
          <w:ilvl w:val="0"/>
          <w:numId w:val="100471980"/>
        </w:numPr>
        <w:ind w:left="360"/>
      </w:pPr>
      <w:r>
        <w:t>Bent u het ermee eens dat om negatieve effecten te vermijden, de mensenrechtensituatie in een land ook moet worden meegewogen bij de beoordeling van een exportkredietverzekeringsaanvraag? Zo nee, waarom niet?</w:t>
      </w:r>
      <w:r>
        <w:br/>
      </w:r>
    </w:p>
    <w:p>
      <w:pPr>
        <w:pStyle w:val="ListParagraph"/>
        <w:numPr>
          <w:ilvl w:val="0"/>
          <w:numId w:val="100471980"/>
        </w:numPr>
        <w:ind w:left="360"/>
      </w:pPr>
      <w:r>
        <w:t>Geeft u navolging aan de aanbeveling van de directie Internationaal Onderzoek en Beleidsevaluatie (IOB) om aanvullende middelen ter beschikking te stellen aan ambassades in hoogrisicolanden waar de overheid via het handelsinstrumentarium betrokken raakt bij omvangrijke economische projecten? Zo niet, waarom niet? Zo ja, hoe?</w:t>
      </w:r>
      <w:r>
        <w:br/>
      </w:r>
    </w:p>
    <w:p>
      <w:pPr>
        <w:pStyle w:val="ListParagraph"/>
        <w:numPr>
          <w:ilvl w:val="0"/>
          <w:numId w:val="100471980"/>
        </w:numPr>
        <w:ind w:left="360"/>
      </w:pPr>
      <w:r>
        <w:t>Klopt het dat projecten die in de eerste instantie niet aan de door Atradius Dutch State Business (ADSB) gehanteerde standaarden voldoen nog steeds exportkredietverzekering toegekend kunnen krijgen als er een actieplan is om wel aan standaarden te voldoen? Welke overwegingen maakt ADSB hierbij? Welke middelen heeft ADSB tot zijn beschikking om concrete acties af te dwingen? Zijn er casussen waarbij dit nodig bleek te zijn? Zo ja, welke en waarom? Wat zijn de gevolgen als opvolging van het actieplan uitblijft? Zijn er gevallen geweest waarin de Nederlandse overheid bedrijven extra ondersteuning heeft gegeven om hun actieplan uit te voeren? Zo ja, welke en op welke manier is die uitvoering gesteund?</w:t>
      </w:r>
      <w:r>
        <w:br/>
      </w:r>
    </w:p>
    <w:p>
      <w:pPr>
        <w:pStyle w:val="ListParagraph"/>
        <w:numPr>
          <w:ilvl w:val="0"/>
          <w:numId w:val="100471980"/>
        </w:numPr>
        <w:ind w:left="360"/>
      </w:pPr>
      <w:r>
        <w:t>Geeft u navolging aan de aanbeveling van de IOB om de juridische mogelijkheden om de mensenrechten-effectanalyses en de plannen om deze risico’s aan te pakken, openbaar te maken voor projecten in hoogrisicolanden die de overheid ondersteunt met een exportkredietverzekering?</w:t>
      </w:r>
      <w:r>
        <w:br/>
      </w:r>
    </w:p>
    <w:p>
      <w:pPr>
        <w:pStyle w:val="ListParagraph"/>
        <w:numPr>
          <w:ilvl w:val="0"/>
          <w:numId w:val="100471980"/>
        </w:numPr>
        <w:ind w:left="360"/>
      </w:pPr>
      <w:r>
        <w:t>Welk signaal geeft Nederland volgens u af door handelsmissies uit te voeren naar landen die mensenrechtenverdragen structureel en grootschalig met de voeten treden?</w:t>
      </w:r>
      <w:r>
        <w:br/>
      </w:r>
    </w:p>
    <w:p>
      <w:pPr>
        <w:pStyle w:val="ListParagraph"/>
        <w:numPr>
          <w:ilvl w:val="0"/>
          <w:numId w:val="100471980"/>
        </w:numPr>
        <w:ind w:left="360"/>
      </w:pPr>
      <w:r>
        <w:t>Ziet u een rol voor handelsmissies in het bevorderen van mensenrechten, bijvoorbeeld door (potentiële) handelspartners te wijzen op het niet naleven van mensenrechtenverdragen? Zo ja, op welke wijze adresseert u mensenrechten risico’s in de aanloop naar en tijdens de handelsmissies zelf?</w:t>
      </w:r>
      <w:r>
        <w:br/>
      </w:r>
    </w:p>
    <w:p>
      <w:pPr>
        <w:pStyle w:val="ListParagraph"/>
        <w:numPr>
          <w:ilvl w:val="0"/>
          <w:numId w:val="100471980"/>
        </w:numPr>
        <w:ind w:left="360"/>
      </w:pPr>
      <w:r>
        <w:t>Waarom ontbreken mensenrechten vaak op de agenda tijdens bilaterale consultaties, met name met landen waarbij er sprake is van strategische afhankelijkheden, zoals uit de IOB-evaluatie blijkt?</w:t>
      </w:r>
      <w:r>
        <w:br/>
      </w:r>
    </w:p>
    <w:p>
      <w:pPr>
        <w:pStyle w:val="ListParagraph"/>
        <w:numPr>
          <w:ilvl w:val="0"/>
          <w:numId w:val="100471980"/>
        </w:numPr>
        <w:ind w:left="360"/>
      </w:pPr>
      <w:r>
        <w:t>Bent u het ermee eens dat mensenrechtenbevordering niet afhankelijk mag zijn van andere belangen? Zo ja, hoe gaat u ervoor zorgen dat in de toekomst mensenrechten vaker op de agenda staan tijdens gesprekken met handelspartners? Zo nee, waarom niet?</w:t>
      </w:r>
      <w:r>
        <w:br/>
      </w:r>
    </w:p>
    <w:p>
      <w:pPr>
        <w:pStyle w:val="ListParagraph"/>
        <w:numPr>
          <w:ilvl w:val="0"/>
          <w:numId w:val="100471980"/>
        </w:numPr>
        <w:ind w:left="360"/>
      </w:pPr>
      <w:r>
        <w:t>Geeft u navolging aan de aanbeveling van de IOB om meer uitgebreide voorlichting over de mensenrechtensituatie en de risico’s op mensenrechtenschendingen te geven aan bedrijven die deelnemen aan handelsmissies naar hoogrisicolanden? En bent u bereid om daarbij meer gebruik te maken van de expertise van maatschappelijke organisaties en andere externe deskundigen? Zo nee, waarom niet?</w:t>
      </w:r>
      <w:r>
        <w:br/>
      </w:r>
    </w:p>
    <w:p>
      <w:pPr>
        <w:pStyle w:val="ListParagraph"/>
        <w:numPr>
          <w:ilvl w:val="0"/>
          <w:numId w:val="100471980"/>
        </w:numPr>
        <w:ind w:left="360"/>
      </w:pPr>
      <w:r>
        <w:t>Geeft u navolging aan de aanbeveling van de IOB om de openbaarmaking van de MVO-zelfscan als voorwaarde te stellen voor deelname aan handelsmissies naar hoog-risicolanden? Zo nee, waarom niet?</w:t>
      </w:r>
      <w:r>
        <w:br/>
      </w:r>
    </w:p>
    <w:p>
      <w:pPr>
        <w:pStyle w:val="ListParagraph"/>
        <w:numPr>
          <w:ilvl w:val="0"/>
          <w:numId w:val="100471980"/>
        </w:numPr>
        <w:ind w:left="360"/>
      </w:pPr>
      <w:r>
        <w:t>Wanneer verwacht u de kabinetsreactie op het volledige IOB-rapport met de Kamer te kunnen delen?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980">
    <w:abstractNumId w:val="100471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