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2025Z04938</w:t>
        <w:br/>
      </w:r>
      <w:proofErr w:type="spellEnd"/>
    </w:p>
    <w:p>
      <w:pPr>
        <w:pStyle w:val="Normal"/>
        <w:rPr>
          <w:b w:val="1"/>
          <w:bCs w:val="1"/>
        </w:rPr>
      </w:pPr>
      <w:r w:rsidR="250AE766">
        <w:rPr>
          <w:b w:val="0"/>
          <w:bCs w:val="0"/>
        </w:rPr>
        <w:t>(ingezonden 18 maart 2025)</w:t>
        <w:br/>
      </w:r>
    </w:p>
    <w:p>
      <w:r>
        <w:t xml:space="preserve">Vragen van de leden Ceder (ChristenUnie) en Piri (GroenLinks-PvdA) aan de minister van Buitenlandse Zaken over het vervolg ten aanzien van de zaak van Tent of Nations en effectieve bescherming van Palestijnen</w:t>
      </w:r>
      <w:r>
        <w:br/>
      </w:r>
    </w:p>
    <w:p>
      <w:r>
        <w:t xml:space="preserve"> </w:t>
      </w:r>
      <w:r>
        <w:br/>
      </w:r>
    </w:p>
    <w:p>
      <w:pPr>
        <w:pStyle w:val="ListParagraph"/>
        <w:numPr>
          <w:ilvl w:val="0"/>
          <w:numId w:val="100472080"/>
        </w:numPr>
        <w:ind w:left="360"/>
      </w:pPr>
      <w:r>
        <w:t>Herinnert u zich de antwoorden van uw ambtsvoorganger over de zaak van Tent of Nations? [1] Klopt het dat de zaak van Tent of Nations, die al langer dan dertig jaar loopt, het langstlopende landregistratieproces in Israël is?</w:t>
      </w:r>
      <w:r>
        <w:br/>
      </w:r>
    </w:p>
    <w:p>
      <w:pPr>
        <w:pStyle w:val="ListParagraph"/>
        <w:numPr>
          <w:ilvl w:val="0"/>
          <w:numId w:val="100472080"/>
        </w:numPr>
        <w:ind w:left="360"/>
      </w:pPr>
      <w:r>
        <w:t>Heeft u, zoals toegezegd bij het commissiedebat Raad Buitenlandse Zaken in februari, bij de Europese Unie (EU)-Israël Associatieraad minister Sa’ar aangesproken op de zaak Tent of Nations? Zo ja, wat was de reactie van minister Sa’ar?</w:t>
      </w:r>
      <w:r>
        <w:br/>
      </w:r>
    </w:p>
    <w:p>
      <w:pPr>
        <w:pStyle w:val="ListParagraph"/>
        <w:numPr>
          <w:ilvl w:val="0"/>
          <w:numId w:val="100472080"/>
        </w:numPr>
        <w:ind w:left="360"/>
      </w:pPr>
      <w:r>
        <w:t>Is er inmiddels duidelijkheid gegeven waarom de beoordeling van de stukken zo lang duurt en waarom er opnieuw vertraging is? Zou u deze kwestie opnieuw en met spoed kunnen aankaarten bij de Israëlische autoriteiten?</w:t>
      </w:r>
      <w:r>
        <w:br/>
      </w:r>
    </w:p>
    <w:p>
      <w:pPr>
        <w:pStyle w:val="ListParagraph"/>
        <w:numPr>
          <w:ilvl w:val="0"/>
          <w:numId w:val="100472080"/>
        </w:numPr>
        <w:ind w:left="360"/>
      </w:pPr>
      <w:r>
        <w:t>In eerdere beantwoording gaf het kabinet aan dat uit gesprekken met de Coordination of Government Activities in the Territories (COGAT) bleek dat het aanleggen van de twee wegen in de buurt van de Tent of Nations niet is toegestaan en dat COGAT stelde hierop zullen handhaven; is dit inmiddels gebeurd? Zo nee, waarom niet?</w:t>
      </w:r>
      <w:r>
        <w:br/>
      </w:r>
    </w:p>
    <w:p>
      <w:pPr>
        <w:pStyle w:val="ListParagraph"/>
        <w:numPr>
          <w:ilvl w:val="0"/>
          <w:numId w:val="100472080"/>
        </w:numPr>
        <w:ind w:left="360"/>
      </w:pPr>
      <w:r>
        <w:t>Klopt het dat het Hooggerechtshof op 8 oktober 2024 de uitspraak heeft gedaan dat de staat Israël de wegen moest verwijderen binnen zestig dagen en dat als de staat in gebreke zou blijven, de familie Nassar naar de Civil Court in Jeruzalem zou kunnen gaan?</w:t>
      </w:r>
      <w:r>
        <w:br/>
      </w:r>
    </w:p>
    <w:p>
      <w:pPr>
        <w:pStyle w:val="ListParagraph"/>
        <w:numPr>
          <w:ilvl w:val="0"/>
          <w:numId w:val="100472080"/>
        </w:numPr>
        <w:ind w:left="360"/>
      </w:pPr>
      <w:r>
        <w:t>Klopt het dat op 6 februari 2025 bij de Civil Court de uitspraak werd gedaan dat het land waar de wegen zijn aangelegd inderdaad aan de familie Nassar toebehoren? Indien dat zo is, kan het kabinet dan bij COGAT en Israëlische autoriteiten ook op directe naleving aandringen? Welke pressiemiddelen heeft de familie indien aan de uitspraak geen gehoor wordt gegeven?</w:t>
      </w:r>
      <w:r>
        <w:br/>
      </w:r>
    </w:p>
    <w:p>
      <w:pPr>
        <w:pStyle w:val="ListParagraph"/>
        <w:numPr>
          <w:ilvl w:val="0"/>
          <w:numId w:val="100472080"/>
        </w:numPr>
        <w:ind w:left="360"/>
      </w:pPr>
      <w:r>
        <w:t>Ziet u ook dat er meer constructies en wegen worden gebouwd en de incidenten toenemen? Kan u opnieuw met spoed contact opnemen met COGAT om te handhaven en de illegale structuren te verwijderen en te zorgen voor feitelijke bescherming aan de eigenaren van het gebied en hun bezoekers?</w:t>
      </w:r>
      <w:r>
        <w:br/>
      </w:r>
    </w:p>
    <w:p>
      <w:pPr>
        <w:pStyle w:val="ListParagraph"/>
        <w:numPr>
          <w:ilvl w:val="0"/>
          <w:numId w:val="100472080"/>
        </w:numPr>
        <w:ind w:left="360"/>
      </w:pPr>
      <w:r>
        <w:t>Erkent u dat door te lang te wachten een feitelijk onomkeerbare situatie dreigt te ontstaan en dat dit, in afwachting van een definitieve uitspraak, zeer onwenselijk is? Kan u COGAT wijzen op hun eerdere toezegging om op te treden en verzoeken dit alsnog te doen?</w:t>
      </w:r>
      <w:r>
        <w:br/>
      </w:r>
    </w:p>
    <w:p>
      <w:pPr>
        <w:pStyle w:val="ListParagraph"/>
        <w:numPr>
          <w:ilvl w:val="0"/>
          <w:numId w:val="100472080"/>
        </w:numPr>
        <w:ind w:left="360"/>
      </w:pPr>
      <w:r>
        <w:t>Hoe verhouden de antwoorden van uw ambtsvoorganger dat volgens het bezettingsrecht de Israëlische militaire commandant verantwoordelijk is voor de veiligheid van de Palestijnse burgerbevolking zich tot de afspraken die tussen de Israëlische autoriteiten en de Palestijnse Autoriteit (PA) zijn gemaakt en de verschillende rollen ten aanzien van Area A, B, C? Kan het kloppen dat de praktische afspraken niet te verklaren zijn vanuit het bezettingsrecht, maar juist uit de lex specialis, voortvloeiend uit afspraken die rond de Oslo-akkoorden zijn gemaakt?</w:t>
      </w:r>
      <w:r>
        <w:br/>
      </w:r>
    </w:p>
    <w:p>
      <w:pPr>
        <w:pStyle w:val="ListParagraph"/>
        <w:numPr>
          <w:ilvl w:val="0"/>
          <w:numId w:val="100472080"/>
        </w:numPr>
        <w:ind w:left="360"/>
      </w:pPr>
      <w:r>
        <w:t>Herinnert u zich het antwoord van uw ambtsvoorganger dat Israëlische politiebureaus zich geregeld in gesloten nederzettingen bevinden, die Palestijnen alleen mogen betreden na goedkeuring en onder begeleiding? Bent u bereid om de Israëlische regering aan te spreken op het feitelijk mogelijk te maken van het doen van aangifte op bereikbare locaties?</w:t>
      </w:r>
      <w:r>
        <w:br/>
      </w:r>
    </w:p>
    <w:p>
      <w:pPr>
        <w:pStyle w:val="ListParagraph"/>
        <w:numPr>
          <w:ilvl w:val="0"/>
          <w:numId w:val="100472080"/>
        </w:numPr>
        <w:ind w:left="360"/>
      </w:pPr>
      <w:r>
        <w:t>Kunt u uiteenzetten welke afspraken er zijn gemaakt tussen de PA en de Israëlische autoriteiten ten aanzien van de veiligheid en bescherming van Palestijnse burgers in Area C? Zou u hierbij ook specifiek in kunnen gaan op afspraken ten aanzien van de mogelijkheid voor Palestijnen om ongehinderd aangifte te kunnen doen?</w:t>
      </w:r>
      <w:r>
        <w:br/>
      </w:r>
    </w:p>
    <w:p>
      <w:pPr>
        <w:pStyle w:val="ListParagraph"/>
        <w:numPr>
          <w:ilvl w:val="0"/>
          <w:numId w:val="100472080"/>
        </w:numPr>
        <w:ind w:left="360"/>
      </w:pPr>
      <w:r>
        <w:t>Kunt u aangeven welke afspraken er specifiek zijn gemaakt ten aanzien van de rollen van de Palestijnse politie en de Israëlische autoriteiten en de afbakening van de verschillende bevoegdheden? Zou u, indien deze er zijn, kunnen verwijzen naar documenten waarin deze afspraken zijn vastgelegd?</w:t>
      </w:r>
      <w:r>
        <w:br/>
      </w:r>
    </w:p>
    <w:p>
      <w:r>
        <w:t xml:space="preserve"> </w:t>
      </w:r>
      <w:r>
        <w:br/>
      </w:r>
    </w:p>
    <w:p>
      <w:r>
        <w:t xml:space="preserve">[1] Aanhangsel Handelingen II, vergaderjaar 2023-2024, nr.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980">
    <w:abstractNumId w:val="100471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