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2025Z04939</w:t>
        <w:br/>
      </w:r>
      <w:proofErr w:type="spellEnd"/>
    </w:p>
    <w:p>
      <w:pPr>
        <w:pStyle w:val="Normal"/>
        <w:rPr>
          <w:b w:val="1"/>
          <w:bCs w:val="1"/>
        </w:rPr>
      </w:pPr>
      <w:r w:rsidR="250AE766">
        <w:rPr>
          <w:b w:val="0"/>
          <w:bCs w:val="0"/>
        </w:rPr>
        <w:t>(ingezonden 18 maart 2025)</w:t>
        <w:br/>
      </w:r>
    </w:p>
    <w:p>
      <w:r>
        <w:t xml:space="preserve">Vragen van het lid Tseggai (GroenLinks-PvdA) aan de staatssecretarissen van Sociale Zaken en Werkgelegenheid en van Justitie en Veiligheid over het bericht 'School voor asielzoekers en statushouders sluit: ‘Terug naar de eenzaamheid’</w:t>
      </w:r>
      <w:r>
        <w:br/>
      </w:r>
    </w:p>
    <w:p>
      <w:pPr>
        <w:pStyle w:val="ListParagraph"/>
        <w:numPr>
          <w:ilvl w:val="0"/>
          <w:numId w:val="100472100"/>
        </w:numPr>
        <w:ind w:left="360"/>
      </w:pPr>
      <w:r>
        <w:t>Bent u bekend met het bericht 'School voor asielzoekers en statushouders sluit: ‘Terug naar de eenzaamheid’'? 1)</w:t>
      </w:r>
      <w:r>
        <w:br/>
      </w:r>
    </w:p>
    <w:p>
      <w:pPr>
        <w:pStyle w:val="ListParagraph"/>
        <w:numPr>
          <w:ilvl w:val="0"/>
          <w:numId w:val="100472100"/>
        </w:numPr>
        <w:ind w:left="360"/>
      </w:pPr>
      <w:r>
        <w:t>Wat vindt u van het initiatief ‘Iedereen aan boord’ in Deventer, dat zowel statushouders als asielzoekers een programma laat volgen dat zich richt op taalles, het vinden van een baan en het opbouwen van een sociaal netwerk?</w:t>
      </w:r>
      <w:r>
        <w:br/>
      </w:r>
    </w:p>
    <w:p>
      <w:pPr>
        <w:pStyle w:val="ListParagraph"/>
        <w:numPr>
          <w:ilvl w:val="0"/>
          <w:numId w:val="100472100"/>
        </w:numPr>
        <w:ind w:left="360"/>
      </w:pPr>
      <w:r>
        <w:t>Vindt u het rationeel beleid om asielzoekers geen taalles te geven, maar te wachten tot zij statushouder zijn, terwijl het overgrote deel (85%) van de asielzoekers recht heeft op asiel? Kan er geconcludeerd worden dat u uw beleid baseert op de 15% die geen recht op asiel verkrijgt? Kunt u in uw antwoord de gemiddelde doorlooptijd van een asielprocedure meenemen?</w:t>
      </w:r>
      <w:r>
        <w:br/>
      </w:r>
    </w:p>
    <w:p>
      <w:pPr>
        <w:pStyle w:val="ListParagraph"/>
        <w:numPr>
          <w:ilvl w:val="0"/>
          <w:numId w:val="100472100"/>
        </w:numPr>
        <w:ind w:left="360"/>
      </w:pPr>
      <w:r>
        <w:t>Denkt u dat het geven van taallessen aan asielzoekers vanaf de eerste dag dat zij hier zijn, een goede uitvoering is van het voornemen uit de Actieagenda Integratie en de Open en Vrije Samenleving om "zo snel mogelijk mee te doen"? 2) Zo nee, waarom niet?</w:t>
      </w:r>
      <w:r>
        <w:br/>
      </w:r>
    </w:p>
    <w:p>
      <w:pPr>
        <w:pStyle w:val="ListParagraph"/>
        <w:numPr>
          <w:ilvl w:val="0"/>
          <w:numId w:val="100472100"/>
        </w:numPr>
        <w:ind w:left="360"/>
      </w:pPr>
      <w:r>
        <w:t>Denkt u dat het taalniveau en de kansen op de arbeidsmarkt toenemen als asielzoekers vanaf de eerste dag dat zij hier zijn taalles krijgen? Zo nee, waarom niet?</w:t>
      </w:r>
      <w:r>
        <w:br/>
      </w:r>
    </w:p>
    <w:p>
      <w:r>
        <w:t xml:space="preserve"> </w:t>
      </w:r>
      <w:r>
        <w:br/>
      </w:r>
    </w:p>
    <w:p>
      <w:r>
        <w:t xml:space="preserve">1) Hart van Nederland, 11 maart 2025, 'School voor asielzoekers en statushouders sluit: 'Terug naar de eenzaamheid'' (www.hartvannederland.nl/politiek/beleid/artikelen/school-asielzoekers-statushouders-deventer-sluit).</w:t>
      </w:r>
      <w:r>
        <w:br/>
      </w:r>
    </w:p>
    <w:p>
      <w:r>
        <w:t xml:space="preserve">2) Kamerstuk 32 824, nr. 448, p. 10.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1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1980">
    <w:abstractNumId w:val="100471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