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27FDB" w:rsidR="00327FDB" w:rsidRDefault="00327FDB" w14:paraId="5F9BC1DD" w14:textId="4B311F6B">
      <w:pPr>
        <w:rPr>
          <w:rFonts w:ascii="Verdana" w:hAnsi="Verdana"/>
          <w:b/>
          <w:bCs/>
          <w:sz w:val="18"/>
          <w:szCs w:val="18"/>
        </w:rPr>
      </w:pPr>
      <w:r w:rsidRPr="00327FDB">
        <w:rPr>
          <w:rFonts w:ascii="Verdana" w:hAnsi="Verdana"/>
          <w:b/>
          <w:bCs/>
          <w:sz w:val="18"/>
          <w:szCs w:val="18"/>
        </w:rPr>
        <w:t>Beantwoording schriftelijk inbreng op Voortgangsrapportage Hersteloperatie toeslagen periode september – december 2024</w:t>
      </w:r>
    </w:p>
    <w:p w:rsidR="00327FDB" w:rsidRDefault="00327FDB" w14:paraId="2BAC740B" w14:textId="77777777"/>
    <w:tbl>
      <w:tblPr>
        <w:tblW w:w="14459" w:type="dxa"/>
        <w:tblInd w:w="-142" w:type="dxa"/>
        <w:tblLayout w:type="fixed"/>
        <w:tblCellMar>
          <w:left w:w="0" w:type="dxa"/>
          <w:right w:w="0" w:type="dxa"/>
        </w:tblCellMar>
        <w:tblLook w:val="0000" w:firstRow="0" w:lastRow="0" w:firstColumn="0" w:lastColumn="0" w:noHBand="0" w:noVBand="0"/>
      </w:tblPr>
      <w:tblGrid>
        <w:gridCol w:w="568"/>
        <w:gridCol w:w="4677"/>
        <w:gridCol w:w="284"/>
        <w:gridCol w:w="8930"/>
      </w:tblGrid>
      <w:tr w:rsidRPr="00A10AC0" w:rsidR="008716C0" w:rsidTr="00A10AC0" w14:paraId="1D1D78AD" w14:textId="6A88D11B">
        <w:trPr>
          <w:cantSplit/>
        </w:trPr>
        <w:tc>
          <w:tcPr>
            <w:tcW w:w="568" w:type="dxa"/>
            <w:vAlign w:val="center"/>
          </w:tcPr>
          <w:p w:rsidRPr="00A10AC0" w:rsidR="008716C0" w:rsidP="00A10AC0" w:rsidRDefault="008716C0" w14:paraId="75932E42" w14:textId="77777777">
            <w:pPr>
              <w:spacing w:line="276" w:lineRule="auto"/>
              <w:rPr>
                <w:rFonts w:ascii="Verdana" w:hAnsi="Verdana"/>
                <w:b/>
                <w:bCs/>
                <w:sz w:val="18"/>
                <w:szCs w:val="18"/>
              </w:rPr>
            </w:pPr>
            <w:r w:rsidRPr="00A10AC0">
              <w:rPr>
                <w:rFonts w:ascii="Verdana" w:hAnsi="Verdana"/>
                <w:b/>
                <w:bCs/>
                <w:sz w:val="18"/>
                <w:szCs w:val="18"/>
              </w:rPr>
              <w:t>Nr.</w:t>
            </w:r>
          </w:p>
          <w:p w:rsidRPr="00A10AC0" w:rsidR="008716C0" w:rsidP="00A10AC0" w:rsidRDefault="008716C0" w14:paraId="5647348D" w14:textId="4C982760">
            <w:pPr>
              <w:spacing w:line="276" w:lineRule="auto"/>
              <w:jc w:val="center"/>
              <w:rPr>
                <w:rFonts w:ascii="Verdana" w:hAnsi="Verdana"/>
                <w:b/>
                <w:bCs/>
                <w:sz w:val="18"/>
                <w:szCs w:val="18"/>
              </w:rPr>
            </w:pPr>
          </w:p>
        </w:tc>
        <w:tc>
          <w:tcPr>
            <w:tcW w:w="4677" w:type="dxa"/>
            <w:vAlign w:val="center"/>
          </w:tcPr>
          <w:p w:rsidRPr="00A10AC0" w:rsidR="008716C0" w:rsidP="00A10AC0" w:rsidRDefault="008716C0" w14:paraId="7837690B" w14:textId="77777777">
            <w:pPr>
              <w:spacing w:line="276" w:lineRule="auto"/>
              <w:rPr>
                <w:rFonts w:ascii="Verdana" w:hAnsi="Verdana"/>
                <w:b/>
                <w:bCs/>
                <w:sz w:val="18"/>
                <w:szCs w:val="18"/>
              </w:rPr>
            </w:pPr>
            <w:r w:rsidRPr="00A10AC0">
              <w:rPr>
                <w:rFonts w:ascii="Verdana" w:hAnsi="Verdana"/>
                <w:b/>
                <w:bCs/>
                <w:sz w:val="18"/>
                <w:szCs w:val="18"/>
              </w:rPr>
              <w:t>Vraag</w:t>
            </w:r>
          </w:p>
          <w:p w:rsidRPr="00A10AC0" w:rsidR="008716C0" w:rsidP="00A10AC0" w:rsidRDefault="008716C0" w14:paraId="04B7E01D" w14:textId="77777777">
            <w:pPr>
              <w:spacing w:line="276" w:lineRule="auto"/>
              <w:jc w:val="center"/>
              <w:rPr>
                <w:rFonts w:ascii="Verdana" w:hAnsi="Verdana"/>
                <w:b/>
                <w:bCs/>
                <w:sz w:val="18"/>
                <w:szCs w:val="18"/>
              </w:rPr>
            </w:pPr>
          </w:p>
        </w:tc>
        <w:tc>
          <w:tcPr>
            <w:tcW w:w="284" w:type="dxa"/>
          </w:tcPr>
          <w:p w:rsidRPr="00A10AC0" w:rsidR="008716C0" w:rsidP="00A10AC0" w:rsidRDefault="008716C0" w14:paraId="7A297D90" w14:textId="77777777">
            <w:pPr>
              <w:spacing w:line="276" w:lineRule="auto"/>
              <w:ind w:right="283"/>
              <w:jc w:val="center"/>
              <w:rPr>
                <w:rFonts w:ascii="Verdana" w:hAnsi="Verdana"/>
                <w:b/>
                <w:bCs/>
                <w:sz w:val="18"/>
                <w:szCs w:val="18"/>
              </w:rPr>
            </w:pPr>
          </w:p>
        </w:tc>
        <w:tc>
          <w:tcPr>
            <w:tcW w:w="8930" w:type="dxa"/>
            <w:vAlign w:val="center"/>
          </w:tcPr>
          <w:p w:rsidRPr="00A10AC0" w:rsidR="008716C0" w:rsidP="00A10AC0" w:rsidRDefault="008716C0" w14:paraId="3C42959B" w14:textId="099026B4">
            <w:pPr>
              <w:spacing w:line="276" w:lineRule="auto"/>
              <w:rPr>
                <w:rFonts w:ascii="Verdana" w:hAnsi="Verdana"/>
                <w:b/>
                <w:bCs/>
                <w:sz w:val="18"/>
                <w:szCs w:val="18"/>
              </w:rPr>
            </w:pPr>
            <w:r w:rsidRPr="00A10AC0">
              <w:rPr>
                <w:rFonts w:ascii="Verdana" w:hAnsi="Verdana"/>
                <w:b/>
                <w:bCs/>
                <w:sz w:val="18"/>
                <w:szCs w:val="18"/>
              </w:rPr>
              <w:t>Antwoord</w:t>
            </w:r>
          </w:p>
          <w:p w:rsidRPr="00A10AC0" w:rsidR="008716C0" w:rsidP="00A10AC0" w:rsidRDefault="008716C0" w14:paraId="1DCADD11" w14:textId="7227F745">
            <w:pPr>
              <w:spacing w:line="276" w:lineRule="auto"/>
              <w:ind w:right="-5"/>
              <w:jc w:val="center"/>
              <w:rPr>
                <w:rFonts w:ascii="Verdana" w:hAnsi="Verdana"/>
                <w:b/>
                <w:bCs/>
                <w:sz w:val="18"/>
                <w:szCs w:val="18"/>
              </w:rPr>
            </w:pPr>
          </w:p>
        </w:tc>
      </w:tr>
      <w:tr w:rsidRPr="00A10AC0" w:rsidR="008716C0" w:rsidTr="00A10AC0" w14:paraId="3BFCA1ED" w14:textId="0A8F8A01">
        <w:tc>
          <w:tcPr>
            <w:tcW w:w="568" w:type="dxa"/>
          </w:tcPr>
          <w:p w:rsidRPr="00A10AC0" w:rsidR="008716C0" w:rsidP="00A10AC0" w:rsidRDefault="008716C0" w14:paraId="0EAB4AE9" w14:textId="77777777">
            <w:pPr>
              <w:spacing w:line="276" w:lineRule="auto"/>
              <w:rPr>
                <w:rFonts w:ascii="Verdana" w:hAnsi="Verdana"/>
                <w:b/>
                <w:bCs/>
                <w:sz w:val="18"/>
                <w:szCs w:val="18"/>
              </w:rPr>
            </w:pPr>
            <w:r w:rsidRPr="00A10AC0">
              <w:rPr>
                <w:rFonts w:ascii="Verdana" w:hAnsi="Verdana"/>
                <w:b/>
                <w:bCs/>
                <w:sz w:val="18"/>
                <w:szCs w:val="18"/>
              </w:rPr>
              <w:t>1</w:t>
            </w:r>
          </w:p>
        </w:tc>
        <w:tc>
          <w:tcPr>
            <w:tcW w:w="4677" w:type="dxa"/>
          </w:tcPr>
          <w:p w:rsidRPr="00A10AC0" w:rsidR="008716C0" w:rsidP="00A10AC0" w:rsidRDefault="008716C0" w14:paraId="5C6579C0" w14:textId="513AE9C6">
            <w:pPr>
              <w:spacing w:line="276" w:lineRule="auto"/>
              <w:rPr>
                <w:rFonts w:ascii="Verdana" w:hAnsi="Verdana"/>
                <w:sz w:val="18"/>
                <w:szCs w:val="18"/>
              </w:rPr>
            </w:pPr>
            <w:r w:rsidRPr="00A10AC0">
              <w:rPr>
                <w:rFonts w:ascii="Verdana" w:hAnsi="Verdana"/>
                <w:sz w:val="18"/>
                <w:szCs w:val="18"/>
              </w:rPr>
              <w:t>Om hoeveel FTE gaat de inzet van 600 schijnzelfstandigen?</w:t>
            </w:r>
          </w:p>
        </w:tc>
        <w:tc>
          <w:tcPr>
            <w:tcW w:w="284" w:type="dxa"/>
          </w:tcPr>
          <w:p w:rsidRPr="00A10AC0" w:rsidR="008716C0" w:rsidP="00A10AC0" w:rsidRDefault="008716C0" w14:paraId="63A4CF64" w14:textId="77777777">
            <w:pPr>
              <w:pStyle w:val="Geenafstand"/>
              <w:spacing w:line="276" w:lineRule="auto"/>
              <w:rPr>
                <w:szCs w:val="18"/>
              </w:rPr>
            </w:pPr>
          </w:p>
        </w:tc>
        <w:tc>
          <w:tcPr>
            <w:tcW w:w="8930" w:type="dxa"/>
          </w:tcPr>
          <w:p w:rsidR="008716C0" w:rsidP="00A10AC0" w:rsidRDefault="008716C0" w14:paraId="07E964DE" w14:textId="24C2E3AB">
            <w:pPr>
              <w:pStyle w:val="Geenafstand"/>
              <w:spacing w:line="276" w:lineRule="auto"/>
              <w:rPr>
                <w:szCs w:val="18"/>
              </w:rPr>
            </w:pPr>
            <w:r w:rsidRPr="00A10AC0">
              <w:rPr>
                <w:szCs w:val="18"/>
              </w:rPr>
              <w:t>Per 28 februari 2025 zijn 627 potentiële schijnzelfstandigen werkzaam in de hersteloperatie, die nagenoeg allen meer dan 32 uur per week werken. Het aantal FTE zal dan ook niet veel afwijken van het aantal potentiële schijnzelfstandigen.</w:t>
            </w:r>
          </w:p>
          <w:p w:rsidR="002900BD" w:rsidP="00A10AC0" w:rsidRDefault="002900BD" w14:paraId="1FF63084" w14:textId="77777777">
            <w:pPr>
              <w:pStyle w:val="Geenafstand"/>
              <w:spacing w:line="276" w:lineRule="auto"/>
              <w:rPr>
                <w:szCs w:val="18"/>
              </w:rPr>
            </w:pPr>
          </w:p>
          <w:p w:rsidRPr="00A10AC0" w:rsidR="00CC7B9B" w:rsidP="00A10AC0" w:rsidRDefault="00F253AD" w14:paraId="7C9901A4" w14:textId="0FF75EA2">
            <w:pPr>
              <w:pStyle w:val="Geenafstand"/>
              <w:spacing w:line="276" w:lineRule="auto"/>
              <w:rPr>
                <w:szCs w:val="18"/>
              </w:rPr>
            </w:pPr>
            <w:r w:rsidRPr="00F253AD">
              <w:rPr>
                <w:szCs w:val="18"/>
              </w:rPr>
              <w:t>De totale uitstroom van potentieel schijnzelfstandigen bij UHT, als onderdeel van de herstelorganisatie, tot en met februari 2025 is 119 (t.o.v. de 735 potentieel schijnzelfstandigen ultimo december 2024), waarvan er 28 in vaste dienst zijn gekomen, 46 nu via detacherings- of uitzendconstructie werkzaam zijn bij UHT en 42 UHT hebben verlaten.</w:t>
            </w:r>
          </w:p>
          <w:p w:rsidRPr="00A10AC0" w:rsidR="008716C0" w:rsidP="00A10AC0" w:rsidRDefault="008716C0" w14:paraId="3FADFE03" w14:textId="77777777">
            <w:pPr>
              <w:spacing w:line="276" w:lineRule="auto"/>
              <w:ind w:right="283"/>
              <w:rPr>
                <w:rFonts w:ascii="Verdana" w:hAnsi="Verdana"/>
                <w:sz w:val="18"/>
                <w:szCs w:val="18"/>
              </w:rPr>
            </w:pPr>
          </w:p>
        </w:tc>
      </w:tr>
      <w:tr w:rsidRPr="00A10AC0" w:rsidR="008716C0" w:rsidTr="00A10AC0" w14:paraId="2DB6DEA5" w14:textId="10F69508">
        <w:tc>
          <w:tcPr>
            <w:tcW w:w="568" w:type="dxa"/>
          </w:tcPr>
          <w:p w:rsidRPr="00A10AC0" w:rsidR="008716C0" w:rsidP="00A10AC0" w:rsidRDefault="008716C0" w14:paraId="65DCDF81" w14:textId="77777777">
            <w:pPr>
              <w:spacing w:line="276" w:lineRule="auto"/>
              <w:rPr>
                <w:rFonts w:ascii="Verdana" w:hAnsi="Verdana"/>
                <w:b/>
                <w:bCs/>
                <w:sz w:val="18"/>
                <w:szCs w:val="18"/>
              </w:rPr>
            </w:pPr>
            <w:r w:rsidRPr="00A10AC0">
              <w:rPr>
                <w:rFonts w:ascii="Verdana" w:hAnsi="Verdana"/>
                <w:b/>
                <w:bCs/>
                <w:sz w:val="18"/>
                <w:szCs w:val="18"/>
              </w:rPr>
              <w:t>2</w:t>
            </w:r>
          </w:p>
        </w:tc>
        <w:tc>
          <w:tcPr>
            <w:tcW w:w="4677" w:type="dxa"/>
          </w:tcPr>
          <w:p w:rsidRPr="00A10AC0" w:rsidR="008716C0" w:rsidP="00A10AC0" w:rsidRDefault="008716C0" w14:paraId="657752F8" w14:textId="54CD6C9F">
            <w:pPr>
              <w:spacing w:line="276" w:lineRule="auto"/>
              <w:rPr>
                <w:rFonts w:ascii="Verdana" w:hAnsi="Verdana"/>
                <w:sz w:val="18"/>
                <w:szCs w:val="18"/>
              </w:rPr>
            </w:pPr>
            <w:r w:rsidRPr="00A10AC0">
              <w:rPr>
                <w:rFonts w:ascii="Verdana" w:hAnsi="Verdana"/>
                <w:sz w:val="18"/>
                <w:szCs w:val="18"/>
              </w:rPr>
              <w:t>Wordt verwacht dat de groep van 4500 ex-partners zich nog verder uitbreidt?</w:t>
            </w:r>
          </w:p>
        </w:tc>
        <w:tc>
          <w:tcPr>
            <w:tcW w:w="284" w:type="dxa"/>
          </w:tcPr>
          <w:p w:rsidRPr="00A10AC0" w:rsidR="008716C0" w:rsidP="00A10AC0" w:rsidRDefault="008716C0" w14:paraId="728C0D01" w14:textId="77777777">
            <w:pPr>
              <w:spacing w:line="276" w:lineRule="auto"/>
              <w:rPr>
                <w:rFonts w:ascii="Verdana" w:hAnsi="Verdana"/>
                <w:sz w:val="18"/>
                <w:szCs w:val="18"/>
              </w:rPr>
            </w:pPr>
          </w:p>
        </w:tc>
        <w:tc>
          <w:tcPr>
            <w:tcW w:w="8930" w:type="dxa"/>
          </w:tcPr>
          <w:p w:rsidRPr="00A10AC0" w:rsidR="008716C0" w:rsidP="00A10AC0" w:rsidRDefault="008716C0" w14:paraId="06073FD9" w14:textId="695AEB47">
            <w:pPr>
              <w:tabs>
                <w:tab w:val="left" w:pos="4545"/>
              </w:tabs>
              <w:spacing w:line="276" w:lineRule="auto"/>
              <w:rPr>
                <w:rFonts w:ascii="Verdana" w:hAnsi="Verdana"/>
                <w:sz w:val="18"/>
                <w:szCs w:val="18"/>
              </w:rPr>
            </w:pPr>
            <w:r w:rsidRPr="00A10AC0">
              <w:rPr>
                <w:rFonts w:ascii="Verdana" w:hAnsi="Verdana"/>
                <w:sz w:val="18"/>
                <w:szCs w:val="18"/>
              </w:rPr>
              <w:t xml:space="preserve">Er wordt verwacht dat de groep ex-toeslagpartners zich verder uit zal breiden. Tot en met 3 juni </w:t>
            </w:r>
            <w:r w:rsidRPr="00A10AC0" w:rsidR="00377966">
              <w:rPr>
                <w:rFonts w:ascii="Verdana" w:hAnsi="Verdana"/>
                <w:sz w:val="18"/>
                <w:szCs w:val="18"/>
              </w:rPr>
              <w:t xml:space="preserve">2025 </w:t>
            </w:r>
            <w:r w:rsidRPr="00A10AC0">
              <w:rPr>
                <w:rFonts w:ascii="Verdana" w:hAnsi="Verdana"/>
                <w:sz w:val="18"/>
                <w:szCs w:val="18"/>
              </w:rPr>
              <w:t xml:space="preserve">kunnen ex-toeslagpartners die verwachten gedupeerd te zijn en niet zijn benaderd door UHT zich aanmelden. UHT verwacht tot deze einddatum nog aanmeldingen te ontvangen. Daarnaast moeten er nog </w:t>
            </w:r>
            <w:proofErr w:type="spellStart"/>
            <w:r w:rsidRPr="00A10AC0">
              <w:rPr>
                <w:rFonts w:ascii="Verdana" w:hAnsi="Verdana"/>
                <w:sz w:val="18"/>
                <w:szCs w:val="18"/>
              </w:rPr>
              <w:t>IB</w:t>
            </w:r>
            <w:r w:rsidRPr="00A10AC0" w:rsidR="002A278C">
              <w:rPr>
                <w:rFonts w:ascii="Verdana" w:hAnsi="Verdana"/>
                <w:sz w:val="18"/>
                <w:szCs w:val="18"/>
              </w:rPr>
              <w:t>’</w:t>
            </w:r>
            <w:r w:rsidRPr="00A10AC0">
              <w:rPr>
                <w:rFonts w:ascii="Verdana" w:hAnsi="Verdana"/>
                <w:sz w:val="18"/>
                <w:szCs w:val="18"/>
              </w:rPr>
              <w:t>s</w:t>
            </w:r>
            <w:proofErr w:type="spellEnd"/>
            <w:r w:rsidRPr="00A10AC0">
              <w:rPr>
                <w:rFonts w:ascii="Verdana" w:hAnsi="Verdana"/>
                <w:sz w:val="18"/>
                <w:szCs w:val="18"/>
              </w:rPr>
              <w:t xml:space="preserve"> worden afgerond. Dat betekent dat het aantal ouders dat gedupeerd verklaard wordt nog stijgt. Aangezien ex-toeslagpartners pas recht hebben op de regeling als de ouder gedupeerd is verklaard, zal het aantal ex-toeslagpartners blijven stijgen als het aantal als gedupeerde aangemerkte ouders stijgt.</w:t>
            </w:r>
          </w:p>
          <w:p w:rsidRPr="00A10AC0" w:rsidR="008716C0" w:rsidP="00A10AC0" w:rsidRDefault="008716C0" w14:paraId="5EC00283" w14:textId="77777777">
            <w:pPr>
              <w:spacing w:line="276" w:lineRule="auto"/>
              <w:ind w:right="283"/>
              <w:rPr>
                <w:rFonts w:ascii="Verdana" w:hAnsi="Verdana"/>
                <w:sz w:val="18"/>
                <w:szCs w:val="18"/>
              </w:rPr>
            </w:pPr>
          </w:p>
        </w:tc>
      </w:tr>
      <w:tr w:rsidRPr="00A10AC0" w:rsidR="008716C0" w:rsidTr="00A10AC0" w14:paraId="5B18D67C" w14:textId="072D34AF">
        <w:tc>
          <w:tcPr>
            <w:tcW w:w="568" w:type="dxa"/>
          </w:tcPr>
          <w:p w:rsidRPr="00A10AC0" w:rsidR="008716C0" w:rsidP="00A10AC0" w:rsidRDefault="008716C0" w14:paraId="5B881EA8" w14:textId="77777777">
            <w:pPr>
              <w:spacing w:line="276" w:lineRule="auto"/>
              <w:rPr>
                <w:rFonts w:ascii="Verdana" w:hAnsi="Verdana"/>
                <w:b/>
                <w:bCs/>
                <w:sz w:val="18"/>
                <w:szCs w:val="18"/>
              </w:rPr>
            </w:pPr>
            <w:r w:rsidRPr="00A10AC0">
              <w:rPr>
                <w:rFonts w:ascii="Verdana" w:hAnsi="Verdana"/>
                <w:b/>
                <w:bCs/>
                <w:sz w:val="18"/>
                <w:szCs w:val="18"/>
              </w:rPr>
              <w:t>3</w:t>
            </w:r>
          </w:p>
        </w:tc>
        <w:tc>
          <w:tcPr>
            <w:tcW w:w="4677" w:type="dxa"/>
          </w:tcPr>
          <w:p w:rsidRPr="00A10AC0" w:rsidR="008716C0" w:rsidP="00A10AC0" w:rsidRDefault="008716C0" w14:paraId="100CEE26" w14:textId="5662D81E">
            <w:pPr>
              <w:spacing w:line="276" w:lineRule="auto"/>
              <w:rPr>
                <w:rFonts w:ascii="Verdana" w:hAnsi="Verdana"/>
                <w:sz w:val="18"/>
                <w:szCs w:val="18"/>
              </w:rPr>
            </w:pPr>
            <w:r w:rsidRPr="00A10AC0">
              <w:rPr>
                <w:rFonts w:ascii="Verdana" w:hAnsi="Verdana"/>
                <w:sz w:val="18"/>
                <w:szCs w:val="18"/>
              </w:rPr>
              <w:t>Welke specifieke overwegingen liggen ten grondslag aan het besluit om het convenant Horizontaal Toezicht per 31 januari 2025 in te trekken?</w:t>
            </w:r>
          </w:p>
        </w:tc>
        <w:tc>
          <w:tcPr>
            <w:tcW w:w="284" w:type="dxa"/>
          </w:tcPr>
          <w:p w:rsidRPr="00A10AC0" w:rsidR="008716C0" w:rsidP="00A10AC0" w:rsidRDefault="008716C0" w14:paraId="67371C39" w14:textId="77777777">
            <w:pPr>
              <w:pStyle w:val="Geenafstand"/>
              <w:spacing w:line="276" w:lineRule="auto"/>
              <w:rPr>
                <w:szCs w:val="18"/>
              </w:rPr>
            </w:pPr>
          </w:p>
        </w:tc>
        <w:tc>
          <w:tcPr>
            <w:tcW w:w="8930" w:type="dxa"/>
          </w:tcPr>
          <w:p w:rsidRPr="00A10AC0" w:rsidR="00010E9B" w:rsidP="00A10AC0" w:rsidRDefault="00010E9B" w14:paraId="3CD21CCC" w14:textId="77777777">
            <w:pPr>
              <w:pStyle w:val="Geenafstand"/>
              <w:spacing w:line="276" w:lineRule="auto"/>
              <w:rPr>
                <w:szCs w:val="18"/>
              </w:rPr>
            </w:pPr>
            <w:r w:rsidRPr="00A10AC0">
              <w:rPr>
                <w:szCs w:val="18"/>
              </w:rPr>
              <w:t xml:space="preserve">De belastinginspecteur van het ministerie van Financiën heeft deze beslissing genomen naar aanleiding van </w:t>
            </w:r>
            <w:r w:rsidRPr="00A10AC0">
              <w:rPr>
                <w:rFonts w:eastAsia="Calibri" w:cs="Times New Roman"/>
                <w:szCs w:val="18"/>
              </w:rPr>
              <w:t xml:space="preserve">de ontwikkelingen inzake de inzet van potentiële schijnzelfstandigen door de Dienst Toeslagen en de door Dienst Toeslagen aan brokers verzonden brieven van </w:t>
            </w:r>
            <w:r w:rsidRPr="00A10AC0">
              <w:rPr>
                <w:szCs w:val="18"/>
              </w:rPr>
              <w:t>15 november 2024 en 3 december 2024</w:t>
            </w:r>
            <w:r w:rsidRPr="00A10AC0">
              <w:rPr>
                <w:rFonts w:eastAsia="Calibri" w:cs="Times New Roman"/>
                <w:szCs w:val="18"/>
              </w:rPr>
              <w:t xml:space="preserve">, waarin wordt aangegeven dat Dienst Toeslagen eventuele naheffingen premies werknemersverzekeringen en boetes in verband met de inhuur van zelfstandigen vergoedt aan de brokers, </w:t>
            </w:r>
            <w:r w:rsidRPr="00A10AC0">
              <w:rPr>
                <w:szCs w:val="18"/>
              </w:rPr>
              <w:t>in het geval de belastinginspecteur deze zelfstandigen achteraf als schijnzelfstandigen zou aanmerken. Deze ontwikkelingen pasten naar het oordeel van de belastinginspecteur niet bij de kernbeginselen van het Horizontaal Toezicht, te weten onderling vertrouwen, wederzijds begrip en wederzijdse transparantie. Daartoe is per 31 januari 2025 besloten het convenant Horizontaal Toezicht in te trekken.</w:t>
            </w:r>
          </w:p>
          <w:p w:rsidRPr="00A10AC0" w:rsidR="008716C0" w:rsidP="00A10AC0" w:rsidRDefault="008716C0" w14:paraId="6C4ACFEC" w14:textId="77777777">
            <w:pPr>
              <w:spacing w:line="276" w:lineRule="auto"/>
              <w:ind w:right="283"/>
              <w:rPr>
                <w:rFonts w:ascii="Verdana" w:hAnsi="Verdana"/>
                <w:sz w:val="18"/>
                <w:szCs w:val="18"/>
              </w:rPr>
            </w:pPr>
          </w:p>
        </w:tc>
      </w:tr>
      <w:tr w:rsidRPr="00A10AC0" w:rsidR="008716C0" w:rsidTr="00A10AC0" w14:paraId="523DB707" w14:textId="0D179356">
        <w:tc>
          <w:tcPr>
            <w:tcW w:w="568" w:type="dxa"/>
          </w:tcPr>
          <w:p w:rsidRPr="00A10AC0" w:rsidR="008716C0" w:rsidP="00A10AC0" w:rsidRDefault="008716C0" w14:paraId="62E9331A" w14:textId="77777777">
            <w:pPr>
              <w:spacing w:line="276" w:lineRule="auto"/>
              <w:rPr>
                <w:rFonts w:ascii="Verdana" w:hAnsi="Verdana"/>
                <w:b/>
                <w:bCs/>
                <w:sz w:val="18"/>
                <w:szCs w:val="18"/>
              </w:rPr>
            </w:pPr>
            <w:r w:rsidRPr="00A10AC0">
              <w:rPr>
                <w:rFonts w:ascii="Verdana" w:hAnsi="Verdana"/>
                <w:b/>
                <w:bCs/>
                <w:sz w:val="18"/>
                <w:szCs w:val="18"/>
              </w:rPr>
              <w:t>4</w:t>
            </w:r>
          </w:p>
        </w:tc>
        <w:tc>
          <w:tcPr>
            <w:tcW w:w="4677" w:type="dxa"/>
          </w:tcPr>
          <w:p w:rsidRPr="00A10AC0" w:rsidR="008716C0" w:rsidP="00A10AC0" w:rsidRDefault="008716C0" w14:paraId="23F5F29A" w14:textId="77777777">
            <w:pPr>
              <w:spacing w:line="276" w:lineRule="auto"/>
              <w:rPr>
                <w:rFonts w:ascii="Verdana" w:hAnsi="Verdana"/>
                <w:sz w:val="18"/>
                <w:szCs w:val="18"/>
              </w:rPr>
            </w:pPr>
            <w:r w:rsidRPr="00A10AC0">
              <w:rPr>
                <w:rFonts w:ascii="Verdana" w:hAnsi="Verdana"/>
                <w:sz w:val="18"/>
                <w:szCs w:val="18"/>
              </w:rPr>
              <w:t>Hoe verhoudt het aantal aanmeldingen voor de hersteloperatie zich tot eerdere ramingen?</w:t>
            </w:r>
          </w:p>
          <w:p w:rsidRPr="00A10AC0" w:rsidR="008716C0" w:rsidP="00A10AC0" w:rsidRDefault="008716C0" w14:paraId="275A6768" w14:textId="31B71E63">
            <w:pPr>
              <w:spacing w:line="276" w:lineRule="auto"/>
              <w:rPr>
                <w:rFonts w:ascii="Verdana" w:hAnsi="Verdana"/>
                <w:sz w:val="18"/>
                <w:szCs w:val="18"/>
              </w:rPr>
            </w:pPr>
          </w:p>
        </w:tc>
        <w:tc>
          <w:tcPr>
            <w:tcW w:w="284" w:type="dxa"/>
          </w:tcPr>
          <w:p w:rsidRPr="00A10AC0" w:rsidR="008716C0" w:rsidP="00A10AC0" w:rsidRDefault="008716C0" w14:paraId="3E344213" w14:textId="77777777">
            <w:pPr>
              <w:spacing w:line="276" w:lineRule="auto"/>
              <w:rPr>
                <w:rFonts w:ascii="Verdana" w:hAnsi="Verdana"/>
                <w:sz w:val="18"/>
                <w:szCs w:val="18"/>
              </w:rPr>
            </w:pPr>
          </w:p>
        </w:tc>
        <w:tc>
          <w:tcPr>
            <w:tcW w:w="8930" w:type="dxa"/>
          </w:tcPr>
          <w:p w:rsidRPr="00A10AC0" w:rsidR="008716C0" w:rsidP="00A10AC0" w:rsidRDefault="008716C0" w14:paraId="46EDB99C" w14:textId="48429AAA">
            <w:pPr>
              <w:spacing w:line="276" w:lineRule="auto"/>
              <w:rPr>
                <w:rFonts w:ascii="Verdana" w:hAnsi="Verdana"/>
                <w:sz w:val="18"/>
                <w:szCs w:val="18"/>
              </w:rPr>
            </w:pPr>
            <w:r w:rsidRPr="00A10AC0">
              <w:rPr>
                <w:rFonts w:ascii="Verdana" w:hAnsi="Verdana"/>
                <w:sz w:val="18"/>
                <w:szCs w:val="18"/>
              </w:rPr>
              <w:t>Het aantal aanmeldingen is in lijn met de ramingen bij de besluitvorming Voorjaarsnota 2024.</w:t>
            </w:r>
          </w:p>
          <w:p w:rsidRPr="00A10AC0" w:rsidR="008716C0" w:rsidP="00A10AC0" w:rsidRDefault="008716C0" w14:paraId="5C7C14CB" w14:textId="77777777">
            <w:pPr>
              <w:spacing w:line="276" w:lineRule="auto"/>
              <w:ind w:right="283"/>
              <w:rPr>
                <w:rFonts w:ascii="Verdana" w:hAnsi="Verdana"/>
                <w:sz w:val="18"/>
                <w:szCs w:val="18"/>
              </w:rPr>
            </w:pPr>
          </w:p>
        </w:tc>
      </w:tr>
      <w:tr w:rsidRPr="00A10AC0" w:rsidR="008716C0" w:rsidTr="00A10AC0" w14:paraId="4AA2E864" w14:textId="1F36A5B0">
        <w:tc>
          <w:tcPr>
            <w:tcW w:w="568" w:type="dxa"/>
          </w:tcPr>
          <w:p w:rsidRPr="00A10AC0" w:rsidR="008716C0" w:rsidP="00A10AC0" w:rsidRDefault="008716C0" w14:paraId="24A374DE" w14:textId="77777777">
            <w:pPr>
              <w:spacing w:line="276" w:lineRule="auto"/>
              <w:rPr>
                <w:rFonts w:ascii="Verdana" w:hAnsi="Verdana"/>
                <w:b/>
                <w:bCs/>
                <w:sz w:val="18"/>
                <w:szCs w:val="18"/>
              </w:rPr>
            </w:pPr>
            <w:r w:rsidRPr="00A10AC0">
              <w:rPr>
                <w:rFonts w:ascii="Verdana" w:hAnsi="Verdana"/>
                <w:b/>
                <w:bCs/>
                <w:sz w:val="18"/>
                <w:szCs w:val="18"/>
              </w:rPr>
              <w:lastRenderedPageBreak/>
              <w:t>5</w:t>
            </w:r>
          </w:p>
        </w:tc>
        <w:tc>
          <w:tcPr>
            <w:tcW w:w="4677" w:type="dxa"/>
          </w:tcPr>
          <w:p w:rsidRPr="00A10AC0" w:rsidR="008716C0" w:rsidP="00A10AC0" w:rsidRDefault="008716C0" w14:paraId="25120668" w14:textId="77777777">
            <w:pPr>
              <w:spacing w:line="276" w:lineRule="auto"/>
              <w:rPr>
                <w:rFonts w:ascii="Verdana" w:hAnsi="Verdana"/>
                <w:sz w:val="18"/>
                <w:szCs w:val="18"/>
              </w:rPr>
            </w:pPr>
            <w:r w:rsidRPr="00A10AC0">
              <w:rPr>
                <w:rFonts w:ascii="Verdana" w:hAnsi="Verdana"/>
                <w:sz w:val="18"/>
                <w:szCs w:val="18"/>
              </w:rPr>
              <w:t>Hoeveel mensen die aanvankelijk als gedupeerde van de kinderopvangtoeslagaffaire zijn erkend, maar later niet meer als gedupeerden zijn aangemerkt, hebben alsnog de uitbetaling van 30.000 euro ontvangen?</w:t>
            </w:r>
          </w:p>
          <w:p w:rsidRPr="00A10AC0" w:rsidR="008716C0" w:rsidP="00A10AC0" w:rsidRDefault="008716C0" w14:paraId="2DC71CA6" w14:textId="014DB1EB">
            <w:pPr>
              <w:spacing w:line="276" w:lineRule="auto"/>
              <w:rPr>
                <w:rFonts w:ascii="Verdana" w:hAnsi="Verdana"/>
                <w:sz w:val="18"/>
                <w:szCs w:val="18"/>
              </w:rPr>
            </w:pPr>
          </w:p>
        </w:tc>
        <w:tc>
          <w:tcPr>
            <w:tcW w:w="284" w:type="dxa"/>
          </w:tcPr>
          <w:p w:rsidRPr="00A10AC0" w:rsidR="008716C0" w:rsidP="00A10AC0" w:rsidRDefault="008716C0" w14:paraId="6F7AB624" w14:textId="77777777">
            <w:pPr>
              <w:spacing w:line="276" w:lineRule="auto"/>
              <w:rPr>
                <w:rFonts w:ascii="Verdana" w:hAnsi="Verdana"/>
                <w:sz w:val="18"/>
                <w:szCs w:val="18"/>
              </w:rPr>
            </w:pPr>
          </w:p>
        </w:tc>
        <w:tc>
          <w:tcPr>
            <w:tcW w:w="8930" w:type="dxa"/>
          </w:tcPr>
          <w:p w:rsidRPr="00A10AC0" w:rsidR="008716C0" w:rsidP="00A10AC0" w:rsidRDefault="008716C0" w14:paraId="692DFE36" w14:textId="75D7B654">
            <w:pPr>
              <w:spacing w:line="276" w:lineRule="auto"/>
              <w:rPr>
                <w:rFonts w:ascii="Verdana" w:hAnsi="Verdana"/>
                <w:sz w:val="18"/>
                <w:szCs w:val="18"/>
              </w:rPr>
            </w:pPr>
            <w:r w:rsidRPr="00A10AC0">
              <w:rPr>
                <w:rFonts w:ascii="Verdana" w:hAnsi="Verdana"/>
                <w:sz w:val="18"/>
                <w:szCs w:val="18"/>
              </w:rPr>
              <w:t>Het gaat om 545 ouders (stand 31 december 2024).</w:t>
            </w:r>
          </w:p>
          <w:p w:rsidRPr="00A10AC0" w:rsidR="008716C0" w:rsidP="00A10AC0" w:rsidRDefault="008716C0" w14:paraId="0E7F00AC" w14:textId="77777777">
            <w:pPr>
              <w:spacing w:line="276" w:lineRule="auto"/>
              <w:ind w:right="283"/>
              <w:rPr>
                <w:rFonts w:ascii="Verdana" w:hAnsi="Verdana"/>
                <w:sz w:val="18"/>
                <w:szCs w:val="18"/>
              </w:rPr>
            </w:pPr>
          </w:p>
        </w:tc>
      </w:tr>
      <w:tr w:rsidRPr="00A10AC0" w:rsidR="008716C0" w:rsidTr="00A10AC0" w14:paraId="5E990867" w14:textId="39496EA6">
        <w:tc>
          <w:tcPr>
            <w:tcW w:w="568" w:type="dxa"/>
          </w:tcPr>
          <w:p w:rsidRPr="00A10AC0" w:rsidR="008716C0" w:rsidP="00A10AC0" w:rsidRDefault="008716C0" w14:paraId="66BA273B" w14:textId="77777777">
            <w:pPr>
              <w:spacing w:line="276" w:lineRule="auto"/>
              <w:rPr>
                <w:rFonts w:ascii="Verdana" w:hAnsi="Verdana"/>
                <w:b/>
                <w:bCs/>
                <w:sz w:val="18"/>
                <w:szCs w:val="18"/>
              </w:rPr>
            </w:pPr>
            <w:r w:rsidRPr="00A10AC0">
              <w:rPr>
                <w:rFonts w:ascii="Verdana" w:hAnsi="Verdana"/>
                <w:b/>
                <w:bCs/>
                <w:sz w:val="18"/>
                <w:szCs w:val="18"/>
              </w:rPr>
              <w:t>6</w:t>
            </w:r>
          </w:p>
        </w:tc>
        <w:tc>
          <w:tcPr>
            <w:tcW w:w="4677" w:type="dxa"/>
          </w:tcPr>
          <w:p w:rsidRPr="00A10AC0" w:rsidR="008716C0" w:rsidP="00A10AC0" w:rsidRDefault="008716C0" w14:paraId="0E7FF9A6" w14:textId="3FD165A6">
            <w:pPr>
              <w:spacing w:line="276" w:lineRule="auto"/>
              <w:rPr>
                <w:rFonts w:ascii="Verdana" w:hAnsi="Verdana"/>
                <w:sz w:val="18"/>
                <w:szCs w:val="18"/>
              </w:rPr>
            </w:pPr>
            <w:r w:rsidRPr="00A10AC0">
              <w:rPr>
                <w:rFonts w:ascii="Verdana" w:hAnsi="Verdana"/>
                <w:sz w:val="18"/>
                <w:szCs w:val="18"/>
              </w:rPr>
              <w:t>Op welke manier heeft de inzet van de Commissie van Wijzen invloed op de uiteindelijke beslissingen over schadevergoeding?</w:t>
            </w:r>
          </w:p>
        </w:tc>
        <w:tc>
          <w:tcPr>
            <w:tcW w:w="284" w:type="dxa"/>
          </w:tcPr>
          <w:p w:rsidRPr="00A10AC0" w:rsidR="008716C0" w:rsidP="00A10AC0" w:rsidRDefault="008716C0" w14:paraId="111FE516" w14:textId="77777777">
            <w:pPr>
              <w:pStyle w:val="Geenafstand"/>
              <w:spacing w:line="276" w:lineRule="auto"/>
              <w:rPr>
                <w:szCs w:val="18"/>
              </w:rPr>
            </w:pPr>
          </w:p>
        </w:tc>
        <w:tc>
          <w:tcPr>
            <w:tcW w:w="8930" w:type="dxa"/>
          </w:tcPr>
          <w:p w:rsidRPr="00A10AC0" w:rsidR="008716C0" w:rsidP="00A10AC0" w:rsidRDefault="008716C0" w14:paraId="5C410561" w14:textId="0D46DD98">
            <w:pPr>
              <w:pStyle w:val="Geenafstand"/>
              <w:spacing w:line="276" w:lineRule="auto"/>
              <w:rPr>
                <w:szCs w:val="18"/>
              </w:rPr>
            </w:pPr>
            <w:r w:rsidRPr="00A10AC0">
              <w:rPr>
                <w:szCs w:val="18"/>
              </w:rPr>
              <w:t>De Commissie van Wijzen (</w:t>
            </w:r>
            <w:proofErr w:type="spellStart"/>
            <w:r w:rsidRPr="00A10AC0">
              <w:rPr>
                <w:szCs w:val="18"/>
              </w:rPr>
              <w:t>CvW</w:t>
            </w:r>
            <w:proofErr w:type="spellEnd"/>
            <w:r w:rsidRPr="00A10AC0">
              <w:rPr>
                <w:szCs w:val="18"/>
              </w:rPr>
              <w:t xml:space="preserve">) adviseert als UHT voornemens is voor één of meerdere toeslagjaren geen </w:t>
            </w:r>
            <w:proofErr w:type="spellStart"/>
            <w:r w:rsidRPr="00A10AC0">
              <w:rPr>
                <w:szCs w:val="18"/>
              </w:rPr>
              <w:t>gedupeerdheid</w:t>
            </w:r>
            <w:proofErr w:type="spellEnd"/>
            <w:r w:rsidRPr="00A10AC0">
              <w:rPr>
                <w:szCs w:val="18"/>
              </w:rPr>
              <w:t xml:space="preserve"> aan te nemen. Als de </w:t>
            </w:r>
            <w:proofErr w:type="spellStart"/>
            <w:r w:rsidRPr="00A10AC0">
              <w:rPr>
                <w:szCs w:val="18"/>
              </w:rPr>
              <w:t>CvW</w:t>
            </w:r>
            <w:proofErr w:type="spellEnd"/>
            <w:r w:rsidRPr="00A10AC0">
              <w:rPr>
                <w:szCs w:val="18"/>
              </w:rPr>
              <w:t xml:space="preserve"> adviseert voor één van die jaren toch </w:t>
            </w:r>
            <w:proofErr w:type="spellStart"/>
            <w:r w:rsidRPr="00A10AC0">
              <w:rPr>
                <w:szCs w:val="18"/>
              </w:rPr>
              <w:t>gedupeerdheid</w:t>
            </w:r>
            <w:proofErr w:type="spellEnd"/>
            <w:r w:rsidRPr="00A10AC0">
              <w:rPr>
                <w:szCs w:val="18"/>
              </w:rPr>
              <w:t xml:space="preserve"> aan te nemen, past UHT in de regel de beoordeling daarop aan. </w:t>
            </w:r>
          </w:p>
          <w:p w:rsidRPr="00A10AC0" w:rsidR="008716C0" w:rsidP="00A10AC0" w:rsidRDefault="008716C0" w14:paraId="51269791" w14:textId="77777777">
            <w:pPr>
              <w:spacing w:line="276" w:lineRule="auto"/>
              <w:ind w:right="283"/>
              <w:rPr>
                <w:rFonts w:ascii="Verdana" w:hAnsi="Verdana"/>
                <w:sz w:val="18"/>
                <w:szCs w:val="18"/>
              </w:rPr>
            </w:pPr>
          </w:p>
        </w:tc>
      </w:tr>
      <w:tr w:rsidRPr="00A10AC0" w:rsidR="008716C0" w:rsidTr="00A10AC0" w14:paraId="4A61167E" w14:textId="50917788">
        <w:tc>
          <w:tcPr>
            <w:tcW w:w="568" w:type="dxa"/>
          </w:tcPr>
          <w:p w:rsidRPr="00A10AC0" w:rsidR="008716C0" w:rsidP="00A10AC0" w:rsidRDefault="008716C0" w14:paraId="2FE452FA" w14:textId="77777777">
            <w:pPr>
              <w:spacing w:line="276" w:lineRule="auto"/>
              <w:rPr>
                <w:rFonts w:ascii="Verdana" w:hAnsi="Verdana"/>
                <w:b/>
                <w:bCs/>
                <w:sz w:val="18"/>
                <w:szCs w:val="18"/>
              </w:rPr>
            </w:pPr>
            <w:r w:rsidRPr="00A10AC0">
              <w:rPr>
                <w:rFonts w:ascii="Verdana" w:hAnsi="Verdana"/>
                <w:b/>
                <w:bCs/>
                <w:sz w:val="18"/>
                <w:szCs w:val="18"/>
              </w:rPr>
              <w:t>7</w:t>
            </w:r>
          </w:p>
        </w:tc>
        <w:tc>
          <w:tcPr>
            <w:tcW w:w="4677" w:type="dxa"/>
          </w:tcPr>
          <w:p w:rsidRPr="00A10AC0" w:rsidR="008716C0" w:rsidP="00A10AC0" w:rsidRDefault="008716C0" w14:paraId="65500873" w14:textId="6D26ED79">
            <w:pPr>
              <w:spacing w:line="276" w:lineRule="auto"/>
              <w:rPr>
                <w:rFonts w:ascii="Verdana" w:hAnsi="Verdana"/>
                <w:sz w:val="18"/>
                <w:szCs w:val="18"/>
              </w:rPr>
            </w:pPr>
            <w:r w:rsidRPr="00A10AC0">
              <w:rPr>
                <w:rFonts w:ascii="Verdana" w:hAnsi="Verdana"/>
                <w:sz w:val="18"/>
                <w:szCs w:val="18"/>
              </w:rPr>
              <w:t>Wat wordt er op dit moment gedaan om de Stichting (Gelijk)waardig Herstel (SGH) te laten opschalen tot het gewenste niveau? Hoe ziet de opschaling er in de periode tot 2027 uit?</w:t>
            </w:r>
          </w:p>
        </w:tc>
        <w:tc>
          <w:tcPr>
            <w:tcW w:w="284" w:type="dxa"/>
          </w:tcPr>
          <w:p w:rsidRPr="00A10AC0" w:rsidR="008716C0" w:rsidP="00A10AC0" w:rsidRDefault="008716C0" w14:paraId="2806E73A" w14:textId="77777777">
            <w:pPr>
              <w:spacing w:line="276" w:lineRule="auto"/>
              <w:rPr>
                <w:rFonts w:ascii="Verdana" w:hAnsi="Verdana"/>
                <w:sz w:val="18"/>
                <w:szCs w:val="18"/>
              </w:rPr>
            </w:pPr>
          </w:p>
        </w:tc>
        <w:tc>
          <w:tcPr>
            <w:tcW w:w="8930" w:type="dxa"/>
          </w:tcPr>
          <w:p w:rsidRPr="00A10AC0" w:rsidR="008716C0" w:rsidP="00A10AC0" w:rsidRDefault="008716C0" w14:paraId="2A960FDE" w14:textId="52072572">
            <w:pPr>
              <w:spacing w:line="276" w:lineRule="auto"/>
              <w:rPr>
                <w:rFonts w:ascii="Verdana" w:hAnsi="Verdana"/>
                <w:sz w:val="18"/>
                <w:szCs w:val="18"/>
              </w:rPr>
            </w:pPr>
            <w:r w:rsidRPr="00A10AC0">
              <w:rPr>
                <w:rFonts w:ascii="Verdana" w:hAnsi="Verdana"/>
                <w:sz w:val="18"/>
                <w:szCs w:val="18"/>
              </w:rPr>
              <w:t xml:space="preserve">Met SGH is in de zomer van 2024 een opschalingsplan overeengekomen dat tot op heden niet gerealiseerd wordt. Het ministerie van Financiën en SGH spannen zich gezamenlijk in om de komende periode meer snelheid te maken bij het afsluiten van </w:t>
            </w:r>
            <w:proofErr w:type="spellStart"/>
            <w:r w:rsidRPr="00A10AC0">
              <w:rPr>
                <w:rFonts w:ascii="Verdana" w:hAnsi="Verdana"/>
                <w:sz w:val="18"/>
                <w:szCs w:val="18"/>
              </w:rPr>
              <w:t>VSO’s</w:t>
            </w:r>
            <w:proofErr w:type="spellEnd"/>
            <w:r w:rsidRPr="00A10AC0">
              <w:rPr>
                <w:rFonts w:ascii="Verdana" w:hAnsi="Verdana"/>
                <w:sz w:val="18"/>
                <w:szCs w:val="18"/>
              </w:rPr>
              <w:t xml:space="preserve">. Daar hoort onder andere bij het </w:t>
            </w:r>
            <w:r w:rsidR="00226BA9">
              <w:rPr>
                <w:rFonts w:ascii="Verdana" w:hAnsi="Verdana"/>
                <w:sz w:val="18"/>
                <w:szCs w:val="18"/>
              </w:rPr>
              <w:t xml:space="preserve">gesprek met SGH over hun opschalingsplan, </w:t>
            </w:r>
            <w:r w:rsidRPr="00A10AC0">
              <w:rPr>
                <w:rFonts w:ascii="Verdana" w:hAnsi="Verdana"/>
                <w:sz w:val="18"/>
                <w:szCs w:val="18"/>
              </w:rPr>
              <w:t>versterk</w:t>
            </w:r>
            <w:r w:rsidR="00226BA9">
              <w:rPr>
                <w:rFonts w:ascii="Verdana" w:hAnsi="Verdana"/>
                <w:sz w:val="18"/>
                <w:szCs w:val="18"/>
              </w:rPr>
              <w:t>ing van de organisatie</w:t>
            </w:r>
            <w:r w:rsidRPr="00A10AC0">
              <w:rPr>
                <w:rFonts w:ascii="Verdana" w:hAnsi="Verdana"/>
                <w:sz w:val="18"/>
                <w:szCs w:val="18"/>
              </w:rPr>
              <w:t xml:space="preserve">, het werven van meer Luisterend Schrijvers en het borgen van de kwaliteit van de (uitkomsten </w:t>
            </w:r>
            <w:proofErr w:type="gramStart"/>
            <w:r w:rsidRPr="00A10AC0">
              <w:rPr>
                <w:rFonts w:ascii="Verdana" w:hAnsi="Verdana"/>
                <w:sz w:val="18"/>
                <w:szCs w:val="18"/>
              </w:rPr>
              <w:t>van )</w:t>
            </w:r>
            <w:proofErr w:type="gramEnd"/>
            <w:r w:rsidRPr="00A10AC0">
              <w:rPr>
                <w:rFonts w:ascii="Verdana" w:hAnsi="Verdana"/>
                <w:sz w:val="18"/>
                <w:szCs w:val="18"/>
              </w:rPr>
              <w:t xml:space="preserve"> het proces binnen SGH om afschalen van de controle door het ministerie ten faveure van een meer risicogerichte systeemcontrole mogelijk te maken. </w:t>
            </w:r>
          </w:p>
          <w:p w:rsidRPr="00A10AC0" w:rsidR="008716C0" w:rsidP="00A10AC0" w:rsidRDefault="008716C0" w14:paraId="77A37EC9" w14:textId="77777777">
            <w:pPr>
              <w:spacing w:line="276" w:lineRule="auto"/>
              <w:ind w:right="283"/>
              <w:rPr>
                <w:rFonts w:ascii="Verdana" w:hAnsi="Verdana"/>
                <w:sz w:val="18"/>
                <w:szCs w:val="18"/>
              </w:rPr>
            </w:pPr>
          </w:p>
        </w:tc>
      </w:tr>
      <w:tr w:rsidRPr="00A10AC0" w:rsidR="008716C0" w:rsidTr="00A10AC0" w14:paraId="4867A301" w14:textId="5643D1D0">
        <w:tc>
          <w:tcPr>
            <w:tcW w:w="568" w:type="dxa"/>
          </w:tcPr>
          <w:p w:rsidRPr="00A10AC0" w:rsidR="008716C0" w:rsidP="00A10AC0" w:rsidRDefault="008716C0" w14:paraId="09A8BD23" w14:textId="77777777">
            <w:pPr>
              <w:spacing w:line="276" w:lineRule="auto"/>
              <w:rPr>
                <w:rFonts w:ascii="Verdana" w:hAnsi="Verdana"/>
                <w:b/>
                <w:bCs/>
                <w:sz w:val="18"/>
                <w:szCs w:val="18"/>
              </w:rPr>
            </w:pPr>
            <w:r w:rsidRPr="00A10AC0">
              <w:rPr>
                <w:rFonts w:ascii="Verdana" w:hAnsi="Verdana"/>
                <w:b/>
                <w:bCs/>
                <w:sz w:val="18"/>
                <w:szCs w:val="18"/>
              </w:rPr>
              <w:t>8</w:t>
            </w:r>
          </w:p>
        </w:tc>
        <w:tc>
          <w:tcPr>
            <w:tcW w:w="4677" w:type="dxa"/>
          </w:tcPr>
          <w:p w:rsidRPr="00A10AC0" w:rsidR="008716C0" w:rsidP="00A10AC0" w:rsidRDefault="008716C0" w14:paraId="0F233E79" w14:textId="77777777">
            <w:pPr>
              <w:spacing w:line="276" w:lineRule="auto"/>
              <w:rPr>
                <w:rFonts w:ascii="Verdana" w:hAnsi="Verdana"/>
                <w:sz w:val="18"/>
                <w:szCs w:val="18"/>
              </w:rPr>
            </w:pPr>
            <w:r w:rsidRPr="00A10AC0">
              <w:rPr>
                <w:rFonts w:ascii="Verdana" w:hAnsi="Verdana"/>
                <w:sz w:val="18"/>
                <w:szCs w:val="18"/>
              </w:rPr>
              <w:t>Welke acties zullen worden ondernomen om toch de kabinetsdoelstelling van afronding eind 2027 te behalen?</w:t>
            </w:r>
          </w:p>
          <w:p w:rsidRPr="00A10AC0" w:rsidR="008716C0" w:rsidP="00A10AC0" w:rsidRDefault="008716C0" w14:paraId="296CA7A1" w14:textId="65A79331">
            <w:pPr>
              <w:spacing w:line="276" w:lineRule="auto"/>
              <w:rPr>
                <w:rFonts w:ascii="Verdana" w:hAnsi="Verdana"/>
                <w:sz w:val="18"/>
                <w:szCs w:val="18"/>
              </w:rPr>
            </w:pPr>
          </w:p>
        </w:tc>
        <w:tc>
          <w:tcPr>
            <w:tcW w:w="284" w:type="dxa"/>
          </w:tcPr>
          <w:p w:rsidRPr="00A10AC0" w:rsidR="008716C0" w:rsidP="00A10AC0" w:rsidRDefault="008716C0" w14:paraId="7F33CE54" w14:textId="77777777">
            <w:pPr>
              <w:spacing w:line="276" w:lineRule="auto"/>
              <w:ind w:right="283"/>
              <w:rPr>
                <w:rFonts w:ascii="Verdana" w:hAnsi="Verdana"/>
                <w:sz w:val="18"/>
                <w:szCs w:val="18"/>
              </w:rPr>
            </w:pPr>
          </w:p>
        </w:tc>
        <w:tc>
          <w:tcPr>
            <w:tcW w:w="8930" w:type="dxa"/>
          </w:tcPr>
          <w:p w:rsidRPr="00A10AC0" w:rsidR="008716C0" w:rsidP="00A10AC0" w:rsidRDefault="008716C0" w14:paraId="02D50EE1" w14:textId="2BE15983">
            <w:pPr>
              <w:spacing w:line="276" w:lineRule="auto"/>
              <w:ind w:right="283"/>
              <w:rPr>
                <w:rFonts w:ascii="Verdana" w:hAnsi="Verdana"/>
                <w:sz w:val="18"/>
                <w:szCs w:val="18"/>
              </w:rPr>
            </w:pPr>
            <w:r w:rsidRPr="00A10AC0">
              <w:rPr>
                <w:rFonts w:ascii="Verdana" w:hAnsi="Verdana"/>
                <w:sz w:val="18"/>
                <w:szCs w:val="18"/>
              </w:rPr>
              <w:t>Zie antwoord op vraag 7.</w:t>
            </w:r>
          </w:p>
        </w:tc>
      </w:tr>
      <w:tr w:rsidRPr="00A10AC0" w:rsidR="008716C0" w:rsidTr="00A10AC0" w14:paraId="075B5FF5" w14:textId="42A879F2">
        <w:tc>
          <w:tcPr>
            <w:tcW w:w="568" w:type="dxa"/>
          </w:tcPr>
          <w:p w:rsidRPr="00A10AC0" w:rsidR="008716C0" w:rsidP="00A10AC0" w:rsidRDefault="008716C0" w14:paraId="4AE53D32" w14:textId="77777777">
            <w:pPr>
              <w:spacing w:line="276" w:lineRule="auto"/>
              <w:rPr>
                <w:rFonts w:ascii="Verdana" w:hAnsi="Verdana"/>
                <w:b/>
                <w:bCs/>
                <w:sz w:val="18"/>
                <w:szCs w:val="18"/>
              </w:rPr>
            </w:pPr>
            <w:r w:rsidRPr="00A10AC0">
              <w:rPr>
                <w:rFonts w:ascii="Verdana" w:hAnsi="Verdana"/>
                <w:b/>
                <w:bCs/>
                <w:sz w:val="18"/>
                <w:szCs w:val="18"/>
              </w:rPr>
              <w:t>9</w:t>
            </w:r>
          </w:p>
        </w:tc>
        <w:tc>
          <w:tcPr>
            <w:tcW w:w="4677" w:type="dxa"/>
          </w:tcPr>
          <w:p w:rsidRPr="00A10AC0" w:rsidR="008716C0" w:rsidP="00A10AC0" w:rsidRDefault="008716C0" w14:paraId="3426AE90" w14:textId="77777777">
            <w:pPr>
              <w:spacing w:line="276" w:lineRule="auto"/>
              <w:rPr>
                <w:rFonts w:ascii="Verdana" w:hAnsi="Verdana"/>
                <w:sz w:val="18"/>
                <w:szCs w:val="18"/>
              </w:rPr>
            </w:pPr>
            <w:r w:rsidRPr="00A10AC0">
              <w:rPr>
                <w:rFonts w:ascii="Verdana" w:hAnsi="Verdana"/>
                <w:sz w:val="18"/>
                <w:szCs w:val="18"/>
              </w:rPr>
              <w:t>Welke concrete redenen hebben gedupeerden aangegeven, gelet op het feit dat de rapportage een discrepantie benoemt tussen de CWS-productiecijfers en het aantal uitgevoerde beschikkingen, mede door intrekkingen van verzoeken voor het wisselen van schaderoute, voor het intrekken van deze verzoeken?</w:t>
            </w:r>
          </w:p>
          <w:p w:rsidRPr="00A10AC0" w:rsidR="008716C0" w:rsidP="00A10AC0" w:rsidRDefault="008716C0" w14:paraId="57698D37" w14:textId="694A2CAC">
            <w:pPr>
              <w:spacing w:line="276" w:lineRule="auto"/>
              <w:rPr>
                <w:rFonts w:ascii="Verdana" w:hAnsi="Verdana"/>
                <w:sz w:val="18"/>
                <w:szCs w:val="18"/>
              </w:rPr>
            </w:pPr>
          </w:p>
        </w:tc>
        <w:tc>
          <w:tcPr>
            <w:tcW w:w="284" w:type="dxa"/>
          </w:tcPr>
          <w:p w:rsidRPr="00A10AC0" w:rsidR="008716C0" w:rsidP="00A10AC0" w:rsidRDefault="008716C0" w14:paraId="0EC2D475" w14:textId="77777777">
            <w:pPr>
              <w:spacing w:line="276" w:lineRule="auto"/>
              <w:rPr>
                <w:rFonts w:ascii="Verdana" w:hAnsi="Verdana"/>
                <w:sz w:val="18"/>
                <w:szCs w:val="18"/>
              </w:rPr>
            </w:pPr>
          </w:p>
        </w:tc>
        <w:tc>
          <w:tcPr>
            <w:tcW w:w="8930" w:type="dxa"/>
          </w:tcPr>
          <w:p w:rsidRPr="00A10AC0" w:rsidR="008716C0" w:rsidP="00A10AC0" w:rsidRDefault="008716C0" w14:paraId="6C6DC07E" w14:textId="66BD9479">
            <w:pPr>
              <w:spacing w:line="276" w:lineRule="auto"/>
              <w:rPr>
                <w:rFonts w:ascii="Verdana" w:hAnsi="Verdana"/>
                <w:sz w:val="18"/>
                <w:szCs w:val="18"/>
              </w:rPr>
            </w:pPr>
            <w:r w:rsidRPr="00A10AC0">
              <w:rPr>
                <w:rFonts w:ascii="Verdana" w:hAnsi="Verdana"/>
                <w:sz w:val="18"/>
                <w:szCs w:val="18"/>
              </w:rPr>
              <w:t xml:space="preserve">Als een ouder overstapt naar een andere route, vraagt de CWS niet naar de reden. Deze redenen zijn dus ook niet geregistreerd. </w:t>
            </w:r>
          </w:p>
          <w:p w:rsidRPr="00A10AC0" w:rsidR="008716C0" w:rsidP="00A10AC0" w:rsidRDefault="008716C0" w14:paraId="545B1933" w14:textId="77777777">
            <w:pPr>
              <w:spacing w:line="276" w:lineRule="auto"/>
              <w:ind w:right="283"/>
              <w:rPr>
                <w:rFonts w:ascii="Verdana" w:hAnsi="Verdana"/>
                <w:sz w:val="18"/>
                <w:szCs w:val="18"/>
              </w:rPr>
            </w:pPr>
          </w:p>
        </w:tc>
      </w:tr>
      <w:tr w:rsidRPr="00A10AC0" w:rsidR="008716C0" w:rsidTr="00A10AC0" w14:paraId="616728A9" w14:textId="45E293AB">
        <w:tc>
          <w:tcPr>
            <w:tcW w:w="568" w:type="dxa"/>
          </w:tcPr>
          <w:p w:rsidRPr="00A10AC0" w:rsidR="008716C0" w:rsidP="00A10AC0" w:rsidRDefault="008716C0" w14:paraId="577CFFD6" w14:textId="77777777">
            <w:pPr>
              <w:spacing w:line="276" w:lineRule="auto"/>
              <w:rPr>
                <w:rFonts w:ascii="Verdana" w:hAnsi="Verdana"/>
                <w:b/>
                <w:bCs/>
                <w:sz w:val="18"/>
                <w:szCs w:val="18"/>
              </w:rPr>
            </w:pPr>
            <w:r w:rsidRPr="00A10AC0">
              <w:rPr>
                <w:rFonts w:ascii="Verdana" w:hAnsi="Verdana"/>
                <w:b/>
                <w:bCs/>
                <w:sz w:val="18"/>
                <w:szCs w:val="18"/>
              </w:rPr>
              <w:t>10</w:t>
            </w:r>
          </w:p>
        </w:tc>
        <w:tc>
          <w:tcPr>
            <w:tcW w:w="4677" w:type="dxa"/>
          </w:tcPr>
          <w:p w:rsidRPr="00A10AC0" w:rsidR="008716C0" w:rsidP="00A10AC0" w:rsidRDefault="008716C0" w14:paraId="4BE214FD" w14:textId="77777777">
            <w:pPr>
              <w:spacing w:line="276" w:lineRule="auto"/>
              <w:rPr>
                <w:rFonts w:ascii="Verdana" w:hAnsi="Verdana"/>
                <w:sz w:val="18"/>
                <w:szCs w:val="18"/>
              </w:rPr>
            </w:pPr>
            <w:r w:rsidRPr="00A10AC0">
              <w:rPr>
                <w:rFonts w:ascii="Verdana" w:hAnsi="Verdana"/>
                <w:sz w:val="18"/>
                <w:szCs w:val="18"/>
              </w:rPr>
              <w:t>Welke (verbeter)punten van de BCG zijn inmiddels geconcretiseerd en worden nu doorgevoerd? Welke resultaten kunnen hiermee worden behaald?</w:t>
            </w:r>
          </w:p>
          <w:p w:rsidRPr="00A10AC0" w:rsidR="001F0455" w:rsidP="00A10AC0" w:rsidRDefault="001F0455" w14:paraId="1DFCEB53" w14:textId="77777777">
            <w:pPr>
              <w:spacing w:line="276" w:lineRule="auto"/>
              <w:rPr>
                <w:rFonts w:ascii="Verdana" w:hAnsi="Verdana"/>
                <w:sz w:val="18"/>
                <w:szCs w:val="18"/>
              </w:rPr>
            </w:pPr>
          </w:p>
          <w:p w:rsidRPr="00A10AC0" w:rsidR="001F0455" w:rsidP="00A10AC0" w:rsidRDefault="001F0455" w14:paraId="4AA2D41B" w14:textId="77777777">
            <w:pPr>
              <w:spacing w:line="276" w:lineRule="auto"/>
              <w:rPr>
                <w:rFonts w:ascii="Verdana" w:hAnsi="Verdana"/>
                <w:sz w:val="18"/>
                <w:szCs w:val="18"/>
              </w:rPr>
            </w:pPr>
          </w:p>
          <w:p w:rsidRPr="00A10AC0" w:rsidR="008716C0" w:rsidP="00A10AC0" w:rsidRDefault="008716C0" w14:paraId="716F99AB" w14:textId="01C718DC">
            <w:pPr>
              <w:spacing w:line="276" w:lineRule="auto"/>
              <w:rPr>
                <w:rFonts w:ascii="Verdana" w:hAnsi="Verdana"/>
                <w:sz w:val="18"/>
                <w:szCs w:val="18"/>
              </w:rPr>
            </w:pPr>
          </w:p>
        </w:tc>
        <w:tc>
          <w:tcPr>
            <w:tcW w:w="284" w:type="dxa"/>
          </w:tcPr>
          <w:p w:rsidRPr="00A10AC0" w:rsidR="008716C0" w:rsidP="00A10AC0" w:rsidRDefault="008716C0" w14:paraId="0A330B75" w14:textId="77777777">
            <w:pPr>
              <w:spacing w:line="276" w:lineRule="auto"/>
              <w:ind w:right="283"/>
              <w:rPr>
                <w:rFonts w:ascii="Verdana" w:hAnsi="Verdana"/>
                <w:sz w:val="18"/>
                <w:szCs w:val="18"/>
                <w:highlight w:val="yellow"/>
              </w:rPr>
            </w:pPr>
          </w:p>
        </w:tc>
        <w:tc>
          <w:tcPr>
            <w:tcW w:w="8930" w:type="dxa"/>
          </w:tcPr>
          <w:p w:rsidR="00BB69AB" w:rsidP="00A10AC0" w:rsidRDefault="000E14C3" w14:paraId="0F0D20A8" w14:textId="77777777">
            <w:pPr>
              <w:spacing w:line="276" w:lineRule="auto"/>
              <w:ind w:right="283"/>
              <w:rPr>
                <w:rFonts w:ascii="Verdana" w:hAnsi="Verdana"/>
                <w:sz w:val="18"/>
                <w:szCs w:val="18"/>
              </w:rPr>
            </w:pPr>
            <w:r w:rsidRPr="00A10AC0">
              <w:rPr>
                <w:rFonts w:ascii="Verdana" w:hAnsi="Verdana"/>
                <w:sz w:val="18"/>
                <w:szCs w:val="18"/>
              </w:rPr>
              <w:t>CWS is momenteel bezig met de implementatie van de verbeterpunten.</w:t>
            </w:r>
            <w:r w:rsidR="00BB69AB">
              <w:rPr>
                <w:rFonts w:ascii="Verdana" w:hAnsi="Verdana"/>
                <w:sz w:val="18"/>
                <w:szCs w:val="18"/>
              </w:rPr>
              <w:t xml:space="preserve"> De volgende verbeterpunten zijn inmiddels geconcretiseerd: </w:t>
            </w:r>
          </w:p>
          <w:p w:rsidRPr="00BB69AB" w:rsidR="00BB69AB" w:rsidP="00BB69AB" w:rsidRDefault="00BB69AB" w14:paraId="55B3F2FF" w14:textId="5B316835">
            <w:pPr>
              <w:pStyle w:val="Lijstalinea"/>
              <w:numPr>
                <w:ilvl w:val="0"/>
                <w:numId w:val="7"/>
              </w:numPr>
              <w:spacing w:line="276" w:lineRule="auto"/>
              <w:ind w:right="283"/>
              <w:rPr>
                <w:rFonts w:ascii="Verdana" w:hAnsi="Verdana"/>
                <w:sz w:val="18"/>
                <w:szCs w:val="18"/>
              </w:rPr>
            </w:pPr>
            <w:r w:rsidRPr="00BB69AB">
              <w:rPr>
                <w:rFonts w:ascii="Verdana" w:hAnsi="Verdana"/>
                <w:sz w:val="18"/>
                <w:szCs w:val="18"/>
              </w:rPr>
              <w:t xml:space="preserve">Dashboards ingericht voor inzicht in het resultaat van CWS. </w:t>
            </w:r>
            <w:r>
              <w:rPr>
                <w:rFonts w:ascii="Verdana" w:hAnsi="Verdana"/>
                <w:sz w:val="18"/>
                <w:szCs w:val="18"/>
              </w:rPr>
              <w:t>Dit d</w:t>
            </w:r>
            <w:r w:rsidRPr="00BB69AB">
              <w:rPr>
                <w:rFonts w:ascii="Verdana" w:hAnsi="Verdana"/>
                <w:sz w:val="18"/>
                <w:szCs w:val="18"/>
              </w:rPr>
              <w:t>raagt bij aan grotere beheersing van het productieproces,</w:t>
            </w:r>
          </w:p>
          <w:p w:rsidRPr="00BB69AB" w:rsidR="00BB69AB" w:rsidP="00BB69AB" w:rsidRDefault="00BB69AB" w14:paraId="737E1440" w14:textId="321A5396">
            <w:pPr>
              <w:pStyle w:val="Lijstalinea"/>
              <w:numPr>
                <w:ilvl w:val="0"/>
                <w:numId w:val="7"/>
              </w:numPr>
              <w:spacing w:line="276" w:lineRule="auto"/>
              <w:ind w:right="283"/>
              <w:rPr>
                <w:rFonts w:ascii="Verdana" w:hAnsi="Verdana"/>
                <w:sz w:val="18"/>
                <w:szCs w:val="18"/>
              </w:rPr>
            </w:pPr>
            <w:r w:rsidRPr="00BB69AB">
              <w:rPr>
                <w:rFonts w:ascii="Verdana" w:hAnsi="Verdana"/>
                <w:sz w:val="18"/>
                <w:szCs w:val="18"/>
              </w:rPr>
              <w:t>Inrichting van 4 verbeterprojecten t.b.v. robuustheid</w:t>
            </w:r>
            <w:r>
              <w:rPr>
                <w:rFonts w:ascii="Verdana" w:hAnsi="Verdana"/>
                <w:sz w:val="18"/>
                <w:szCs w:val="18"/>
              </w:rPr>
              <w:t xml:space="preserve"> van het</w:t>
            </w:r>
            <w:r w:rsidRPr="00BB69AB">
              <w:rPr>
                <w:rFonts w:ascii="Verdana" w:hAnsi="Verdana"/>
                <w:sz w:val="18"/>
                <w:szCs w:val="18"/>
              </w:rPr>
              <w:t xml:space="preserve"> behandelproces en verkorting</w:t>
            </w:r>
            <w:r>
              <w:rPr>
                <w:rFonts w:ascii="Verdana" w:hAnsi="Verdana"/>
                <w:sz w:val="18"/>
                <w:szCs w:val="18"/>
              </w:rPr>
              <w:t xml:space="preserve"> van</w:t>
            </w:r>
            <w:r w:rsidRPr="00BB69AB">
              <w:rPr>
                <w:rFonts w:ascii="Verdana" w:hAnsi="Verdana"/>
                <w:sz w:val="18"/>
                <w:szCs w:val="18"/>
              </w:rPr>
              <w:t xml:space="preserve"> behandeltermijnen</w:t>
            </w:r>
            <w:r>
              <w:rPr>
                <w:rFonts w:ascii="Verdana" w:hAnsi="Verdana"/>
                <w:sz w:val="18"/>
                <w:szCs w:val="18"/>
              </w:rPr>
              <w:t xml:space="preserve">. </w:t>
            </w:r>
          </w:p>
          <w:p w:rsidRPr="00BB69AB" w:rsidR="00BB69AB" w:rsidP="00BB69AB" w:rsidRDefault="00BB69AB" w14:paraId="46DBBF81" w14:textId="52F420F8">
            <w:pPr>
              <w:pStyle w:val="Lijstalinea"/>
              <w:numPr>
                <w:ilvl w:val="0"/>
                <w:numId w:val="7"/>
              </w:numPr>
              <w:spacing w:line="276" w:lineRule="auto"/>
              <w:ind w:right="283"/>
              <w:rPr>
                <w:rFonts w:ascii="Verdana" w:hAnsi="Verdana"/>
                <w:sz w:val="18"/>
                <w:szCs w:val="18"/>
              </w:rPr>
            </w:pPr>
            <w:r>
              <w:rPr>
                <w:rFonts w:ascii="Verdana" w:hAnsi="Verdana"/>
                <w:sz w:val="18"/>
                <w:szCs w:val="18"/>
              </w:rPr>
              <w:lastRenderedPageBreak/>
              <w:t>W</w:t>
            </w:r>
            <w:r w:rsidRPr="00BB69AB">
              <w:rPr>
                <w:rFonts w:ascii="Verdana" w:hAnsi="Verdana"/>
                <w:sz w:val="18"/>
                <w:szCs w:val="18"/>
              </w:rPr>
              <w:t>ervingsproces projectmanager voortdurend verbeteren.</w:t>
            </w:r>
          </w:p>
          <w:p w:rsidRPr="00033056" w:rsidR="00BB69AB" w:rsidP="00033056" w:rsidRDefault="00BB69AB" w14:paraId="68D01A3E" w14:textId="4AB38E0A">
            <w:pPr>
              <w:pStyle w:val="Lijstalinea"/>
              <w:spacing w:line="276" w:lineRule="auto"/>
              <w:ind w:right="283"/>
              <w:rPr>
                <w:rFonts w:ascii="Verdana" w:hAnsi="Verdana"/>
                <w:sz w:val="18"/>
                <w:szCs w:val="18"/>
              </w:rPr>
            </w:pPr>
          </w:p>
          <w:p w:rsidR="008716C0" w:rsidP="00A10AC0" w:rsidRDefault="000E14C3" w14:paraId="180352BE" w14:textId="3B3321E1">
            <w:pPr>
              <w:spacing w:line="276" w:lineRule="auto"/>
              <w:ind w:right="283"/>
              <w:rPr>
                <w:rFonts w:ascii="Verdana" w:hAnsi="Verdana"/>
                <w:sz w:val="18"/>
                <w:szCs w:val="18"/>
              </w:rPr>
            </w:pPr>
            <w:r w:rsidRPr="00A10AC0">
              <w:rPr>
                <w:rFonts w:ascii="Verdana" w:hAnsi="Verdana"/>
                <w:sz w:val="18"/>
                <w:szCs w:val="18"/>
              </w:rPr>
              <w:t xml:space="preserve">Het is nog te vroeg om iets over mogelijke resultaten </w:t>
            </w:r>
            <w:r w:rsidR="00BB69AB">
              <w:rPr>
                <w:rFonts w:ascii="Verdana" w:hAnsi="Verdana"/>
                <w:sz w:val="18"/>
                <w:szCs w:val="18"/>
              </w:rPr>
              <w:t xml:space="preserve">van deze verbeteringen </w:t>
            </w:r>
            <w:r w:rsidRPr="00A10AC0">
              <w:rPr>
                <w:rFonts w:ascii="Verdana" w:hAnsi="Verdana"/>
                <w:sz w:val="18"/>
                <w:szCs w:val="18"/>
              </w:rPr>
              <w:t xml:space="preserve">te kunnen zeggen. </w:t>
            </w:r>
          </w:p>
          <w:p w:rsidRPr="00A10AC0" w:rsidR="00BB69AB" w:rsidP="00A10AC0" w:rsidRDefault="00BB69AB" w14:paraId="2047CE4E" w14:textId="45896D2E">
            <w:pPr>
              <w:spacing w:line="276" w:lineRule="auto"/>
              <w:ind w:right="283"/>
              <w:rPr>
                <w:rFonts w:ascii="Verdana" w:hAnsi="Verdana"/>
                <w:sz w:val="18"/>
                <w:szCs w:val="18"/>
              </w:rPr>
            </w:pPr>
          </w:p>
        </w:tc>
      </w:tr>
      <w:tr w:rsidRPr="00A10AC0" w:rsidR="008716C0" w:rsidTr="00A10AC0" w14:paraId="656EFFBC" w14:textId="7DC24F3D">
        <w:tc>
          <w:tcPr>
            <w:tcW w:w="568" w:type="dxa"/>
          </w:tcPr>
          <w:p w:rsidRPr="00A10AC0" w:rsidR="008716C0" w:rsidP="00A10AC0" w:rsidRDefault="008716C0" w14:paraId="4D8FB8D4" w14:textId="77777777">
            <w:pPr>
              <w:spacing w:line="276" w:lineRule="auto"/>
              <w:rPr>
                <w:rFonts w:ascii="Verdana" w:hAnsi="Verdana"/>
                <w:b/>
                <w:bCs/>
                <w:sz w:val="18"/>
                <w:szCs w:val="18"/>
              </w:rPr>
            </w:pPr>
            <w:r w:rsidRPr="00A10AC0">
              <w:rPr>
                <w:rFonts w:ascii="Verdana" w:hAnsi="Verdana"/>
                <w:b/>
                <w:bCs/>
                <w:sz w:val="18"/>
                <w:szCs w:val="18"/>
              </w:rPr>
              <w:lastRenderedPageBreak/>
              <w:t>11</w:t>
            </w:r>
          </w:p>
        </w:tc>
        <w:tc>
          <w:tcPr>
            <w:tcW w:w="4677" w:type="dxa"/>
          </w:tcPr>
          <w:p w:rsidRPr="00A10AC0" w:rsidR="008716C0" w:rsidP="00A10AC0" w:rsidRDefault="008716C0" w14:paraId="65D43CCE" w14:textId="77777777">
            <w:pPr>
              <w:spacing w:line="276" w:lineRule="auto"/>
              <w:rPr>
                <w:rFonts w:ascii="Verdana" w:hAnsi="Verdana"/>
                <w:sz w:val="18"/>
                <w:szCs w:val="18"/>
              </w:rPr>
            </w:pPr>
            <w:r w:rsidRPr="00A10AC0">
              <w:rPr>
                <w:rFonts w:ascii="Verdana" w:hAnsi="Verdana"/>
                <w:sz w:val="18"/>
                <w:szCs w:val="18"/>
              </w:rPr>
              <w:t>Heeft u inzicht in de daling of stijging van het aantal bezwaren dat specifiek verband houdt met het gebruikte schadekader sinds de invoering ervan?</w:t>
            </w:r>
          </w:p>
          <w:p w:rsidRPr="00A10AC0" w:rsidR="008716C0" w:rsidP="00A10AC0" w:rsidRDefault="008716C0" w14:paraId="1DB28A43" w14:textId="24EE21DB">
            <w:pPr>
              <w:spacing w:line="276" w:lineRule="auto"/>
              <w:rPr>
                <w:rFonts w:ascii="Verdana" w:hAnsi="Verdana"/>
                <w:sz w:val="18"/>
                <w:szCs w:val="18"/>
              </w:rPr>
            </w:pPr>
          </w:p>
        </w:tc>
        <w:tc>
          <w:tcPr>
            <w:tcW w:w="284" w:type="dxa"/>
          </w:tcPr>
          <w:p w:rsidRPr="00A10AC0" w:rsidR="008716C0" w:rsidP="00A10AC0" w:rsidRDefault="008716C0" w14:paraId="58985B8D" w14:textId="77777777">
            <w:pPr>
              <w:spacing w:line="276" w:lineRule="auto"/>
              <w:ind w:right="283"/>
              <w:rPr>
                <w:rFonts w:ascii="Verdana" w:hAnsi="Verdana"/>
                <w:sz w:val="18"/>
                <w:szCs w:val="18"/>
                <w:highlight w:val="yellow"/>
              </w:rPr>
            </w:pPr>
          </w:p>
        </w:tc>
        <w:tc>
          <w:tcPr>
            <w:tcW w:w="8930" w:type="dxa"/>
          </w:tcPr>
          <w:p w:rsidRPr="00A10AC0" w:rsidR="00010E9B" w:rsidP="00A10AC0" w:rsidRDefault="00010E9B" w14:paraId="20C6A6C7" w14:textId="5486F830">
            <w:pPr>
              <w:pStyle w:val="Geenafstand"/>
              <w:spacing w:line="276" w:lineRule="auto"/>
              <w:rPr>
                <w:szCs w:val="18"/>
              </w:rPr>
            </w:pPr>
            <w:r w:rsidRPr="00A10AC0">
              <w:rPr>
                <w:szCs w:val="18"/>
              </w:rPr>
              <w:t xml:space="preserve">Het aantal bezwaren tegen werkelijke schade zaken fluctueerde in 2024 tussen de 2 per maand (augustus) en 20 per maand (november en december). Er is geen duidelijke relatie tussen het aantal bezwaren en het gewijzigde beoordelingskader. </w:t>
            </w:r>
          </w:p>
          <w:p w:rsidRPr="00A10AC0" w:rsidR="008716C0" w:rsidP="00A10AC0" w:rsidRDefault="008716C0" w14:paraId="2266CD40" w14:textId="27166252">
            <w:pPr>
              <w:spacing w:line="276" w:lineRule="auto"/>
              <w:ind w:right="283"/>
              <w:rPr>
                <w:rFonts w:ascii="Verdana" w:hAnsi="Verdana"/>
                <w:sz w:val="18"/>
                <w:szCs w:val="18"/>
              </w:rPr>
            </w:pPr>
          </w:p>
        </w:tc>
      </w:tr>
      <w:tr w:rsidRPr="00A10AC0" w:rsidR="008716C0" w:rsidTr="00A10AC0" w14:paraId="32735923" w14:textId="5CDCCDEA">
        <w:tc>
          <w:tcPr>
            <w:tcW w:w="568" w:type="dxa"/>
          </w:tcPr>
          <w:p w:rsidRPr="00A10AC0" w:rsidR="008716C0" w:rsidP="00A10AC0" w:rsidRDefault="008716C0" w14:paraId="6E55AF81" w14:textId="77777777">
            <w:pPr>
              <w:spacing w:line="276" w:lineRule="auto"/>
              <w:rPr>
                <w:rFonts w:ascii="Verdana" w:hAnsi="Verdana"/>
                <w:b/>
                <w:bCs/>
                <w:sz w:val="18"/>
                <w:szCs w:val="18"/>
              </w:rPr>
            </w:pPr>
            <w:r w:rsidRPr="00A10AC0">
              <w:rPr>
                <w:rFonts w:ascii="Verdana" w:hAnsi="Verdana"/>
                <w:b/>
                <w:bCs/>
                <w:sz w:val="18"/>
                <w:szCs w:val="18"/>
              </w:rPr>
              <w:t>12</w:t>
            </w:r>
          </w:p>
        </w:tc>
        <w:tc>
          <w:tcPr>
            <w:tcW w:w="4677" w:type="dxa"/>
          </w:tcPr>
          <w:p w:rsidRPr="00A10AC0" w:rsidR="008716C0" w:rsidP="00A10AC0" w:rsidRDefault="008716C0" w14:paraId="683ACA64" w14:textId="29A61689">
            <w:pPr>
              <w:spacing w:line="276" w:lineRule="auto"/>
              <w:rPr>
                <w:rFonts w:ascii="Verdana" w:hAnsi="Verdana"/>
                <w:sz w:val="18"/>
                <w:szCs w:val="18"/>
              </w:rPr>
            </w:pPr>
            <w:r w:rsidRPr="00A10AC0">
              <w:rPr>
                <w:rFonts w:ascii="Verdana" w:hAnsi="Verdana"/>
                <w:sz w:val="18"/>
                <w:szCs w:val="18"/>
              </w:rPr>
              <w:t>Hoe vaak wijkt het advies van de UHT af van het BAC-advies in de periode van september tot en met december 2024?</w:t>
            </w:r>
          </w:p>
        </w:tc>
        <w:tc>
          <w:tcPr>
            <w:tcW w:w="284" w:type="dxa"/>
          </w:tcPr>
          <w:p w:rsidRPr="00A10AC0" w:rsidR="008716C0" w:rsidP="00A10AC0" w:rsidRDefault="008716C0" w14:paraId="74D352D0" w14:textId="77777777">
            <w:pPr>
              <w:pStyle w:val="Geenafstand"/>
              <w:spacing w:line="276" w:lineRule="auto"/>
              <w:rPr>
                <w:szCs w:val="18"/>
              </w:rPr>
            </w:pPr>
          </w:p>
        </w:tc>
        <w:tc>
          <w:tcPr>
            <w:tcW w:w="8930" w:type="dxa"/>
          </w:tcPr>
          <w:p w:rsidRPr="00A10AC0" w:rsidR="008716C0" w:rsidP="00A10AC0" w:rsidRDefault="008716C0" w14:paraId="30D16228" w14:textId="67FD2077">
            <w:pPr>
              <w:pStyle w:val="Geenafstand"/>
              <w:spacing w:line="276" w:lineRule="auto"/>
              <w:rPr>
                <w:szCs w:val="18"/>
              </w:rPr>
            </w:pPr>
            <w:r w:rsidRPr="00A10AC0">
              <w:rPr>
                <w:szCs w:val="18"/>
              </w:rPr>
              <w:t xml:space="preserve">Naar aanleiding van de vorige voortgangsrapportage heeft UHT aangegeven dat dit cijfermatig niet altijd is bijgehouden, maar dat UHT dit wel steeds motiveert in de individuele beschikking. </w:t>
            </w:r>
          </w:p>
          <w:p w:rsidRPr="00A10AC0" w:rsidR="008716C0" w:rsidP="00A10AC0" w:rsidRDefault="008716C0" w14:paraId="6BAF5406" w14:textId="77777777">
            <w:pPr>
              <w:pStyle w:val="Geenafstand"/>
              <w:spacing w:line="276" w:lineRule="auto"/>
              <w:rPr>
                <w:szCs w:val="18"/>
              </w:rPr>
            </w:pPr>
          </w:p>
          <w:p w:rsidRPr="00A10AC0" w:rsidR="008716C0" w:rsidP="00A10AC0" w:rsidRDefault="008716C0" w14:paraId="40374C90" w14:textId="3CE798FF">
            <w:pPr>
              <w:pStyle w:val="Geenafstand"/>
              <w:spacing w:line="276" w:lineRule="auto"/>
              <w:rPr>
                <w:szCs w:val="18"/>
              </w:rPr>
            </w:pPr>
            <w:r w:rsidRPr="00A10AC0">
              <w:rPr>
                <w:szCs w:val="18"/>
              </w:rPr>
              <w:t xml:space="preserve">Het komt niet vaak voor dat UHT ten nadele van ouders afwijkt van BAC-adviezen. Sinds begin 2025 wordt dit cijfermatig bijgehouden. Er zijn tot nu toe 4 gevallen bekend waarin UHT ten nadele van ouders is afgeweken. Dat doet UHT alleen in uitzonderingssituaties, bijvoorbeeld als de advisering van de BAC niet past binnen de wettelijke systematiek van de </w:t>
            </w:r>
            <w:proofErr w:type="spellStart"/>
            <w:r w:rsidRPr="00A10AC0">
              <w:rPr>
                <w:szCs w:val="18"/>
              </w:rPr>
              <w:t>Wht</w:t>
            </w:r>
            <w:proofErr w:type="spellEnd"/>
            <w:r w:rsidRPr="00A10AC0">
              <w:rPr>
                <w:szCs w:val="18"/>
              </w:rPr>
              <w:t>. Los van de genoemde vier gevallen, hanteert UHT een net andere wijze van renteberekening dan in de adviezen van de BAC. Op basis daarvan wijkt UHT dus meer structureel af van de lijn van de BAC.</w:t>
            </w:r>
          </w:p>
          <w:p w:rsidRPr="00A10AC0" w:rsidR="008716C0" w:rsidP="00A10AC0" w:rsidRDefault="008716C0" w14:paraId="1DD476A8" w14:textId="77777777">
            <w:pPr>
              <w:spacing w:line="276" w:lineRule="auto"/>
              <w:ind w:right="283"/>
              <w:rPr>
                <w:rFonts w:ascii="Verdana" w:hAnsi="Verdana"/>
                <w:sz w:val="18"/>
                <w:szCs w:val="18"/>
              </w:rPr>
            </w:pPr>
          </w:p>
        </w:tc>
      </w:tr>
      <w:tr w:rsidRPr="00A10AC0" w:rsidR="008716C0" w:rsidTr="00A10AC0" w14:paraId="50E9C5A8" w14:textId="7AD8CD0A">
        <w:tc>
          <w:tcPr>
            <w:tcW w:w="568" w:type="dxa"/>
          </w:tcPr>
          <w:p w:rsidRPr="00A10AC0" w:rsidR="008716C0" w:rsidP="00A10AC0" w:rsidRDefault="008716C0" w14:paraId="0E2F6265" w14:textId="77777777">
            <w:pPr>
              <w:spacing w:line="276" w:lineRule="auto"/>
              <w:rPr>
                <w:rFonts w:ascii="Verdana" w:hAnsi="Verdana"/>
                <w:b/>
                <w:bCs/>
                <w:sz w:val="18"/>
                <w:szCs w:val="18"/>
              </w:rPr>
            </w:pPr>
            <w:r w:rsidRPr="00A10AC0">
              <w:rPr>
                <w:rFonts w:ascii="Verdana" w:hAnsi="Verdana"/>
                <w:b/>
                <w:bCs/>
                <w:sz w:val="18"/>
                <w:szCs w:val="18"/>
              </w:rPr>
              <w:t>13</w:t>
            </w:r>
          </w:p>
        </w:tc>
        <w:tc>
          <w:tcPr>
            <w:tcW w:w="4677" w:type="dxa"/>
          </w:tcPr>
          <w:p w:rsidRPr="00A10AC0" w:rsidR="008716C0" w:rsidP="00A10AC0" w:rsidRDefault="008716C0" w14:paraId="4ADE6587" w14:textId="78917582">
            <w:pPr>
              <w:spacing w:line="276" w:lineRule="auto"/>
              <w:rPr>
                <w:rFonts w:ascii="Verdana" w:hAnsi="Verdana"/>
                <w:sz w:val="18"/>
                <w:szCs w:val="18"/>
              </w:rPr>
            </w:pPr>
            <w:r w:rsidRPr="00A10AC0">
              <w:rPr>
                <w:rFonts w:ascii="Verdana" w:hAnsi="Verdana"/>
                <w:sz w:val="18"/>
                <w:szCs w:val="18"/>
              </w:rPr>
              <w:t>Kan inzicht worden gegeven in de aard van de bezwaren die gegrond worden verklaard?</w:t>
            </w:r>
          </w:p>
        </w:tc>
        <w:tc>
          <w:tcPr>
            <w:tcW w:w="284" w:type="dxa"/>
          </w:tcPr>
          <w:p w:rsidRPr="00A10AC0" w:rsidR="008716C0" w:rsidP="00A10AC0" w:rsidRDefault="008716C0" w14:paraId="734C9A89" w14:textId="77777777">
            <w:pPr>
              <w:pStyle w:val="Geenafstand"/>
              <w:spacing w:line="276" w:lineRule="auto"/>
              <w:rPr>
                <w:szCs w:val="18"/>
              </w:rPr>
            </w:pPr>
          </w:p>
        </w:tc>
        <w:tc>
          <w:tcPr>
            <w:tcW w:w="8930" w:type="dxa"/>
          </w:tcPr>
          <w:p w:rsidR="008716C0" w:rsidP="0016029F" w:rsidRDefault="008716C0" w14:paraId="0E14B09B" w14:textId="77777777">
            <w:pPr>
              <w:spacing w:line="276" w:lineRule="auto"/>
              <w:ind w:right="283"/>
              <w:rPr>
                <w:rFonts w:ascii="Verdana" w:hAnsi="Verdana"/>
                <w:sz w:val="18"/>
                <w:szCs w:val="18"/>
              </w:rPr>
            </w:pPr>
            <w:r w:rsidRPr="00A10AC0">
              <w:rPr>
                <w:rFonts w:ascii="Verdana" w:hAnsi="Verdana"/>
                <w:sz w:val="18"/>
                <w:szCs w:val="18"/>
              </w:rPr>
              <w:t>Hierover is in meerdere voortgangsrapportages gerapporteerd, waaronder de 13</w:t>
            </w:r>
            <w:r w:rsidRPr="00A10AC0">
              <w:rPr>
                <w:rFonts w:ascii="Verdana" w:hAnsi="Verdana"/>
                <w:sz w:val="18"/>
                <w:szCs w:val="18"/>
                <w:vertAlign w:val="superscript"/>
              </w:rPr>
              <w:t>e</w:t>
            </w:r>
            <w:r w:rsidRPr="00A10AC0">
              <w:rPr>
                <w:rFonts w:ascii="Verdana" w:hAnsi="Verdana"/>
                <w:sz w:val="18"/>
                <w:szCs w:val="18"/>
              </w:rPr>
              <w:t xml:space="preserve"> en de 18</w:t>
            </w:r>
            <w:r w:rsidRPr="00A10AC0">
              <w:rPr>
                <w:rFonts w:ascii="Verdana" w:hAnsi="Verdana"/>
                <w:sz w:val="18"/>
                <w:szCs w:val="18"/>
                <w:vertAlign w:val="superscript"/>
              </w:rPr>
              <w:t>e</w:t>
            </w:r>
            <w:r w:rsidRPr="00A10AC0">
              <w:rPr>
                <w:rFonts w:ascii="Verdana" w:hAnsi="Verdana"/>
                <w:sz w:val="18"/>
                <w:szCs w:val="18"/>
              </w:rPr>
              <w:t xml:space="preserve"> voortgangsrapportage. Veel voorkomende redenen voor gegrondverklaring van bezwaren gericht tegen de integrale beoordeling zijn de startdatum van de immateriële schadevergoeding en de renteberekening. Daarin hebben inmiddels aanpassingen plaatsgevonden. </w:t>
            </w:r>
            <w:r w:rsidR="00A90CEB">
              <w:rPr>
                <w:rFonts w:ascii="Verdana" w:hAnsi="Verdana"/>
                <w:sz w:val="18"/>
                <w:szCs w:val="18"/>
              </w:rPr>
              <w:t>B</w:t>
            </w:r>
            <w:r w:rsidRPr="00A10AC0">
              <w:rPr>
                <w:rFonts w:ascii="Verdana" w:hAnsi="Verdana"/>
                <w:sz w:val="18"/>
                <w:szCs w:val="18"/>
              </w:rPr>
              <w:t>ijvoorbeeld voor bezwaren op werkelijke schade, die aan de hand van het aangepaste kader van de Commissie Werkelijke Schade worden beoordeeld.</w:t>
            </w:r>
          </w:p>
          <w:p w:rsidRPr="00A10AC0" w:rsidR="00033056" w:rsidP="0016029F" w:rsidRDefault="00033056" w14:paraId="6A3EF9CF" w14:textId="1923FFEC">
            <w:pPr>
              <w:spacing w:line="276" w:lineRule="auto"/>
              <w:ind w:right="283"/>
              <w:rPr>
                <w:rFonts w:ascii="Verdana" w:hAnsi="Verdana"/>
                <w:sz w:val="18"/>
                <w:szCs w:val="18"/>
              </w:rPr>
            </w:pPr>
          </w:p>
        </w:tc>
      </w:tr>
      <w:tr w:rsidRPr="00A10AC0" w:rsidR="008716C0" w:rsidTr="00A10AC0" w14:paraId="34B7B868" w14:textId="0D0259BC">
        <w:tc>
          <w:tcPr>
            <w:tcW w:w="568" w:type="dxa"/>
          </w:tcPr>
          <w:p w:rsidRPr="00A10AC0" w:rsidR="008716C0" w:rsidP="00A10AC0" w:rsidRDefault="008716C0" w14:paraId="3350A12A" w14:textId="77777777">
            <w:pPr>
              <w:spacing w:line="276" w:lineRule="auto"/>
              <w:rPr>
                <w:rFonts w:ascii="Verdana" w:hAnsi="Verdana"/>
                <w:b/>
                <w:bCs/>
                <w:sz w:val="18"/>
                <w:szCs w:val="18"/>
              </w:rPr>
            </w:pPr>
            <w:r w:rsidRPr="00A10AC0">
              <w:rPr>
                <w:rFonts w:ascii="Verdana" w:hAnsi="Verdana"/>
                <w:b/>
                <w:bCs/>
                <w:sz w:val="18"/>
                <w:szCs w:val="18"/>
              </w:rPr>
              <w:t>14</w:t>
            </w:r>
          </w:p>
        </w:tc>
        <w:tc>
          <w:tcPr>
            <w:tcW w:w="4677" w:type="dxa"/>
          </w:tcPr>
          <w:p w:rsidRPr="00A10AC0" w:rsidR="008716C0" w:rsidP="00A10AC0" w:rsidRDefault="008716C0" w14:paraId="374387A6" w14:textId="4DDBD9F2">
            <w:pPr>
              <w:spacing w:line="276" w:lineRule="auto"/>
              <w:rPr>
                <w:rFonts w:ascii="Verdana" w:hAnsi="Verdana"/>
                <w:sz w:val="18"/>
                <w:szCs w:val="18"/>
              </w:rPr>
            </w:pPr>
            <w:r w:rsidRPr="00A10AC0">
              <w:rPr>
                <w:rFonts w:ascii="Verdana" w:hAnsi="Verdana"/>
                <w:sz w:val="18"/>
                <w:szCs w:val="18"/>
              </w:rPr>
              <w:t>Welke aanvullende maatregelen zijn noodzakelijk om de bezwaren tegen de integrale beoordeling eind 2026 te hebben afgerond?</w:t>
            </w:r>
          </w:p>
        </w:tc>
        <w:tc>
          <w:tcPr>
            <w:tcW w:w="284" w:type="dxa"/>
          </w:tcPr>
          <w:p w:rsidRPr="00A10AC0" w:rsidR="008716C0" w:rsidP="00A10AC0" w:rsidRDefault="008716C0" w14:paraId="6C522AFE" w14:textId="77777777">
            <w:pPr>
              <w:pStyle w:val="Geenafstand"/>
              <w:spacing w:line="276" w:lineRule="auto"/>
              <w:rPr>
                <w:szCs w:val="18"/>
              </w:rPr>
            </w:pPr>
          </w:p>
        </w:tc>
        <w:tc>
          <w:tcPr>
            <w:tcW w:w="8930" w:type="dxa"/>
          </w:tcPr>
          <w:p w:rsidRPr="00A10AC0" w:rsidR="008716C0" w:rsidP="00A10AC0" w:rsidRDefault="008716C0" w14:paraId="2D3C12B6" w14:textId="0B7E5B2D">
            <w:pPr>
              <w:pStyle w:val="Geenafstand"/>
              <w:spacing w:line="276" w:lineRule="auto"/>
              <w:rPr>
                <w:szCs w:val="18"/>
              </w:rPr>
            </w:pPr>
            <w:r w:rsidRPr="00A10AC0">
              <w:rPr>
                <w:szCs w:val="18"/>
              </w:rPr>
              <w:t xml:space="preserve">In het streven om bezwaren eind 2026 af te ronden is het continu nodig om te kijken naar de voortgang en de noodzaak om aanvullende maatregelen te nemen. </w:t>
            </w:r>
            <w:r w:rsidR="00834035">
              <w:rPr>
                <w:szCs w:val="18"/>
              </w:rPr>
              <w:t xml:space="preserve">Welke maatregelen precies noodzakelijk zijn, is afhankelijk van de ontwikkelingen van bepaalde onzekerheden rond de bezwaren, zoals </w:t>
            </w:r>
            <w:r w:rsidRPr="00A10AC0">
              <w:rPr>
                <w:szCs w:val="18"/>
              </w:rPr>
              <w:t>de mogelijke personele implicaties van de wet DBA en dat de mogelijkheden om bezwaren gerichter voor te leggen aan de BAC vooralsnog minder effect sorteren dan eerder werd aangenomen.</w:t>
            </w:r>
            <w:r w:rsidR="00033056">
              <w:rPr>
                <w:szCs w:val="18"/>
              </w:rPr>
              <w:t xml:space="preserve"> </w:t>
            </w:r>
            <w:r w:rsidR="00834035">
              <w:rPr>
                <w:szCs w:val="18"/>
              </w:rPr>
              <w:t>D</w:t>
            </w:r>
            <w:r w:rsidRPr="00A10AC0">
              <w:rPr>
                <w:szCs w:val="18"/>
              </w:rPr>
              <w:t xml:space="preserve">aarom blijft het steeds van belang om voortdurend te blijven kijken naar aanvullende maatregelen. </w:t>
            </w:r>
            <w:r w:rsidR="00E05635">
              <w:rPr>
                <w:szCs w:val="18"/>
              </w:rPr>
              <w:t>D</w:t>
            </w:r>
            <w:r w:rsidRPr="00A10AC0">
              <w:rPr>
                <w:szCs w:val="18"/>
              </w:rPr>
              <w:t xml:space="preserve">aar </w:t>
            </w:r>
            <w:r w:rsidR="00E05635">
              <w:rPr>
                <w:szCs w:val="18"/>
              </w:rPr>
              <w:t xml:space="preserve">is </w:t>
            </w:r>
            <w:r w:rsidRPr="00A10AC0">
              <w:rPr>
                <w:szCs w:val="18"/>
              </w:rPr>
              <w:t xml:space="preserve">in de kabinetsreactie op het rapport van de commissie van Dam nader op ingegaan. </w:t>
            </w:r>
          </w:p>
          <w:p w:rsidRPr="00A10AC0" w:rsidR="008716C0" w:rsidP="00A10AC0" w:rsidRDefault="008716C0" w14:paraId="2E394B7A" w14:textId="77777777">
            <w:pPr>
              <w:spacing w:line="276" w:lineRule="auto"/>
              <w:ind w:right="283"/>
              <w:rPr>
                <w:rFonts w:ascii="Verdana" w:hAnsi="Verdana"/>
                <w:sz w:val="18"/>
                <w:szCs w:val="18"/>
              </w:rPr>
            </w:pPr>
          </w:p>
        </w:tc>
      </w:tr>
      <w:tr w:rsidRPr="00A10AC0" w:rsidR="008716C0" w:rsidTr="00A10AC0" w14:paraId="789ABAD9" w14:textId="67115A6A">
        <w:tc>
          <w:tcPr>
            <w:tcW w:w="568" w:type="dxa"/>
          </w:tcPr>
          <w:p w:rsidRPr="00A10AC0" w:rsidR="008716C0" w:rsidP="00A10AC0" w:rsidRDefault="008716C0" w14:paraId="072A441A" w14:textId="77777777">
            <w:pPr>
              <w:spacing w:line="276" w:lineRule="auto"/>
              <w:rPr>
                <w:rFonts w:ascii="Verdana" w:hAnsi="Verdana"/>
                <w:b/>
                <w:bCs/>
                <w:sz w:val="18"/>
                <w:szCs w:val="18"/>
              </w:rPr>
            </w:pPr>
            <w:r w:rsidRPr="00A10AC0">
              <w:rPr>
                <w:rFonts w:ascii="Verdana" w:hAnsi="Verdana"/>
                <w:b/>
                <w:bCs/>
                <w:sz w:val="18"/>
                <w:szCs w:val="18"/>
              </w:rPr>
              <w:lastRenderedPageBreak/>
              <w:t>15</w:t>
            </w:r>
          </w:p>
        </w:tc>
        <w:tc>
          <w:tcPr>
            <w:tcW w:w="4677" w:type="dxa"/>
          </w:tcPr>
          <w:p w:rsidRPr="00A10AC0" w:rsidR="008716C0" w:rsidP="00A10AC0" w:rsidRDefault="008716C0" w14:paraId="7B835682" w14:textId="776549EF">
            <w:pPr>
              <w:spacing w:line="276" w:lineRule="auto"/>
              <w:rPr>
                <w:rFonts w:ascii="Verdana" w:hAnsi="Verdana"/>
                <w:sz w:val="18"/>
                <w:szCs w:val="18"/>
              </w:rPr>
            </w:pPr>
            <w:r w:rsidRPr="00A10AC0">
              <w:rPr>
                <w:rFonts w:ascii="Verdana" w:hAnsi="Verdana"/>
                <w:sz w:val="18"/>
                <w:szCs w:val="18"/>
              </w:rPr>
              <w:t>Wat zijn de meest voorkomende redenen waarom ouders in bezwaar gaan tegen de integrale beoordeling?</w:t>
            </w:r>
          </w:p>
        </w:tc>
        <w:tc>
          <w:tcPr>
            <w:tcW w:w="284" w:type="dxa"/>
          </w:tcPr>
          <w:p w:rsidRPr="00A10AC0" w:rsidR="008716C0" w:rsidP="00A10AC0" w:rsidRDefault="008716C0" w14:paraId="17A8BCA9" w14:textId="77777777">
            <w:pPr>
              <w:pStyle w:val="Geenafstand"/>
              <w:spacing w:line="276" w:lineRule="auto"/>
              <w:rPr>
                <w:szCs w:val="18"/>
              </w:rPr>
            </w:pPr>
          </w:p>
        </w:tc>
        <w:tc>
          <w:tcPr>
            <w:tcW w:w="8930" w:type="dxa"/>
          </w:tcPr>
          <w:p w:rsidRPr="00A10AC0" w:rsidR="0078682F" w:rsidP="00A10AC0" w:rsidRDefault="0078682F" w14:paraId="2C68742F" w14:textId="77777777">
            <w:pPr>
              <w:pStyle w:val="Geenafstand"/>
              <w:spacing w:line="276" w:lineRule="auto"/>
              <w:rPr>
                <w:szCs w:val="18"/>
              </w:rPr>
            </w:pPr>
            <w:r w:rsidRPr="00A10AC0">
              <w:rPr>
                <w:szCs w:val="18"/>
              </w:rPr>
              <w:t xml:space="preserve">Er worden bij de indiening van een bezwaar vaak meerdere bezwaargronden genoemd. Bezwaren zien bijvoorbeeld op het ten onrechte niet aannemen van </w:t>
            </w:r>
            <w:proofErr w:type="spellStart"/>
            <w:r w:rsidRPr="00A10AC0">
              <w:rPr>
                <w:szCs w:val="18"/>
              </w:rPr>
              <w:t>gedupeerdheid</w:t>
            </w:r>
            <w:proofErr w:type="spellEnd"/>
            <w:r w:rsidRPr="00A10AC0">
              <w:rPr>
                <w:szCs w:val="18"/>
              </w:rPr>
              <w:t xml:space="preserve"> voor (bepaalde) toeslagjaren, op de berekening van de compensatie of op de immateriële schadevergoeding. Het vaakst wordt schending van het motiveringsbeginsel of schending van de algemene beginselen van behoorlijk bestuur genoemd. Veel ouders en gemachtigden geven in bezwaar aan behoefte te hebben aan het ouderdossier.</w:t>
            </w:r>
          </w:p>
          <w:p w:rsidRPr="00A10AC0" w:rsidR="008716C0" w:rsidP="00A10AC0" w:rsidRDefault="008716C0" w14:paraId="1FC67F35" w14:textId="77777777">
            <w:pPr>
              <w:spacing w:line="276" w:lineRule="auto"/>
              <w:ind w:right="283"/>
              <w:rPr>
                <w:rFonts w:ascii="Verdana" w:hAnsi="Verdana"/>
                <w:sz w:val="18"/>
                <w:szCs w:val="18"/>
              </w:rPr>
            </w:pPr>
          </w:p>
        </w:tc>
      </w:tr>
      <w:tr w:rsidRPr="00A10AC0" w:rsidR="008716C0" w:rsidTr="00A10AC0" w14:paraId="2AF47241" w14:textId="1D0AE0E8">
        <w:tc>
          <w:tcPr>
            <w:tcW w:w="568" w:type="dxa"/>
          </w:tcPr>
          <w:p w:rsidRPr="00A10AC0" w:rsidR="008716C0" w:rsidP="00A10AC0" w:rsidRDefault="008716C0" w14:paraId="62FF2053" w14:textId="77777777">
            <w:pPr>
              <w:spacing w:line="276" w:lineRule="auto"/>
              <w:rPr>
                <w:rFonts w:ascii="Verdana" w:hAnsi="Verdana"/>
                <w:b/>
                <w:bCs/>
                <w:sz w:val="18"/>
                <w:szCs w:val="18"/>
              </w:rPr>
            </w:pPr>
            <w:r w:rsidRPr="00A10AC0">
              <w:rPr>
                <w:rFonts w:ascii="Verdana" w:hAnsi="Verdana"/>
                <w:b/>
                <w:bCs/>
                <w:sz w:val="18"/>
                <w:szCs w:val="18"/>
              </w:rPr>
              <w:t>16</w:t>
            </w:r>
          </w:p>
        </w:tc>
        <w:tc>
          <w:tcPr>
            <w:tcW w:w="4677" w:type="dxa"/>
          </w:tcPr>
          <w:p w:rsidRPr="00A10AC0" w:rsidR="008716C0" w:rsidP="00A10AC0" w:rsidRDefault="008716C0" w14:paraId="7087F5FA" w14:textId="7625A7CA">
            <w:pPr>
              <w:spacing w:line="276" w:lineRule="auto"/>
              <w:rPr>
                <w:rFonts w:ascii="Verdana" w:hAnsi="Verdana"/>
                <w:sz w:val="18"/>
                <w:szCs w:val="18"/>
              </w:rPr>
            </w:pPr>
            <w:r w:rsidRPr="00A10AC0">
              <w:rPr>
                <w:rFonts w:ascii="Verdana" w:hAnsi="Verdana"/>
                <w:sz w:val="18"/>
                <w:szCs w:val="18"/>
              </w:rPr>
              <w:t>Wat is de gemiddelde tijd die nodig is om een bezwaarprocedure te voltooien?</w:t>
            </w:r>
          </w:p>
        </w:tc>
        <w:tc>
          <w:tcPr>
            <w:tcW w:w="284" w:type="dxa"/>
          </w:tcPr>
          <w:p w:rsidRPr="00A10AC0" w:rsidR="008716C0" w:rsidP="00A10AC0" w:rsidRDefault="008716C0" w14:paraId="08DC1329" w14:textId="77777777">
            <w:pPr>
              <w:spacing w:line="276" w:lineRule="auto"/>
              <w:rPr>
                <w:rFonts w:ascii="Verdana" w:hAnsi="Verdana"/>
                <w:sz w:val="18"/>
                <w:szCs w:val="18"/>
              </w:rPr>
            </w:pPr>
          </w:p>
        </w:tc>
        <w:tc>
          <w:tcPr>
            <w:tcW w:w="8930" w:type="dxa"/>
          </w:tcPr>
          <w:p w:rsidRPr="00DE6471" w:rsidR="00D264C3" w:rsidP="00D264C3" w:rsidRDefault="00D264C3" w14:paraId="4F5B358D" w14:textId="605A676D">
            <w:pPr>
              <w:spacing w:line="276" w:lineRule="auto"/>
              <w:rPr>
                <w:rFonts w:ascii="Verdana" w:hAnsi="Verdana"/>
                <w:sz w:val="18"/>
                <w:szCs w:val="18"/>
              </w:rPr>
            </w:pPr>
            <w:r>
              <w:rPr>
                <w:rFonts w:ascii="Verdana" w:hAnsi="Verdana"/>
                <w:sz w:val="18"/>
                <w:szCs w:val="18"/>
              </w:rPr>
              <w:t xml:space="preserve">Omdat </w:t>
            </w:r>
            <w:r w:rsidRPr="00A10AC0" w:rsidR="0078682F">
              <w:rPr>
                <w:rFonts w:ascii="Verdana" w:hAnsi="Verdana"/>
                <w:sz w:val="18"/>
                <w:szCs w:val="18"/>
              </w:rPr>
              <w:t xml:space="preserve">de gemiddelde tijd tussen indiening van het bezwaar en afronding van het bezwaar (middels een beslissing op bezwaar of intrekking van het bezwaar) </w:t>
            </w:r>
            <w:r>
              <w:rPr>
                <w:rFonts w:ascii="Verdana" w:hAnsi="Verdana"/>
                <w:sz w:val="18"/>
                <w:szCs w:val="18"/>
              </w:rPr>
              <w:t xml:space="preserve">tot nu toe </w:t>
            </w:r>
            <w:r w:rsidR="00F253AD">
              <w:rPr>
                <w:rFonts w:ascii="Verdana" w:hAnsi="Verdana"/>
                <w:sz w:val="18"/>
                <w:szCs w:val="18"/>
              </w:rPr>
              <w:t xml:space="preserve">ruim 2 jaar </w:t>
            </w:r>
            <w:r>
              <w:rPr>
                <w:rFonts w:ascii="Verdana" w:hAnsi="Verdana"/>
                <w:sz w:val="18"/>
                <w:szCs w:val="18"/>
              </w:rPr>
              <w:t>bedraagt,</w:t>
            </w:r>
            <w:r w:rsidRPr="00A10AC0" w:rsidR="0078682F">
              <w:rPr>
                <w:rFonts w:ascii="Verdana" w:hAnsi="Verdana"/>
                <w:sz w:val="18"/>
                <w:szCs w:val="18"/>
              </w:rPr>
              <w:t xml:space="preserve"> </w:t>
            </w:r>
            <w:r w:rsidRPr="00DE6471">
              <w:rPr>
                <w:rFonts w:ascii="Verdana" w:hAnsi="Verdana"/>
                <w:sz w:val="18"/>
                <w:szCs w:val="18"/>
              </w:rPr>
              <w:t>gaat het kabinet inzetten op een meer responsieve bezwaarafhandeling, prioritering in de werkvoorraad en het beperken van de instroom van bezwaarzaken richting de BAC.</w:t>
            </w:r>
            <w:r w:rsidRPr="00DE6471">
              <w:rPr>
                <w:rStyle w:val="Voetnootmarkering"/>
                <w:rFonts w:ascii="Verdana" w:hAnsi="Verdana"/>
                <w:sz w:val="18"/>
                <w:szCs w:val="18"/>
              </w:rPr>
              <w:footnoteReference w:id="1"/>
            </w:r>
          </w:p>
          <w:p w:rsidRPr="00A10AC0" w:rsidR="00D264C3" w:rsidP="00A10AC0" w:rsidRDefault="00D264C3" w14:paraId="4562F727" w14:textId="77777777">
            <w:pPr>
              <w:spacing w:line="276" w:lineRule="auto"/>
              <w:ind w:right="283"/>
              <w:rPr>
                <w:rFonts w:ascii="Verdana" w:hAnsi="Verdana"/>
                <w:sz w:val="18"/>
                <w:szCs w:val="18"/>
              </w:rPr>
            </w:pPr>
          </w:p>
        </w:tc>
      </w:tr>
      <w:tr w:rsidRPr="00A10AC0" w:rsidR="008716C0" w:rsidTr="00A10AC0" w14:paraId="3E42F809" w14:textId="00B068F7">
        <w:tc>
          <w:tcPr>
            <w:tcW w:w="568" w:type="dxa"/>
          </w:tcPr>
          <w:p w:rsidRPr="00A10AC0" w:rsidR="008716C0" w:rsidP="00A10AC0" w:rsidRDefault="008716C0" w14:paraId="7ECFF9F5" w14:textId="77777777">
            <w:pPr>
              <w:spacing w:line="276" w:lineRule="auto"/>
              <w:rPr>
                <w:rFonts w:ascii="Verdana" w:hAnsi="Verdana"/>
                <w:b/>
                <w:bCs/>
                <w:sz w:val="18"/>
                <w:szCs w:val="18"/>
              </w:rPr>
            </w:pPr>
            <w:r w:rsidRPr="00A10AC0">
              <w:rPr>
                <w:rFonts w:ascii="Verdana" w:hAnsi="Verdana"/>
                <w:b/>
                <w:bCs/>
                <w:sz w:val="18"/>
                <w:szCs w:val="18"/>
              </w:rPr>
              <w:t>17</w:t>
            </w:r>
          </w:p>
        </w:tc>
        <w:tc>
          <w:tcPr>
            <w:tcW w:w="4677" w:type="dxa"/>
          </w:tcPr>
          <w:p w:rsidRPr="00A10AC0" w:rsidR="008716C0" w:rsidP="00A10AC0" w:rsidRDefault="008716C0" w14:paraId="0BB51DC0" w14:textId="1E2A7DA4">
            <w:pPr>
              <w:spacing w:line="276" w:lineRule="auto"/>
              <w:rPr>
                <w:rFonts w:ascii="Verdana" w:hAnsi="Verdana"/>
                <w:sz w:val="18"/>
                <w:szCs w:val="18"/>
              </w:rPr>
            </w:pPr>
            <w:r w:rsidRPr="00A10AC0">
              <w:rPr>
                <w:rFonts w:ascii="Verdana" w:hAnsi="Verdana"/>
                <w:sz w:val="18"/>
                <w:szCs w:val="18"/>
              </w:rPr>
              <w:t>Hoe verschillen de verschillende schadeherstelroutes in voorwaarden en uitbetalingen?</w:t>
            </w:r>
          </w:p>
        </w:tc>
        <w:tc>
          <w:tcPr>
            <w:tcW w:w="284" w:type="dxa"/>
          </w:tcPr>
          <w:p w:rsidRPr="00A10AC0" w:rsidR="008716C0" w:rsidP="00A10AC0" w:rsidRDefault="008716C0" w14:paraId="577F6092" w14:textId="77777777">
            <w:pPr>
              <w:spacing w:line="276" w:lineRule="auto"/>
              <w:rPr>
                <w:rFonts w:ascii="Verdana" w:hAnsi="Verdana"/>
                <w:sz w:val="18"/>
                <w:szCs w:val="18"/>
              </w:rPr>
            </w:pPr>
          </w:p>
        </w:tc>
        <w:tc>
          <w:tcPr>
            <w:tcW w:w="8930" w:type="dxa"/>
          </w:tcPr>
          <w:p w:rsidRPr="00A10AC0" w:rsidR="008716C0" w:rsidP="00A10AC0" w:rsidRDefault="008716C0" w14:paraId="01962AC6" w14:textId="77777777">
            <w:pPr>
              <w:spacing w:line="276" w:lineRule="auto"/>
              <w:rPr>
                <w:rFonts w:ascii="Verdana" w:hAnsi="Verdana"/>
                <w:sz w:val="18"/>
                <w:szCs w:val="18"/>
              </w:rPr>
            </w:pPr>
            <w:r w:rsidRPr="00A10AC0">
              <w:rPr>
                <w:rFonts w:ascii="Verdana" w:hAnsi="Verdana"/>
                <w:sz w:val="18"/>
                <w:szCs w:val="18"/>
              </w:rPr>
              <w:t xml:space="preserve">Toeslagaanvragers kunnen zich melden voor de CWS en SGH. Bij SGH geldt in naleving van de motie </w:t>
            </w:r>
            <w:proofErr w:type="spellStart"/>
            <w:r w:rsidRPr="00A10AC0">
              <w:rPr>
                <w:rFonts w:ascii="Verdana" w:hAnsi="Verdana"/>
                <w:sz w:val="18"/>
                <w:szCs w:val="18"/>
              </w:rPr>
              <w:t>Grinwis</w:t>
            </w:r>
            <w:proofErr w:type="spellEnd"/>
            <w:r w:rsidRPr="00A10AC0">
              <w:rPr>
                <w:rFonts w:ascii="Verdana" w:hAnsi="Verdana"/>
                <w:sz w:val="18"/>
                <w:szCs w:val="18"/>
              </w:rPr>
              <w:t xml:space="preserve"> de aanvullende eis dat zij een IB-beschikking hebben van €30.000 of meer. Daarnaast kunnen ouders met enkel een toekenning ‘O/GS’ – en bij wie dus geen hardheid of vooringenomenheid is vastgesteld – ook niet de forfaitaire route doorlopen via SGH, omdat de wet een andere berekening vraagt van hun aanvullende schade. Ex-toeslagpartners kunnen zich nog niet melden voor een aanvullende schaderoute. Nabestaanden kunnen dat sinds kort wel. De regieroute-VSO behandelt alleen ouders op basis van doorverwijzing via bijvoorbeeld CWS of advocaat. </w:t>
            </w:r>
          </w:p>
          <w:p w:rsidRPr="00A10AC0" w:rsidR="008716C0" w:rsidP="00A10AC0" w:rsidRDefault="008716C0" w14:paraId="0A24D7D6" w14:textId="77777777">
            <w:pPr>
              <w:spacing w:line="276" w:lineRule="auto"/>
              <w:rPr>
                <w:rFonts w:ascii="Verdana" w:hAnsi="Verdana"/>
                <w:sz w:val="18"/>
                <w:szCs w:val="18"/>
              </w:rPr>
            </w:pPr>
          </w:p>
          <w:p w:rsidRPr="00A10AC0" w:rsidR="008716C0" w:rsidP="00A10AC0" w:rsidRDefault="008716C0" w14:paraId="78F39304" w14:textId="71D486F7">
            <w:pPr>
              <w:spacing w:line="276" w:lineRule="auto"/>
              <w:rPr>
                <w:rFonts w:ascii="Verdana" w:hAnsi="Verdana"/>
                <w:sz w:val="18"/>
                <w:szCs w:val="18"/>
              </w:rPr>
            </w:pPr>
            <w:r w:rsidRPr="00A10AC0">
              <w:rPr>
                <w:rFonts w:ascii="Verdana" w:hAnsi="Verdana"/>
                <w:sz w:val="18"/>
                <w:szCs w:val="18"/>
              </w:rPr>
              <w:t>De gemiddelde uitbetaling bij SGH is ongeveer €75.000 sinds de nieuwe DVO van kracht is. Bij CWS is dit ongeveer €28.000, bij de regieroute-VSO ongeveer €100.000. Deze bedragen zijn allemaal na het salderen met de reeds uitgekeerde schadebedragen in de IB. Het vergelijken van uitbetalingen per route doet echter geen recht aan de verschillende doelgroepen die ze bedienen.</w:t>
            </w:r>
            <w:r w:rsidRPr="00A10AC0" w:rsidR="00FE0922">
              <w:rPr>
                <w:rFonts w:ascii="Verdana" w:hAnsi="Verdana"/>
                <w:sz w:val="18"/>
                <w:szCs w:val="18"/>
              </w:rPr>
              <w:t xml:space="preserve"> Met name in de Regieroute VSO zitten complexe schadezaken. </w:t>
            </w:r>
          </w:p>
          <w:p w:rsidRPr="00A10AC0" w:rsidR="008716C0" w:rsidP="00033056" w:rsidRDefault="008716C0" w14:paraId="0AB77E63" w14:textId="77777777">
            <w:pPr>
              <w:spacing w:line="276" w:lineRule="auto"/>
              <w:rPr>
                <w:rFonts w:ascii="Verdana" w:hAnsi="Verdana"/>
                <w:sz w:val="18"/>
                <w:szCs w:val="18"/>
              </w:rPr>
            </w:pPr>
          </w:p>
        </w:tc>
      </w:tr>
      <w:tr w:rsidRPr="00A10AC0" w:rsidR="008716C0" w:rsidTr="00A10AC0" w14:paraId="347CFB28" w14:textId="3C78475A">
        <w:tc>
          <w:tcPr>
            <w:tcW w:w="568" w:type="dxa"/>
          </w:tcPr>
          <w:p w:rsidRPr="00A10AC0" w:rsidR="008716C0" w:rsidP="00A10AC0" w:rsidRDefault="008716C0" w14:paraId="2A324E55" w14:textId="77777777">
            <w:pPr>
              <w:spacing w:line="276" w:lineRule="auto"/>
              <w:rPr>
                <w:rFonts w:ascii="Verdana" w:hAnsi="Verdana"/>
                <w:b/>
                <w:bCs/>
                <w:sz w:val="18"/>
                <w:szCs w:val="18"/>
              </w:rPr>
            </w:pPr>
            <w:r w:rsidRPr="00A10AC0">
              <w:rPr>
                <w:rFonts w:ascii="Verdana" w:hAnsi="Verdana"/>
                <w:b/>
                <w:bCs/>
                <w:sz w:val="18"/>
                <w:szCs w:val="18"/>
              </w:rPr>
              <w:t>18</w:t>
            </w:r>
          </w:p>
        </w:tc>
        <w:tc>
          <w:tcPr>
            <w:tcW w:w="4677" w:type="dxa"/>
          </w:tcPr>
          <w:p w:rsidRPr="00A10AC0" w:rsidR="008716C0" w:rsidP="00A10AC0" w:rsidRDefault="008716C0" w14:paraId="66F3DD48" w14:textId="71F21115">
            <w:pPr>
              <w:spacing w:line="276" w:lineRule="auto"/>
              <w:rPr>
                <w:rFonts w:ascii="Verdana" w:hAnsi="Verdana"/>
                <w:sz w:val="18"/>
                <w:szCs w:val="18"/>
              </w:rPr>
            </w:pPr>
            <w:r w:rsidRPr="00A10AC0">
              <w:rPr>
                <w:rFonts w:ascii="Verdana" w:hAnsi="Verdana"/>
                <w:sz w:val="18"/>
                <w:szCs w:val="18"/>
              </w:rPr>
              <w:t xml:space="preserve">Waarvan werd uitgegaan en wat is er gerealiseerd bij de inzet van </w:t>
            </w:r>
            <w:proofErr w:type="spellStart"/>
            <w:r w:rsidRPr="00A10AC0">
              <w:rPr>
                <w:rFonts w:ascii="Verdana" w:hAnsi="Verdana"/>
                <w:sz w:val="18"/>
                <w:szCs w:val="18"/>
              </w:rPr>
              <w:t>mediation</w:t>
            </w:r>
            <w:proofErr w:type="spellEnd"/>
            <w:r w:rsidRPr="00A10AC0">
              <w:rPr>
                <w:rFonts w:ascii="Verdana" w:hAnsi="Verdana"/>
                <w:sz w:val="18"/>
                <w:szCs w:val="18"/>
              </w:rPr>
              <w:t xml:space="preserve"> voor de afdoening van bezwaren?</w:t>
            </w:r>
          </w:p>
        </w:tc>
        <w:tc>
          <w:tcPr>
            <w:tcW w:w="284" w:type="dxa"/>
          </w:tcPr>
          <w:p w:rsidRPr="00A10AC0" w:rsidR="008716C0" w:rsidP="00A10AC0" w:rsidRDefault="008716C0" w14:paraId="7FBCC832" w14:textId="77777777">
            <w:pPr>
              <w:spacing w:line="276" w:lineRule="auto"/>
              <w:rPr>
                <w:rFonts w:ascii="Verdana" w:hAnsi="Verdana"/>
                <w:sz w:val="18"/>
                <w:szCs w:val="18"/>
              </w:rPr>
            </w:pPr>
          </w:p>
        </w:tc>
        <w:tc>
          <w:tcPr>
            <w:tcW w:w="8930" w:type="dxa"/>
          </w:tcPr>
          <w:p w:rsidRPr="00A10AC0" w:rsidR="0078682F" w:rsidP="00A10AC0" w:rsidRDefault="0078682F" w14:paraId="6A1E922F" w14:textId="77777777">
            <w:pPr>
              <w:spacing w:line="276" w:lineRule="auto"/>
              <w:rPr>
                <w:rFonts w:ascii="Verdana" w:hAnsi="Verdana"/>
                <w:sz w:val="18"/>
                <w:szCs w:val="18"/>
              </w:rPr>
            </w:pPr>
            <w:r w:rsidRPr="00A10AC0">
              <w:rPr>
                <w:rFonts w:ascii="Verdana" w:hAnsi="Verdana"/>
                <w:sz w:val="18"/>
                <w:szCs w:val="18"/>
              </w:rPr>
              <w:t xml:space="preserve">Zoals aangegeven in eerdere voortgangsrapportages is er ruimte voor maximaal 2.500 </w:t>
            </w:r>
            <w:proofErr w:type="spellStart"/>
            <w:r w:rsidRPr="00A10AC0">
              <w:rPr>
                <w:rFonts w:ascii="Verdana" w:hAnsi="Verdana"/>
                <w:sz w:val="18"/>
                <w:szCs w:val="18"/>
              </w:rPr>
              <w:t>mediations</w:t>
            </w:r>
            <w:proofErr w:type="spellEnd"/>
            <w:r w:rsidRPr="00A10AC0">
              <w:rPr>
                <w:rFonts w:ascii="Verdana" w:hAnsi="Verdana"/>
                <w:sz w:val="18"/>
                <w:szCs w:val="18"/>
              </w:rPr>
              <w:t xml:space="preserve">, maar het is geen doelstelling op zich om die capaciteit volledig te benutten. Door ook werkelijke schade te betrekken bij </w:t>
            </w:r>
            <w:proofErr w:type="spellStart"/>
            <w:r w:rsidRPr="00A10AC0">
              <w:rPr>
                <w:rFonts w:ascii="Verdana" w:hAnsi="Verdana"/>
                <w:sz w:val="18"/>
                <w:szCs w:val="18"/>
              </w:rPr>
              <w:t>mediations</w:t>
            </w:r>
            <w:proofErr w:type="spellEnd"/>
            <w:r w:rsidRPr="00A10AC0">
              <w:rPr>
                <w:rFonts w:ascii="Verdana" w:hAnsi="Verdana"/>
                <w:sz w:val="18"/>
                <w:szCs w:val="18"/>
              </w:rPr>
              <w:t xml:space="preserve">, kunnen er in totaal minder </w:t>
            </w:r>
            <w:proofErr w:type="spellStart"/>
            <w:r w:rsidRPr="00A10AC0">
              <w:rPr>
                <w:rFonts w:ascii="Verdana" w:hAnsi="Verdana"/>
                <w:sz w:val="18"/>
                <w:szCs w:val="18"/>
              </w:rPr>
              <w:t>medations</w:t>
            </w:r>
            <w:proofErr w:type="spellEnd"/>
            <w:r w:rsidRPr="00A10AC0">
              <w:rPr>
                <w:rFonts w:ascii="Verdana" w:hAnsi="Verdana"/>
                <w:sz w:val="18"/>
                <w:szCs w:val="18"/>
              </w:rPr>
              <w:t xml:space="preserve"> worden afgerond, maar kunnen ouders wel beter worden geholpen door niet alleen hun bezwaar IB af te ronden, maar ook hun procedure voor vergoeding van de werkelijke schade. </w:t>
            </w:r>
          </w:p>
          <w:p w:rsidRPr="00A10AC0" w:rsidR="0078682F" w:rsidP="00A10AC0" w:rsidRDefault="0078682F" w14:paraId="11EDB67F" w14:textId="31DB16C7">
            <w:pPr>
              <w:spacing w:line="276" w:lineRule="auto"/>
              <w:rPr>
                <w:rFonts w:ascii="Verdana" w:hAnsi="Verdana"/>
                <w:sz w:val="18"/>
                <w:szCs w:val="18"/>
              </w:rPr>
            </w:pPr>
            <w:r w:rsidRPr="00A10AC0">
              <w:rPr>
                <w:rFonts w:ascii="Verdana" w:hAnsi="Verdana"/>
                <w:sz w:val="18"/>
                <w:szCs w:val="18"/>
              </w:rPr>
              <w:t xml:space="preserve">De doelstelling voor 2024 was om 150 </w:t>
            </w:r>
            <w:proofErr w:type="spellStart"/>
            <w:r w:rsidRPr="00A10AC0">
              <w:rPr>
                <w:rFonts w:ascii="Verdana" w:hAnsi="Verdana"/>
                <w:sz w:val="18"/>
                <w:szCs w:val="18"/>
              </w:rPr>
              <w:t>mediations</w:t>
            </w:r>
            <w:proofErr w:type="spellEnd"/>
            <w:r w:rsidRPr="00A10AC0">
              <w:rPr>
                <w:rFonts w:ascii="Verdana" w:hAnsi="Verdana"/>
                <w:sz w:val="18"/>
                <w:szCs w:val="18"/>
              </w:rPr>
              <w:t xml:space="preserve"> succesvol af te ronden. In 2024 zijn er 93 bezwaren IB afgerond via een VSO na </w:t>
            </w:r>
            <w:proofErr w:type="spellStart"/>
            <w:r w:rsidRPr="00A10AC0">
              <w:rPr>
                <w:rFonts w:ascii="Verdana" w:hAnsi="Verdana"/>
                <w:sz w:val="18"/>
                <w:szCs w:val="18"/>
              </w:rPr>
              <w:t>mediation</w:t>
            </w:r>
            <w:proofErr w:type="spellEnd"/>
            <w:r w:rsidRPr="00A10AC0">
              <w:rPr>
                <w:rFonts w:ascii="Verdana" w:hAnsi="Verdana"/>
                <w:sz w:val="18"/>
                <w:szCs w:val="18"/>
              </w:rPr>
              <w:t xml:space="preserve">. Daarnaast hebben 30 ouders hun werkelijke </w:t>
            </w:r>
            <w:r w:rsidRPr="00A10AC0">
              <w:rPr>
                <w:rFonts w:ascii="Verdana" w:hAnsi="Verdana"/>
                <w:sz w:val="18"/>
                <w:szCs w:val="18"/>
              </w:rPr>
              <w:lastRenderedPageBreak/>
              <w:t xml:space="preserve">schade vergoed gekregen via een VSO na </w:t>
            </w:r>
            <w:proofErr w:type="spellStart"/>
            <w:r w:rsidRPr="00A10AC0">
              <w:rPr>
                <w:rFonts w:ascii="Verdana" w:hAnsi="Verdana"/>
                <w:sz w:val="18"/>
                <w:szCs w:val="18"/>
              </w:rPr>
              <w:t>mediation</w:t>
            </w:r>
            <w:proofErr w:type="spellEnd"/>
            <w:r w:rsidRPr="00A10AC0">
              <w:rPr>
                <w:rFonts w:ascii="Verdana" w:hAnsi="Verdana"/>
                <w:sz w:val="18"/>
                <w:szCs w:val="18"/>
              </w:rPr>
              <w:t xml:space="preserve">. Daarmee zijn in totaal 123 procedures afgerond, iets minder dan de doelstelling. </w:t>
            </w:r>
          </w:p>
          <w:p w:rsidRPr="00A10AC0" w:rsidR="008716C0" w:rsidP="00A10AC0" w:rsidRDefault="008716C0" w14:paraId="6D560D30" w14:textId="77777777">
            <w:pPr>
              <w:spacing w:line="276" w:lineRule="auto"/>
              <w:ind w:right="283"/>
              <w:rPr>
                <w:rFonts w:ascii="Verdana" w:hAnsi="Verdana"/>
                <w:sz w:val="18"/>
                <w:szCs w:val="18"/>
              </w:rPr>
            </w:pPr>
          </w:p>
        </w:tc>
      </w:tr>
      <w:tr w:rsidRPr="00A10AC0" w:rsidR="008716C0" w:rsidTr="00A10AC0" w14:paraId="2F494AE8" w14:textId="1944E985">
        <w:tc>
          <w:tcPr>
            <w:tcW w:w="568" w:type="dxa"/>
          </w:tcPr>
          <w:p w:rsidRPr="00A10AC0" w:rsidR="008716C0" w:rsidP="00A10AC0" w:rsidRDefault="008716C0" w14:paraId="39BC0BDE" w14:textId="77777777">
            <w:pPr>
              <w:spacing w:line="276" w:lineRule="auto"/>
              <w:rPr>
                <w:rFonts w:ascii="Verdana" w:hAnsi="Verdana"/>
                <w:b/>
                <w:bCs/>
                <w:sz w:val="18"/>
                <w:szCs w:val="18"/>
              </w:rPr>
            </w:pPr>
            <w:r w:rsidRPr="00A10AC0">
              <w:rPr>
                <w:rFonts w:ascii="Verdana" w:hAnsi="Verdana"/>
                <w:b/>
                <w:bCs/>
                <w:sz w:val="18"/>
                <w:szCs w:val="18"/>
              </w:rPr>
              <w:lastRenderedPageBreak/>
              <w:t>19</w:t>
            </w:r>
          </w:p>
        </w:tc>
        <w:tc>
          <w:tcPr>
            <w:tcW w:w="4677" w:type="dxa"/>
          </w:tcPr>
          <w:p w:rsidRPr="00A10AC0" w:rsidR="008716C0" w:rsidP="00A10AC0" w:rsidRDefault="008716C0" w14:paraId="7E20116C" w14:textId="1839B712">
            <w:pPr>
              <w:spacing w:line="276" w:lineRule="auto"/>
              <w:rPr>
                <w:rFonts w:ascii="Verdana" w:hAnsi="Verdana"/>
                <w:sz w:val="18"/>
                <w:szCs w:val="18"/>
              </w:rPr>
            </w:pPr>
            <w:r w:rsidRPr="00A10AC0">
              <w:rPr>
                <w:rFonts w:ascii="Verdana" w:hAnsi="Verdana"/>
                <w:sz w:val="18"/>
                <w:szCs w:val="18"/>
              </w:rPr>
              <w:t>Welke opties heeft de wetgever om te komen tot realistische wettelijke beslistermijnen?</w:t>
            </w:r>
          </w:p>
        </w:tc>
        <w:tc>
          <w:tcPr>
            <w:tcW w:w="284" w:type="dxa"/>
          </w:tcPr>
          <w:p w:rsidRPr="00A10AC0" w:rsidR="008716C0" w:rsidP="00A10AC0" w:rsidRDefault="008716C0" w14:paraId="5BF71A5D" w14:textId="77777777">
            <w:pPr>
              <w:spacing w:line="276" w:lineRule="auto"/>
              <w:rPr>
                <w:rFonts w:ascii="Verdana" w:hAnsi="Verdana"/>
                <w:sz w:val="18"/>
                <w:szCs w:val="18"/>
              </w:rPr>
            </w:pPr>
          </w:p>
        </w:tc>
        <w:tc>
          <w:tcPr>
            <w:tcW w:w="8930" w:type="dxa"/>
          </w:tcPr>
          <w:p w:rsidRPr="00CC7B9B" w:rsidR="00CC7B9B" w:rsidP="00CC7B9B" w:rsidRDefault="00CC7B9B" w14:paraId="762D99D8" w14:textId="77777777">
            <w:pPr>
              <w:spacing w:line="276" w:lineRule="auto"/>
              <w:rPr>
                <w:rFonts w:ascii="Verdana" w:hAnsi="Verdana"/>
                <w:sz w:val="18"/>
                <w:szCs w:val="18"/>
              </w:rPr>
            </w:pPr>
            <w:r w:rsidRPr="00CC7B9B">
              <w:rPr>
                <w:rFonts w:ascii="Verdana" w:hAnsi="Verdana"/>
                <w:sz w:val="18"/>
                <w:szCs w:val="18"/>
              </w:rPr>
              <w:t xml:space="preserve">De wetgever heeft de mogelijkheid om de wettelijke beslistermijnen aan te passen door een verlengde beslistermijn op te nemen, mits die aanpassing goed onderbouwd is. In het kader van de Wet aanpassing termijnen en nabestaandenregeling hersteloperatie toeslagen zijn er – kort gezegd – afgelopen jaar voorstellen gedaan om bepaalde beslistermijnen te verlengen om te komen tot realistische beslistermijnen. Uiteindelijk zijn deze aanpassingen gedurende het wetgevingstraject verwijderd uit het wetsvoorstel. Het advies van de Afdeling advisering van de Raad van State (de Afdeling) op het wetsvoorstel heeft hierbij een belangrijke rol gespeeld. Dit is destijds ook toegelicht in het nader </w:t>
            </w:r>
            <w:proofErr w:type="gramStart"/>
            <w:r w:rsidRPr="00CC7B9B">
              <w:rPr>
                <w:rFonts w:ascii="Verdana" w:hAnsi="Verdana"/>
                <w:sz w:val="18"/>
                <w:szCs w:val="18"/>
              </w:rPr>
              <w:t>rapport  en</w:t>
            </w:r>
            <w:proofErr w:type="gramEnd"/>
            <w:r w:rsidRPr="00CC7B9B">
              <w:rPr>
                <w:rFonts w:ascii="Verdana" w:hAnsi="Verdana"/>
                <w:sz w:val="18"/>
                <w:szCs w:val="18"/>
              </w:rPr>
              <w:t xml:space="preserve"> aan bod gekomen in de nota naar aanleiding van het verslag.   Het kabinet is het eens met de Afdeling dat voorkomen moet worden dat het verlengen van beslistermijnen vanwege juridische risico’s tot nieuwe problemen leidt. </w:t>
            </w:r>
          </w:p>
          <w:p w:rsidRPr="00CC7B9B" w:rsidR="00CC7B9B" w:rsidP="00CC7B9B" w:rsidRDefault="00CC7B9B" w14:paraId="4E73ED27" w14:textId="77777777">
            <w:pPr>
              <w:spacing w:line="276" w:lineRule="auto"/>
              <w:rPr>
                <w:rFonts w:ascii="Verdana" w:hAnsi="Verdana"/>
                <w:sz w:val="18"/>
                <w:szCs w:val="18"/>
              </w:rPr>
            </w:pPr>
          </w:p>
          <w:p w:rsidR="00CC7B9B" w:rsidP="00CC7B9B" w:rsidRDefault="00CC7B9B" w14:paraId="505DCA68" w14:textId="1C85DA68">
            <w:pPr>
              <w:spacing w:line="276" w:lineRule="auto"/>
              <w:rPr>
                <w:rFonts w:ascii="Verdana" w:hAnsi="Verdana"/>
                <w:sz w:val="18"/>
                <w:szCs w:val="18"/>
              </w:rPr>
            </w:pPr>
            <w:r w:rsidRPr="00CC7B9B">
              <w:rPr>
                <w:rFonts w:ascii="Verdana" w:hAnsi="Verdana"/>
                <w:sz w:val="18"/>
                <w:szCs w:val="18"/>
              </w:rPr>
              <w:t>De beslistermijn</w:t>
            </w:r>
            <w:r w:rsidR="00537C13">
              <w:rPr>
                <w:rFonts w:ascii="Verdana" w:hAnsi="Verdana"/>
                <w:sz w:val="18"/>
                <w:szCs w:val="18"/>
              </w:rPr>
              <w:t>,</w:t>
            </w:r>
            <w:r w:rsidRPr="00CC7B9B">
              <w:rPr>
                <w:rFonts w:ascii="Verdana" w:hAnsi="Verdana"/>
                <w:sz w:val="18"/>
                <w:szCs w:val="18"/>
              </w:rPr>
              <w:t xml:space="preserve"> zonder inzet van de Bezwaarschriftenadviescommissie hersteloperatie toeslagen (BAC)</w:t>
            </w:r>
            <w:r w:rsidR="00537C13">
              <w:rPr>
                <w:rFonts w:ascii="Verdana" w:hAnsi="Verdana"/>
                <w:sz w:val="18"/>
                <w:szCs w:val="18"/>
              </w:rPr>
              <w:t>,</w:t>
            </w:r>
            <w:r w:rsidRPr="00CC7B9B">
              <w:rPr>
                <w:rFonts w:ascii="Verdana" w:hAnsi="Verdana"/>
                <w:sz w:val="18"/>
                <w:szCs w:val="18"/>
              </w:rPr>
              <w:t xml:space="preserve"> is op grond van de </w:t>
            </w:r>
            <w:proofErr w:type="spellStart"/>
            <w:r w:rsidRPr="00CC7B9B">
              <w:rPr>
                <w:rFonts w:ascii="Verdana" w:hAnsi="Verdana"/>
                <w:sz w:val="18"/>
                <w:szCs w:val="18"/>
              </w:rPr>
              <w:t>Awb</w:t>
            </w:r>
            <w:proofErr w:type="spellEnd"/>
            <w:r w:rsidRPr="00CC7B9B">
              <w:rPr>
                <w:rFonts w:ascii="Verdana" w:hAnsi="Verdana"/>
                <w:sz w:val="18"/>
                <w:szCs w:val="18"/>
              </w:rPr>
              <w:t xml:space="preserve"> zes weken, te verlengen met maximaal zes weken. Met inzet van de BAC is die termijn twaalf weken, te verlengen met maximaal zes weken. In beide gevallen kan de termijn gedurende de beslistermijn worden opgeschort als zich daartoe een grond voordoet. In het kader van de hersteloperatie is de grond die het meest wordt toegepast het feit dat een bezwaar niet voldoet aan de wettelijke vereisten. Een andere grond is als beide partijen het eens zijn met de opschorting. Met betrekking tot de beslistermijn op bezwaar zijn de opties voor het aanpassen van de beslistermijn zeer beperkt. In het advies van de Afdeling is aangegeven dat de rechter in de regel vast zal houden aan de op grond van hoger recht geldende redelijke beslistermijn van in beginsel zes maanden voor het nemen van een beslissing op bezwaar. Dat is aanzienlijk korter dan de termijn die voor de uitvoering realistisch is om bezwaren tegen de integrale beoordeling af te handelen.</w:t>
            </w:r>
          </w:p>
          <w:p w:rsidRPr="00A10AC0" w:rsidR="008716C0" w:rsidP="00033056" w:rsidRDefault="008716C0" w14:paraId="03BF4932" w14:textId="77777777">
            <w:pPr>
              <w:spacing w:line="276" w:lineRule="auto"/>
              <w:rPr>
                <w:rFonts w:ascii="Verdana" w:hAnsi="Verdana"/>
                <w:sz w:val="18"/>
                <w:szCs w:val="18"/>
              </w:rPr>
            </w:pPr>
          </w:p>
        </w:tc>
      </w:tr>
      <w:tr w:rsidRPr="00A10AC0" w:rsidR="008716C0" w:rsidTr="00A10AC0" w14:paraId="6DA8A43A" w14:textId="5C67A747">
        <w:tc>
          <w:tcPr>
            <w:tcW w:w="568" w:type="dxa"/>
          </w:tcPr>
          <w:p w:rsidRPr="00A10AC0" w:rsidR="008716C0" w:rsidP="00A10AC0" w:rsidRDefault="008716C0" w14:paraId="29CB64B3" w14:textId="77777777">
            <w:pPr>
              <w:spacing w:line="276" w:lineRule="auto"/>
              <w:rPr>
                <w:rFonts w:ascii="Verdana" w:hAnsi="Verdana"/>
                <w:b/>
                <w:bCs/>
                <w:sz w:val="18"/>
                <w:szCs w:val="18"/>
              </w:rPr>
            </w:pPr>
            <w:r w:rsidRPr="00A10AC0">
              <w:rPr>
                <w:rFonts w:ascii="Verdana" w:hAnsi="Verdana"/>
                <w:b/>
                <w:bCs/>
                <w:sz w:val="18"/>
                <w:szCs w:val="18"/>
              </w:rPr>
              <w:t>20</w:t>
            </w:r>
          </w:p>
        </w:tc>
        <w:tc>
          <w:tcPr>
            <w:tcW w:w="4677" w:type="dxa"/>
          </w:tcPr>
          <w:p w:rsidRPr="00A10AC0" w:rsidR="008716C0" w:rsidP="00A10AC0" w:rsidRDefault="008716C0" w14:paraId="2F0E1695" w14:textId="77777777">
            <w:pPr>
              <w:spacing w:line="276" w:lineRule="auto"/>
              <w:rPr>
                <w:rFonts w:ascii="Verdana" w:hAnsi="Verdana"/>
                <w:sz w:val="18"/>
                <w:szCs w:val="18"/>
              </w:rPr>
            </w:pPr>
            <w:r w:rsidRPr="00A10AC0">
              <w:rPr>
                <w:rFonts w:ascii="Verdana" w:hAnsi="Verdana"/>
                <w:sz w:val="18"/>
                <w:szCs w:val="18"/>
              </w:rPr>
              <w:t>Wat is het gemiddelde bedrag aan dwangsommen dat per ingebrekestelling en beroep bij niet-tijdig beslissen (BNTB) is uitgekeerd sinds de start van de hersteloperatie?</w:t>
            </w:r>
          </w:p>
          <w:p w:rsidRPr="00A10AC0" w:rsidR="008716C0" w:rsidP="00A10AC0" w:rsidRDefault="008716C0" w14:paraId="7AE2E643" w14:textId="4146D4B9">
            <w:pPr>
              <w:spacing w:line="276" w:lineRule="auto"/>
              <w:rPr>
                <w:rFonts w:ascii="Verdana" w:hAnsi="Verdana"/>
                <w:sz w:val="18"/>
                <w:szCs w:val="18"/>
              </w:rPr>
            </w:pPr>
          </w:p>
        </w:tc>
        <w:tc>
          <w:tcPr>
            <w:tcW w:w="284" w:type="dxa"/>
          </w:tcPr>
          <w:p w:rsidRPr="00A10AC0" w:rsidR="008716C0" w:rsidP="00A10AC0" w:rsidRDefault="008716C0" w14:paraId="79947C25" w14:textId="77777777">
            <w:pPr>
              <w:spacing w:line="276" w:lineRule="auto"/>
              <w:rPr>
                <w:rFonts w:ascii="Verdana" w:hAnsi="Verdana"/>
                <w:sz w:val="18"/>
                <w:szCs w:val="18"/>
              </w:rPr>
            </w:pPr>
          </w:p>
        </w:tc>
        <w:tc>
          <w:tcPr>
            <w:tcW w:w="8930" w:type="dxa"/>
          </w:tcPr>
          <w:p w:rsidRPr="00A10AC0" w:rsidR="008716C0" w:rsidP="00A10AC0" w:rsidRDefault="008716C0" w14:paraId="1D7DBB0C" w14:textId="3DEA43A3">
            <w:pPr>
              <w:spacing w:line="276" w:lineRule="auto"/>
              <w:rPr>
                <w:rFonts w:ascii="Verdana" w:hAnsi="Verdana"/>
                <w:sz w:val="18"/>
                <w:szCs w:val="18"/>
              </w:rPr>
            </w:pPr>
            <w:r w:rsidRPr="00A10AC0">
              <w:rPr>
                <w:rFonts w:ascii="Verdana" w:hAnsi="Verdana"/>
                <w:sz w:val="18"/>
                <w:szCs w:val="18"/>
              </w:rPr>
              <w:t xml:space="preserve">Bij ingebrekestellingen lukt het in de regel niet om binnen de geldende termijnen te beslissen. Het gemiddelde bedrag is daarom gelijk aan het maximale bedrag van €1.442. Uit de beschikbare gegevens blijkt </w:t>
            </w:r>
            <w:r w:rsidR="00E05635">
              <w:rPr>
                <w:rFonts w:ascii="Verdana" w:hAnsi="Verdana"/>
                <w:sz w:val="18"/>
                <w:szCs w:val="18"/>
              </w:rPr>
              <w:t xml:space="preserve">dat </w:t>
            </w:r>
            <w:r w:rsidRPr="00A10AC0">
              <w:rPr>
                <w:rFonts w:ascii="Verdana" w:hAnsi="Verdana"/>
                <w:sz w:val="18"/>
                <w:szCs w:val="18"/>
              </w:rPr>
              <w:t>de gemiddelde rechterlijke dwangsom €10.902</w:t>
            </w:r>
            <w:r w:rsidR="00E05635">
              <w:rPr>
                <w:rFonts w:ascii="Verdana" w:hAnsi="Verdana"/>
                <w:sz w:val="18"/>
                <w:szCs w:val="18"/>
              </w:rPr>
              <w:t xml:space="preserve"> bedraagt</w:t>
            </w:r>
            <w:r w:rsidRPr="00A10AC0">
              <w:rPr>
                <w:rFonts w:ascii="Verdana" w:hAnsi="Verdana"/>
                <w:sz w:val="18"/>
                <w:szCs w:val="18"/>
              </w:rPr>
              <w:t>.</w:t>
            </w:r>
          </w:p>
          <w:p w:rsidRPr="00A10AC0" w:rsidR="008716C0" w:rsidP="00A10AC0" w:rsidRDefault="008716C0" w14:paraId="0F893DC4" w14:textId="77777777">
            <w:pPr>
              <w:spacing w:line="276" w:lineRule="auto"/>
              <w:ind w:right="283"/>
              <w:rPr>
                <w:rFonts w:ascii="Verdana" w:hAnsi="Verdana"/>
                <w:sz w:val="18"/>
                <w:szCs w:val="18"/>
              </w:rPr>
            </w:pPr>
          </w:p>
        </w:tc>
      </w:tr>
      <w:tr w:rsidRPr="00A10AC0" w:rsidR="008716C0" w:rsidTr="00A10AC0" w14:paraId="60FFF7C8" w14:textId="1F133C0E">
        <w:tc>
          <w:tcPr>
            <w:tcW w:w="568" w:type="dxa"/>
          </w:tcPr>
          <w:p w:rsidRPr="00A10AC0" w:rsidR="008716C0" w:rsidP="00A10AC0" w:rsidRDefault="008716C0" w14:paraId="79B14A11" w14:textId="77777777">
            <w:pPr>
              <w:spacing w:line="276" w:lineRule="auto"/>
              <w:rPr>
                <w:rFonts w:ascii="Verdana" w:hAnsi="Verdana"/>
                <w:b/>
                <w:bCs/>
                <w:sz w:val="18"/>
                <w:szCs w:val="18"/>
              </w:rPr>
            </w:pPr>
            <w:r w:rsidRPr="00A10AC0">
              <w:rPr>
                <w:rFonts w:ascii="Verdana" w:hAnsi="Verdana"/>
                <w:b/>
                <w:bCs/>
                <w:sz w:val="18"/>
                <w:szCs w:val="18"/>
              </w:rPr>
              <w:t>21</w:t>
            </w:r>
          </w:p>
        </w:tc>
        <w:tc>
          <w:tcPr>
            <w:tcW w:w="4677" w:type="dxa"/>
          </w:tcPr>
          <w:p w:rsidRPr="00A10AC0" w:rsidR="008716C0" w:rsidP="00A10AC0" w:rsidRDefault="008716C0" w14:paraId="217357E7" w14:textId="7BC02A28">
            <w:pPr>
              <w:spacing w:line="276" w:lineRule="auto"/>
              <w:rPr>
                <w:rFonts w:ascii="Verdana" w:hAnsi="Verdana"/>
                <w:sz w:val="18"/>
                <w:szCs w:val="18"/>
              </w:rPr>
            </w:pPr>
            <w:r w:rsidRPr="00A10AC0">
              <w:rPr>
                <w:rFonts w:ascii="Verdana" w:hAnsi="Verdana"/>
                <w:sz w:val="18"/>
                <w:szCs w:val="18"/>
              </w:rPr>
              <w:t>Wordt (nog steeds) gebruik gemaakt van zzp’ers?</w:t>
            </w:r>
          </w:p>
        </w:tc>
        <w:tc>
          <w:tcPr>
            <w:tcW w:w="284" w:type="dxa"/>
          </w:tcPr>
          <w:p w:rsidRPr="00A10AC0" w:rsidR="008716C0" w:rsidP="00A10AC0" w:rsidRDefault="008716C0" w14:paraId="47F0A5EE" w14:textId="77777777">
            <w:pPr>
              <w:pStyle w:val="Geenafstand"/>
              <w:spacing w:line="276" w:lineRule="auto"/>
              <w:rPr>
                <w:szCs w:val="18"/>
              </w:rPr>
            </w:pPr>
          </w:p>
        </w:tc>
        <w:tc>
          <w:tcPr>
            <w:tcW w:w="8930" w:type="dxa"/>
          </w:tcPr>
          <w:p w:rsidR="008716C0" w:rsidP="007E57FB" w:rsidRDefault="008716C0" w14:paraId="2BC66F11" w14:textId="77777777">
            <w:pPr>
              <w:pStyle w:val="Geenafstand"/>
              <w:spacing w:line="276" w:lineRule="auto"/>
              <w:rPr>
                <w:szCs w:val="18"/>
              </w:rPr>
            </w:pPr>
            <w:r w:rsidRPr="00A10AC0">
              <w:rPr>
                <w:szCs w:val="18"/>
              </w:rPr>
              <w:t xml:space="preserve">Ja, zie ook het antwoord op vraag 1. </w:t>
            </w:r>
          </w:p>
          <w:p w:rsidRPr="00A10AC0" w:rsidR="00033056" w:rsidP="00033056" w:rsidRDefault="00033056" w14:paraId="3FF3B33D" w14:textId="1BF1A530">
            <w:pPr>
              <w:pStyle w:val="Geenafstand"/>
              <w:spacing w:line="276" w:lineRule="auto"/>
              <w:rPr>
                <w:szCs w:val="18"/>
              </w:rPr>
            </w:pPr>
          </w:p>
        </w:tc>
      </w:tr>
      <w:tr w:rsidRPr="00A10AC0" w:rsidR="008716C0" w:rsidTr="00A10AC0" w14:paraId="346A6065" w14:textId="032FEFF3">
        <w:tc>
          <w:tcPr>
            <w:tcW w:w="568" w:type="dxa"/>
          </w:tcPr>
          <w:p w:rsidRPr="00A10AC0" w:rsidR="008716C0" w:rsidP="00A10AC0" w:rsidRDefault="008716C0" w14:paraId="56D19CB4" w14:textId="77777777">
            <w:pPr>
              <w:spacing w:line="276" w:lineRule="auto"/>
              <w:rPr>
                <w:rFonts w:ascii="Verdana" w:hAnsi="Verdana"/>
                <w:b/>
                <w:bCs/>
                <w:sz w:val="18"/>
                <w:szCs w:val="18"/>
              </w:rPr>
            </w:pPr>
            <w:r w:rsidRPr="00A10AC0">
              <w:rPr>
                <w:rFonts w:ascii="Verdana" w:hAnsi="Verdana"/>
                <w:b/>
                <w:bCs/>
                <w:sz w:val="18"/>
                <w:szCs w:val="18"/>
              </w:rPr>
              <w:t>22</w:t>
            </w:r>
          </w:p>
        </w:tc>
        <w:tc>
          <w:tcPr>
            <w:tcW w:w="4677" w:type="dxa"/>
          </w:tcPr>
          <w:p w:rsidRPr="00A10AC0" w:rsidR="008716C0" w:rsidP="00A10AC0" w:rsidRDefault="008716C0" w14:paraId="4275988E" w14:textId="4B9221F4">
            <w:pPr>
              <w:spacing w:line="276" w:lineRule="auto"/>
              <w:rPr>
                <w:rFonts w:ascii="Verdana" w:hAnsi="Verdana"/>
                <w:sz w:val="18"/>
                <w:szCs w:val="18"/>
              </w:rPr>
            </w:pPr>
            <w:r w:rsidRPr="00A10AC0">
              <w:rPr>
                <w:rFonts w:ascii="Verdana" w:hAnsi="Verdana"/>
                <w:sz w:val="18"/>
                <w:szCs w:val="18"/>
              </w:rPr>
              <w:t>Welk afwegingskader wordt gebruikt om te toetsen voor schijnzelfstandigheid?</w:t>
            </w:r>
          </w:p>
        </w:tc>
        <w:tc>
          <w:tcPr>
            <w:tcW w:w="284" w:type="dxa"/>
          </w:tcPr>
          <w:p w:rsidRPr="00A10AC0" w:rsidR="008716C0" w:rsidP="00A10AC0" w:rsidRDefault="008716C0" w14:paraId="71746CBC" w14:textId="77777777">
            <w:pPr>
              <w:pStyle w:val="Geenafstand"/>
              <w:spacing w:line="276" w:lineRule="auto"/>
              <w:rPr>
                <w:szCs w:val="18"/>
              </w:rPr>
            </w:pPr>
          </w:p>
        </w:tc>
        <w:tc>
          <w:tcPr>
            <w:tcW w:w="8930" w:type="dxa"/>
          </w:tcPr>
          <w:p w:rsidRPr="00A10AC0" w:rsidR="00B10497" w:rsidP="00A10AC0" w:rsidRDefault="00B10497" w14:paraId="613FFC32" w14:textId="77777777">
            <w:pPr>
              <w:pStyle w:val="Geenafstand"/>
              <w:spacing w:line="276" w:lineRule="auto"/>
              <w:rPr>
                <w:szCs w:val="18"/>
              </w:rPr>
            </w:pPr>
            <w:r w:rsidRPr="00A10AC0">
              <w:rPr>
                <w:szCs w:val="18"/>
              </w:rPr>
              <w:t xml:space="preserve">Bij een inhuuraanvraag maakt de hersteloperatie net zoals de andere uitvoeringsorganisaties van het ministerie van Financiën gebruik van een voor de eigen bedrijfsvoering opgesteld </w:t>
            </w:r>
            <w:r w:rsidRPr="00A10AC0">
              <w:rPr>
                <w:szCs w:val="18"/>
              </w:rPr>
              <w:lastRenderedPageBreak/>
              <w:t>afwegingskader, dat op 25 oktober 2024 openbaar is gemaakt.</w:t>
            </w:r>
            <w:r w:rsidRPr="00A10AC0">
              <w:rPr>
                <w:rStyle w:val="Voetnootmarkering"/>
                <w:szCs w:val="18"/>
              </w:rPr>
              <w:footnoteReference w:id="2"/>
            </w:r>
            <w:r w:rsidRPr="00A10AC0">
              <w:rPr>
                <w:szCs w:val="18"/>
              </w:rPr>
              <w:t xml:space="preserve"> Bij een inhuuraanvraag legt de herstelorganisatie een ingevuld afwegingskader ter beoordeling voor aan een organisatieonderdeel buiten de herstelorganisatie dat verantwoordelijk is voor de fiscale bedrijfsvoering. Wanneer uit die toetsing blijkt dat het risico op schijnzelfstandigheid bestaat, dan huurt de herstelorganisatie op de betreffende inhuuraanvraag geen zelfstandige meer in.</w:t>
            </w:r>
          </w:p>
          <w:p w:rsidRPr="00A10AC0" w:rsidR="008716C0" w:rsidP="00A10AC0" w:rsidRDefault="008716C0" w14:paraId="6114E703" w14:textId="77777777">
            <w:pPr>
              <w:spacing w:line="276" w:lineRule="auto"/>
              <w:ind w:right="283"/>
              <w:rPr>
                <w:rFonts w:ascii="Verdana" w:hAnsi="Verdana"/>
                <w:sz w:val="18"/>
                <w:szCs w:val="18"/>
              </w:rPr>
            </w:pPr>
          </w:p>
        </w:tc>
      </w:tr>
      <w:tr w:rsidRPr="00A10AC0" w:rsidR="008716C0" w:rsidTr="00A10AC0" w14:paraId="75AE45BC" w14:textId="79EF3E99">
        <w:tc>
          <w:tcPr>
            <w:tcW w:w="568" w:type="dxa"/>
          </w:tcPr>
          <w:p w:rsidRPr="00A10AC0" w:rsidR="008716C0" w:rsidP="00A10AC0" w:rsidRDefault="008716C0" w14:paraId="7000D03D" w14:textId="77777777">
            <w:pPr>
              <w:spacing w:line="276" w:lineRule="auto"/>
              <w:rPr>
                <w:rFonts w:ascii="Verdana" w:hAnsi="Verdana"/>
                <w:b/>
                <w:bCs/>
                <w:sz w:val="18"/>
                <w:szCs w:val="18"/>
              </w:rPr>
            </w:pPr>
            <w:r w:rsidRPr="00A10AC0">
              <w:rPr>
                <w:rFonts w:ascii="Verdana" w:hAnsi="Verdana"/>
                <w:b/>
                <w:bCs/>
                <w:sz w:val="18"/>
                <w:szCs w:val="18"/>
              </w:rPr>
              <w:lastRenderedPageBreak/>
              <w:t>23</w:t>
            </w:r>
          </w:p>
        </w:tc>
        <w:tc>
          <w:tcPr>
            <w:tcW w:w="4677" w:type="dxa"/>
          </w:tcPr>
          <w:p w:rsidRPr="00A10AC0" w:rsidR="008716C0" w:rsidP="00A10AC0" w:rsidRDefault="008716C0" w14:paraId="6A41B449" w14:textId="2210F478">
            <w:pPr>
              <w:spacing w:line="276" w:lineRule="auto"/>
              <w:rPr>
                <w:rFonts w:ascii="Verdana" w:hAnsi="Verdana"/>
                <w:sz w:val="18"/>
                <w:szCs w:val="18"/>
              </w:rPr>
            </w:pPr>
            <w:r w:rsidRPr="00A10AC0">
              <w:rPr>
                <w:rFonts w:ascii="Verdana" w:hAnsi="Verdana"/>
                <w:sz w:val="18"/>
                <w:szCs w:val="18"/>
              </w:rPr>
              <w:t>Hoe vaak is er een tweede of derde BNTB-verzoek ingediend door gedupeerde ouders?</w:t>
            </w:r>
          </w:p>
        </w:tc>
        <w:tc>
          <w:tcPr>
            <w:tcW w:w="284" w:type="dxa"/>
          </w:tcPr>
          <w:p w:rsidRPr="00A10AC0" w:rsidR="008716C0" w:rsidP="00A10AC0" w:rsidRDefault="008716C0" w14:paraId="307A16FE" w14:textId="77777777">
            <w:pPr>
              <w:spacing w:line="276" w:lineRule="auto"/>
              <w:ind w:right="283"/>
              <w:rPr>
                <w:rFonts w:ascii="Verdana" w:hAnsi="Verdana"/>
                <w:sz w:val="18"/>
                <w:szCs w:val="18"/>
              </w:rPr>
            </w:pPr>
          </w:p>
        </w:tc>
        <w:tc>
          <w:tcPr>
            <w:tcW w:w="8930" w:type="dxa"/>
          </w:tcPr>
          <w:p w:rsidRPr="00A10AC0" w:rsidR="008716C0" w:rsidP="00A10AC0" w:rsidRDefault="008716C0" w14:paraId="4C0E6747" w14:textId="45BC7B1A">
            <w:pPr>
              <w:spacing w:line="276" w:lineRule="auto"/>
              <w:ind w:right="283"/>
              <w:rPr>
                <w:rFonts w:ascii="Verdana" w:hAnsi="Verdana"/>
                <w:sz w:val="18"/>
                <w:szCs w:val="18"/>
              </w:rPr>
            </w:pPr>
            <w:r w:rsidRPr="00A10AC0">
              <w:rPr>
                <w:rFonts w:ascii="Verdana" w:hAnsi="Verdana"/>
                <w:sz w:val="18"/>
                <w:szCs w:val="18"/>
              </w:rPr>
              <w:t xml:space="preserve">Er zijn geen cijfers beschikbaar over alle ingediende </w:t>
            </w:r>
            <w:proofErr w:type="spellStart"/>
            <w:r w:rsidRPr="00A10AC0">
              <w:rPr>
                <w:rFonts w:ascii="Verdana" w:hAnsi="Verdana"/>
                <w:sz w:val="18"/>
                <w:szCs w:val="18"/>
              </w:rPr>
              <w:t>BNTB’s</w:t>
            </w:r>
            <w:proofErr w:type="spellEnd"/>
            <w:r w:rsidRPr="00A10AC0">
              <w:rPr>
                <w:rFonts w:ascii="Verdana" w:hAnsi="Verdana"/>
                <w:sz w:val="18"/>
                <w:szCs w:val="18"/>
              </w:rPr>
              <w:t>. Sinds eind vorig jaar word</w:t>
            </w:r>
            <w:r w:rsidRPr="00A10AC0" w:rsidR="00B10497">
              <w:rPr>
                <w:rFonts w:ascii="Verdana" w:hAnsi="Verdana"/>
                <w:sz w:val="18"/>
                <w:szCs w:val="18"/>
              </w:rPr>
              <w:t>t</w:t>
            </w:r>
            <w:r w:rsidRPr="00A10AC0">
              <w:rPr>
                <w:rFonts w:ascii="Verdana" w:hAnsi="Verdana"/>
                <w:sz w:val="18"/>
                <w:szCs w:val="18"/>
              </w:rPr>
              <w:t xml:space="preserve"> cijfermatig bijgehouden</w:t>
            </w:r>
            <w:r w:rsidRPr="00A10AC0" w:rsidR="00B10497">
              <w:rPr>
                <w:rFonts w:ascii="Verdana" w:hAnsi="Verdana"/>
                <w:sz w:val="18"/>
                <w:szCs w:val="18"/>
              </w:rPr>
              <w:t xml:space="preserve"> of er sprake is van een opvolgende BNTB</w:t>
            </w:r>
            <w:r w:rsidRPr="00A10AC0">
              <w:rPr>
                <w:rFonts w:ascii="Verdana" w:hAnsi="Verdana"/>
                <w:sz w:val="18"/>
                <w:szCs w:val="18"/>
              </w:rPr>
              <w:t xml:space="preserve">. Van de ruim 2800 </w:t>
            </w:r>
            <w:proofErr w:type="spellStart"/>
            <w:r w:rsidRPr="00A10AC0">
              <w:rPr>
                <w:rFonts w:ascii="Verdana" w:hAnsi="Verdana"/>
                <w:sz w:val="18"/>
                <w:szCs w:val="18"/>
              </w:rPr>
              <w:t>BNTB’s</w:t>
            </w:r>
            <w:proofErr w:type="spellEnd"/>
            <w:r w:rsidRPr="00A10AC0">
              <w:rPr>
                <w:rFonts w:ascii="Verdana" w:hAnsi="Verdana"/>
                <w:sz w:val="18"/>
                <w:szCs w:val="18"/>
              </w:rPr>
              <w:t xml:space="preserve"> waren er 2027 eerste, 684 tweede, 105 derde en 8 vierde</w:t>
            </w:r>
            <w:r w:rsidRPr="00A10AC0">
              <w:rPr>
                <w:rFonts w:ascii="Verdana" w:hAnsi="Verdana"/>
                <w:sz w:val="18"/>
                <w:szCs w:val="18"/>
                <w:vertAlign w:val="superscript"/>
              </w:rPr>
              <w:t xml:space="preserve"> </w:t>
            </w:r>
            <w:proofErr w:type="spellStart"/>
            <w:r w:rsidRPr="00A10AC0">
              <w:rPr>
                <w:rFonts w:ascii="Verdana" w:hAnsi="Verdana"/>
                <w:sz w:val="18"/>
                <w:szCs w:val="18"/>
              </w:rPr>
              <w:t>BNTB’s</w:t>
            </w:r>
            <w:proofErr w:type="spellEnd"/>
            <w:r w:rsidRPr="00A10AC0">
              <w:rPr>
                <w:rFonts w:ascii="Verdana" w:hAnsi="Verdana"/>
                <w:sz w:val="18"/>
                <w:szCs w:val="18"/>
              </w:rPr>
              <w:t xml:space="preserve">.  </w:t>
            </w:r>
          </w:p>
          <w:p w:rsidRPr="00A10AC0" w:rsidR="008716C0" w:rsidP="00A10AC0" w:rsidRDefault="008716C0" w14:paraId="6A4162A0" w14:textId="6CDA90FA">
            <w:pPr>
              <w:spacing w:line="276" w:lineRule="auto"/>
              <w:ind w:right="283"/>
              <w:rPr>
                <w:rFonts w:ascii="Verdana" w:hAnsi="Verdana"/>
                <w:sz w:val="18"/>
                <w:szCs w:val="18"/>
              </w:rPr>
            </w:pPr>
          </w:p>
        </w:tc>
      </w:tr>
      <w:tr w:rsidRPr="00A10AC0" w:rsidR="008716C0" w:rsidTr="00A10AC0" w14:paraId="41A78267" w14:textId="69717574">
        <w:tc>
          <w:tcPr>
            <w:tcW w:w="568" w:type="dxa"/>
          </w:tcPr>
          <w:p w:rsidRPr="00A10AC0" w:rsidR="008716C0" w:rsidP="00A10AC0" w:rsidRDefault="008716C0" w14:paraId="39B628BF" w14:textId="77777777">
            <w:pPr>
              <w:spacing w:line="276" w:lineRule="auto"/>
              <w:rPr>
                <w:rFonts w:ascii="Verdana" w:hAnsi="Verdana"/>
                <w:b/>
                <w:bCs/>
                <w:sz w:val="18"/>
                <w:szCs w:val="18"/>
              </w:rPr>
            </w:pPr>
            <w:r w:rsidRPr="00A10AC0">
              <w:rPr>
                <w:rFonts w:ascii="Verdana" w:hAnsi="Verdana"/>
                <w:b/>
                <w:bCs/>
                <w:sz w:val="18"/>
                <w:szCs w:val="18"/>
              </w:rPr>
              <w:t>24</w:t>
            </w:r>
          </w:p>
        </w:tc>
        <w:tc>
          <w:tcPr>
            <w:tcW w:w="4677" w:type="dxa"/>
          </w:tcPr>
          <w:p w:rsidRPr="00A10AC0" w:rsidR="008716C0" w:rsidP="00A10AC0" w:rsidRDefault="008716C0" w14:paraId="1C45ED26" w14:textId="47BEF81A">
            <w:pPr>
              <w:spacing w:line="276" w:lineRule="auto"/>
              <w:rPr>
                <w:rFonts w:ascii="Verdana" w:hAnsi="Verdana"/>
                <w:sz w:val="18"/>
                <w:szCs w:val="18"/>
              </w:rPr>
            </w:pPr>
            <w:r w:rsidRPr="00A10AC0">
              <w:rPr>
                <w:rFonts w:ascii="Verdana" w:hAnsi="Verdana"/>
                <w:sz w:val="18"/>
                <w:szCs w:val="18"/>
              </w:rPr>
              <w:t>Welke patronen zijn waarneembaar in de beroepsprocedures tegen de overheid met betrekking tot de hersteloperatie?</w:t>
            </w:r>
          </w:p>
        </w:tc>
        <w:tc>
          <w:tcPr>
            <w:tcW w:w="284" w:type="dxa"/>
          </w:tcPr>
          <w:p w:rsidRPr="00A10AC0" w:rsidR="008716C0" w:rsidP="00A10AC0" w:rsidRDefault="008716C0" w14:paraId="2409F8E1" w14:textId="77777777">
            <w:pPr>
              <w:pStyle w:val="Geenafstand"/>
              <w:spacing w:line="276" w:lineRule="auto"/>
              <w:rPr>
                <w:szCs w:val="18"/>
              </w:rPr>
            </w:pPr>
          </w:p>
        </w:tc>
        <w:tc>
          <w:tcPr>
            <w:tcW w:w="8930" w:type="dxa"/>
          </w:tcPr>
          <w:p w:rsidR="008716C0" w:rsidP="00D264C3" w:rsidRDefault="008716C0" w14:paraId="0B2724CA" w14:textId="77777777">
            <w:pPr>
              <w:pStyle w:val="Geenafstand"/>
              <w:spacing w:line="276" w:lineRule="auto"/>
              <w:rPr>
                <w:szCs w:val="18"/>
              </w:rPr>
            </w:pPr>
            <w:r w:rsidRPr="00A10AC0">
              <w:rPr>
                <w:szCs w:val="18"/>
              </w:rPr>
              <w:t xml:space="preserve">Het aantal inhoudelijke beroepen stijgt als gevolg van het toenemende aantal bezwaarbeschikkingen. Tegelijkertijd is de meerderheid van de beroepsprocedures op dit moment nog gericht tegen het niet tijdig nemen van een beslissing. Die procedures zien op dit moment vooral op het niet tijdig beslissen op bezwaarschriften, anders dan in het verleden (toen de nadruk lag op het niet tijdig beslissen op IB-aanvragen). Op inhoud is hier geen patroon zichtbaar.  Qua inhoudelijke beroepen volgt de rechter in veel gevallen het standpunt van UHT. Van de 536 uitspraken is in 51 gevallen is het beroep gegrond verklaard, waarvan vijf met instandhouding van rechtsgevolgen. In toenemende mate zet UHT in op het buiten de rechter om beslechten van beroepszaken. </w:t>
            </w:r>
            <w:r w:rsidR="00D264C3">
              <w:rPr>
                <w:szCs w:val="18"/>
              </w:rPr>
              <w:t xml:space="preserve">Hierbij wordt steeds meer gebruik gemaakt van </w:t>
            </w:r>
            <w:proofErr w:type="spellStart"/>
            <w:r w:rsidR="00D264C3">
              <w:rPr>
                <w:szCs w:val="18"/>
              </w:rPr>
              <w:t>VSO’s</w:t>
            </w:r>
            <w:proofErr w:type="spellEnd"/>
            <w:r w:rsidR="00D264C3">
              <w:rPr>
                <w:szCs w:val="18"/>
              </w:rPr>
              <w:t xml:space="preserve"> om een geschil integraal af te ronden. </w:t>
            </w:r>
          </w:p>
          <w:p w:rsidRPr="00A10AC0" w:rsidR="002900BD" w:rsidP="00D264C3" w:rsidRDefault="002900BD" w14:paraId="40B3E178" w14:textId="0B86F6BF">
            <w:pPr>
              <w:pStyle w:val="Geenafstand"/>
              <w:spacing w:line="276" w:lineRule="auto"/>
              <w:rPr>
                <w:szCs w:val="18"/>
              </w:rPr>
            </w:pPr>
          </w:p>
        </w:tc>
      </w:tr>
      <w:tr w:rsidRPr="00A10AC0" w:rsidR="008716C0" w:rsidTr="00A10AC0" w14:paraId="23D82E29" w14:textId="4FDD9BE0">
        <w:tc>
          <w:tcPr>
            <w:tcW w:w="568" w:type="dxa"/>
          </w:tcPr>
          <w:p w:rsidRPr="00A10AC0" w:rsidR="008716C0" w:rsidP="00A10AC0" w:rsidRDefault="008716C0" w14:paraId="52427AB7" w14:textId="77777777">
            <w:pPr>
              <w:spacing w:line="276" w:lineRule="auto"/>
              <w:rPr>
                <w:rFonts w:ascii="Verdana" w:hAnsi="Verdana"/>
                <w:b/>
                <w:bCs/>
                <w:sz w:val="18"/>
                <w:szCs w:val="18"/>
              </w:rPr>
            </w:pPr>
            <w:r w:rsidRPr="00A10AC0">
              <w:rPr>
                <w:rFonts w:ascii="Verdana" w:hAnsi="Verdana"/>
                <w:b/>
                <w:bCs/>
                <w:sz w:val="18"/>
                <w:szCs w:val="18"/>
              </w:rPr>
              <w:t>25</w:t>
            </w:r>
          </w:p>
        </w:tc>
        <w:tc>
          <w:tcPr>
            <w:tcW w:w="4677" w:type="dxa"/>
          </w:tcPr>
          <w:p w:rsidRPr="00A10AC0" w:rsidR="008716C0" w:rsidP="00A10AC0" w:rsidRDefault="008716C0" w14:paraId="356E526B" w14:textId="77777777">
            <w:pPr>
              <w:spacing w:line="276" w:lineRule="auto"/>
              <w:rPr>
                <w:rFonts w:ascii="Verdana" w:hAnsi="Verdana"/>
                <w:sz w:val="18"/>
                <w:szCs w:val="18"/>
              </w:rPr>
            </w:pPr>
            <w:r w:rsidRPr="00A10AC0">
              <w:rPr>
                <w:rFonts w:ascii="Verdana" w:hAnsi="Verdana"/>
                <w:sz w:val="18"/>
                <w:szCs w:val="18"/>
              </w:rPr>
              <w:t>Hoeveel ouders hebben toegang tot hun dossiers gekregen sinds uw toezegging tijdens het laatste commissiedebat dat het proces omtrent dossiers versimpeld en versoepeld zou worden?</w:t>
            </w:r>
          </w:p>
          <w:p w:rsidRPr="00A10AC0" w:rsidR="008716C0" w:rsidP="00A10AC0" w:rsidRDefault="008716C0" w14:paraId="5B6A9B64" w14:textId="41AEDE03">
            <w:pPr>
              <w:spacing w:line="276" w:lineRule="auto"/>
              <w:rPr>
                <w:rFonts w:ascii="Verdana" w:hAnsi="Verdana"/>
                <w:sz w:val="18"/>
                <w:szCs w:val="18"/>
              </w:rPr>
            </w:pPr>
          </w:p>
        </w:tc>
        <w:tc>
          <w:tcPr>
            <w:tcW w:w="284" w:type="dxa"/>
          </w:tcPr>
          <w:p w:rsidRPr="00A10AC0" w:rsidR="008716C0" w:rsidP="00A10AC0" w:rsidRDefault="008716C0" w14:paraId="0F5DBF8B" w14:textId="77777777">
            <w:pPr>
              <w:spacing w:line="276" w:lineRule="auto"/>
              <w:rPr>
                <w:rFonts w:ascii="Verdana" w:hAnsi="Verdana"/>
                <w:sz w:val="18"/>
                <w:szCs w:val="18"/>
              </w:rPr>
            </w:pPr>
          </w:p>
        </w:tc>
        <w:tc>
          <w:tcPr>
            <w:tcW w:w="8930" w:type="dxa"/>
          </w:tcPr>
          <w:p w:rsidRPr="00A10AC0" w:rsidR="008716C0" w:rsidP="00A10AC0" w:rsidRDefault="008716C0" w14:paraId="211C7018" w14:textId="2D9D8756">
            <w:pPr>
              <w:spacing w:line="276" w:lineRule="auto"/>
              <w:rPr>
                <w:rFonts w:ascii="Verdana" w:hAnsi="Verdana"/>
                <w:sz w:val="18"/>
                <w:szCs w:val="18"/>
              </w:rPr>
            </w:pPr>
            <w:r w:rsidRPr="00A10AC0">
              <w:rPr>
                <w:rFonts w:ascii="Verdana" w:hAnsi="Verdana"/>
                <w:sz w:val="18"/>
                <w:szCs w:val="18"/>
              </w:rPr>
              <w:t>In de periode november 2024 - februari 2025 zijn 3.173 dossiers verstrekt aan ouders of hun gemachtigden.</w:t>
            </w:r>
          </w:p>
          <w:p w:rsidRPr="00A10AC0" w:rsidR="008716C0" w:rsidP="00A10AC0" w:rsidRDefault="008716C0" w14:paraId="03B1ADB4" w14:textId="77777777">
            <w:pPr>
              <w:spacing w:line="276" w:lineRule="auto"/>
              <w:ind w:right="283"/>
              <w:rPr>
                <w:rFonts w:ascii="Verdana" w:hAnsi="Verdana"/>
                <w:sz w:val="18"/>
                <w:szCs w:val="18"/>
              </w:rPr>
            </w:pPr>
          </w:p>
        </w:tc>
      </w:tr>
      <w:tr w:rsidRPr="00A10AC0" w:rsidR="008716C0" w:rsidTr="00A10AC0" w14:paraId="18A625C6" w14:textId="52619740">
        <w:tc>
          <w:tcPr>
            <w:tcW w:w="568" w:type="dxa"/>
          </w:tcPr>
          <w:p w:rsidRPr="00A10AC0" w:rsidR="008716C0" w:rsidP="00A10AC0" w:rsidRDefault="008716C0" w14:paraId="376FA4C6" w14:textId="77777777">
            <w:pPr>
              <w:spacing w:line="276" w:lineRule="auto"/>
              <w:rPr>
                <w:rFonts w:ascii="Verdana" w:hAnsi="Verdana"/>
                <w:b/>
                <w:bCs/>
                <w:sz w:val="18"/>
                <w:szCs w:val="18"/>
              </w:rPr>
            </w:pPr>
            <w:r w:rsidRPr="00A10AC0">
              <w:rPr>
                <w:rFonts w:ascii="Verdana" w:hAnsi="Verdana"/>
                <w:b/>
                <w:bCs/>
                <w:sz w:val="18"/>
                <w:szCs w:val="18"/>
              </w:rPr>
              <w:t>26</w:t>
            </w:r>
          </w:p>
        </w:tc>
        <w:tc>
          <w:tcPr>
            <w:tcW w:w="4677" w:type="dxa"/>
          </w:tcPr>
          <w:p w:rsidRPr="00A10AC0" w:rsidR="008716C0" w:rsidP="00A10AC0" w:rsidRDefault="008716C0" w14:paraId="51111D84" w14:textId="01F76DD8">
            <w:pPr>
              <w:spacing w:line="276" w:lineRule="auto"/>
              <w:rPr>
                <w:rFonts w:ascii="Verdana" w:hAnsi="Verdana"/>
                <w:sz w:val="18"/>
                <w:szCs w:val="18"/>
              </w:rPr>
            </w:pPr>
            <w:r w:rsidRPr="00A10AC0">
              <w:rPr>
                <w:rFonts w:ascii="Verdana" w:hAnsi="Verdana"/>
                <w:sz w:val="18"/>
                <w:szCs w:val="18"/>
              </w:rPr>
              <w:t>Welke obstakels ondervinden gemeenten bij het bieden van uitgebreide ondersteuning aan gedupeerde ouders?</w:t>
            </w:r>
          </w:p>
        </w:tc>
        <w:tc>
          <w:tcPr>
            <w:tcW w:w="284" w:type="dxa"/>
          </w:tcPr>
          <w:p w:rsidRPr="00A10AC0" w:rsidR="008716C0" w:rsidP="00A10AC0" w:rsidRDefault="008716C0" w14:paraId="387DFED4" w14:textId="77777777">
            <w:pPr>
              <w:spacing w:line="276" w:lineRule="auto"/>
              <w:ind w:right="283"/>
              <w:rPr>
                <w:rFonts w:ascii="Verdana" w:hAnsi="Verdana"/>
                <w:sz w:val="18"/>
                <w:szCs w:val="18"/>
              </w:rPr>
            </w:pPr>
          </w:p>
        </w:tc>
        <w:tc>
          <w:tcPr>
            <w:tcW w:w="8930" w:type="dxa"/>
          </w:tcPr>
          <w:p w:rsidRPr="00A10AC0" w:rsidR="008716C0" w:rsidP="00A10AC0" w:rsidRDefault="008716C0" w14:paraId="7025919E" w14:textId="49BE28CB">
            <w:pPr>
              <w:spacing w:line="276" w:lineRule="auto"/>
              <w:ind w:right="283"/>
              <w:rPr>
                <w:rFonts w:ascii="Verdana" w:hAnsi="Verdana"/>
                <w:sz w:val="18"/>
                <w:szCs w:val="18"/>
              </w:rPr>
            </w:pPr>
            <w:r w:rsidRPr="00A10AC0">
              <w:rPr>
                <w:rFonts w:ascii="Verdana" w:hAnsi="Verdana"/>
                <w:sz w:val="18"/>
                <w:szCs w:val="18"/>
              </w:rPr>
              <w:t xml:space="preserve">Gemeenten ontvangen veel herhaalverzoeken voor materiële hulp. </w:t>
            </w:r>
            <w:r w:rsidRPr="00911BF3" w:rsidR="00911BF3">
              <w:rPr>
                <w:rFonts w:ascii="Verdana" w:hAnsi="Verdana"/>
                <w:sz w:val="18"/>
                <w:szCs w:val="18"/>
              </w:rPr>
              <w:t xml:space="preserve">Door de rol die materiële verzoeken spelen, is het voor gemeenten soms moeilijk om door te dringen tot de echte hulpvraag van gedupeerden en invulling te kunnen geven aan de oorspronkelijke bedoeling van brede ondersteuning, namelijk het bieden van voornamelijk immateriële hulp op de vijf leefgebieden. </w:t>
            </w:r>
            <w:r w:rsidRPr="00A10AC0">
              <w:rPr>
                <w:rFonts w:ascii="Verdana" w:hAnsi="Verdana"/>
                <w:sz w:val="18"/>
                <w:szCs w:val="18"/>
              </w:rPr>
              <w:t xml:space="preserve">Daarom is sinds 1 januari 2025 de Wet aangepast, zodat materiële verzoeken alleen in de eerste 6 maanden van een plan van aanpak kunnen worden gedaan. </w:t>
            </w:r>
          </w:p>
          <w:p w:rsidRPr="00A10AC0" w:rsidR="008716C0" w:rsidP="00A10AC0" w:rsidRDefault="008716C0" w14:paraId="0BB1DD82" w14:textId="549454F0">
            <w:pPr>
              <w:spacing w:line="276" w:lineRule="auto"/>
              <w:ind w:right="283"/>
              <w:rPr>
                <w:rFonts w:ascii="Verdana" w:hAnsi="Verdana"/>
                <w:sz w:val="18"/>
                <w:szCs w:val="18"/>
              </w:rPr>
            </w:pPr>
            <w:r w:rsidRPr="00A10AC0">
              <w:rPr>
                <w:rFonts w:ascii="Verdana" w:hAnsi="Verdana"/>
                <w:sz w:val="18"/>
                <w:szCs w:val="18"/>
              </w:rPr>
              <w:lastRenderedPageBreak/>
              <w:t>Bepaalde verzoeken, zoals huisvesting zijn door de krappe huizenmarkt lastig in te willigen. Ook kampen sommige gemeenten met wachtlijsten voor de brede ondersteuning, waardoor ouders soms moeten wachten op passende hulp.</w:t>
            </w:r>
          </w:p>
          <w:p w:rsidRPr="00A10AC0" w:rsidR="008716C0" w:rsidP="00A10AC0" w:rsidRDefault="008716C0" w14:paraId="04F44952" w14:textId="0467C51B">
            <w:pPr>
              <w:spacing w:line="276" w:lineRule="auto"/>
              <w:ind w:right="283"/>
              <w:rPr>
                <w:rFonts w:ascii="Verdana" w:hAnsi="Verdana"/>
                <w:sz w:val="18"/>
                <w:szCs w:val="18"/>
              </w:rPr>
            </w:pPr>
          </w:p>
        </w:tc>
      </w:tr>
      <w:tr w:rsidRPr="00A10AC0" w:rsidR="008716C0" w:rsidTr="00A10AC0" w14:paraId="0F32ABFC" w14:textId="2AAD84D0">
        <w:tc>
          <w:tcPr>
            <w:tcW w:w="568" w:type="dxa"/>
          </w:tcPr>
          <w:p w:rsidRPr="00A10AC0" w:rsidR="008716C0" w:rsidP="00A10AC0" w:rsidRDefault="008716C0" w14:paraId="3903E815" w14:textId="77777777">
            <w:pPr>
              <w:spacing w:line="276" w:lineRule="auto"/>
              <w:rPr>
                <w:rFonts w:ascii="Verdana" w:hAnsi="Verdana"/>
                <w:b/>
                <w:bCs/>
                <w:sz w:val="18"/>
                <w:szCs w:val="18"/>
              </w:rPr>
            </w:pPr>
            <w:r w:rsidRPr="00A10AC0">
              <w:rPr>
                <w:rFonts w:ascii="Verdana" w:hAnsi="Verdana"/>
                <w:b/>
                <w:bCs/>
                <w:sz w:val="18"/>
                <w:szCs w:val="18"/>
              </w:rPr>
              <w:lastRenderedPageBreak/>
              <w:t>27</w:t>
            </w:r>
          </w:p>
        </w:tc>
        <w:tc>
          <w:tcPr>
            <w:tcW w:w="4677" w:type="dxa"/>
          </w:tcPr>
          <w:p w:rsidRPr="00A10AC0" w:rsidR="008716C0" w:rsidP="00A10AC0" w:rsidRDefault="008716C0" w14:paraId="65EB4E96" w14:textId="5EF2970A">
            <w:pPr>
              <w:spacing w:line="276" w:lineRule="auto"/>
              <w:rPr>
                <w:rFonts w:ascii="Verdana" w:hAnsi="Verdana"/>
                <w:sz w:val="18"/>
                <w:szCs w:val="18"/>
              </w:rPr>
            </w:pPr>
            <w:r w:rsidRPr="00A10AC0">
              <w:rPr>
                <w:rFonts w:ascii="Verdana" w:hAnsi="Verdana"/>
                <w:sz w:val="18"/>
                <w:szCs w:val="18"/>
              </w:rPr>
              <w:t>Kan een overzicht worden verstrekt van de herstelinitiatieven en het aandeel deelnemers per initiatief?</w:t>
            </w:r>
          </w:p>
        </w:tc>
        <w:tc>
          <w:tcPr>
            <w:tcW w:w="284" w:type="dxa"/>
          </w:tcPr>
          <w:p w:rsidRPr="00A10AC0" w:rsidR="008716C0" w:rsidP="00A10AC0" w:rsidRDefault="008716C0" w14:paraId="78E532C6" w14:textId="77777777">
            <w:pPr>
              <w:spacing w:line="276" w:lineRule="auto"/>
              <w:ind w:right="283"/>
              <w:rPr>
                <w:rFonts w:ascii="Verdana" w:hAnsi="Verdana"/>
                <w:sz w:val="18"/>
                <w:szCs w:val="18"/>
              </w:rPr>
            </w:pPr>
          </w:p>
        </w:tc>
        <w:tc>
          <w:tcPr>
            <w:tcW w:w="8930" w:type="dxa"/>
          </w:tcPr>
          <w:p w:rsidRPr="00A10AC0" w:rsidR="008716C0" w:rsidP="00A10AC0" w:rsidRDefault="008716C0" w14:paraId="349B0641" w14:textId="54A5D4E5">
            <w:pPr>
              <w:spacing w:line="276" w:lineRule="auto"/>
              <w:ind w:right="283"/>
              <w:rPr>
                <w:rFonts w:ascii="Verdana" w:hAnsi="Verdana"/>
                <w:sz w:val="18"/>
                <w:szCs w:val="18"/>
              </w:rPr>
            </w:pPr>
            <w:r w:rsidRPr="00A10AC0">
              <w:rPr>
                <w:rFonts w:ascii="Verdana" w:hAnsi="Verdana"/>
                <w:sz w:val="18"/>
                <w:szCs w:val="18"/>
              </w:rPr>
              <w:t xml:space="preserve">We steunen herstelinitiatieven op verschillende manieren, namelijk via herstelinitiatieven.nl van Radar, het Fonds voor Cultuurparticipatie en initiatieven van jongeren via </w:t>
            </w:r>
            <w:proofErr w:type="spellStart"/>
            <w:r w:rsidRPr="00A10AC0">
              <w:rPr>
                <w:rFonts w:ascii="Verdana" w:hAnsi="Verdana"/>
                <w:sz w:val="18"/>
                <w:szCs w:val="18"/>
              </w:rPr>
              <w:t>Diversion</w:t>
            </w:r>
            <w:proofErr w:type="spellEnd"/>
            <w:r w:rsidRPr="00A10AC0">
              <w:rPr>
                <w:rFonts w:ascii="Verdana" w:hAnsi="Verdana"/>
                <w:sz w:val="18"/>
                <w:szCs w:val="18"/>
              </w:rPr>
              <w:t>.</w:t>
            </w:r>
          </w:p>
          <w:p w:rsidRPr="00A10AC0" w:rsidR="008716C0" w:rsidP="00A10AC0" w:rsidRDefault="008716C0" w14:paraId="62D15E78" w14:textId="77777777">
            <w:pPr>
              <w:spacing w:line="276" w:lineRule="auto"/>
              <w:ind w:right="283"/>
              <w:rPr>
                <w:rFonts w:ascii="Verdana" w:hAnsi="Verdana"/>
                <w:sz w:val="18"/>
                <w:szCs w:val="18"/>
              </w:rPr>
            </w:pPr>
          </w:p>
          <w:p w:rsidRPr="00A10AC0" w:rsidR="008716C0" w:rsidP="00A10AC0" w:rsidRDefault="008716C0" w14:paraId="074CCA87" w14:textId="34E26A38">
            <w:pPr>
              <w:spacing w:line="276" w:lineRule="auto"/>
              <w:ind w:right="283"/>
              <w:rPr>
                <w:rFonts w:ascii="Verdana" w:hAnsi="Verdana"/>
                <w:sz w:val="18"/>
                <w:szCs w:val="18"/>
              </w:rPr>
            </w:pPr>
            <w:r w:rsidRPr="00A10AC0">
              <w:rPr>
                <w:rFonts w:ascii="Verdana" w:hAnsi="Verdana"/>
                <w:sz w:val="18"/>
                <w:szCs w:val="18"/>
              </w:rPr>
              <w:t xml:space="preserve">Er zijn meer initiatieven dan wij overzichtelijk weer kunnen geven, want ook zonder onze steun vinden initiatief-nemende gedupeerde ouders en jongeren manieren om andere gedupeerde inwoners te motiveren, inspireren en/of toe te leiden tot hulp. </w:t>
            </w:r>
          </w:p>
          <w:p w:rsidRPr="00A10AC0" w:rsidR="00A10AC0" w:rsidP="00A10AC0" w:rsidRDefault="00A10AC0" w14:paraId="14579B41" w14:textId="77777777">
            <w:pPr>
              <w:spacing w:line="276" w:lineRule="auto"/>
              <w:ind w:right="283"/>
              <w:rPr>
                <w:rFonts w:ascii="Verdana" w:hAnsi="Verdana" w:eastAsia="Calibri" w:cs="Calibri"/>
                <w:sz w:val="18"/>
                <w:szCs w:val="18"/>
              </w:rPr>
            </w:pPr>
          </w:p>
          <w:p w:rsidRPr="00A10AC0" w:rsidR="008716C0" w:rsidDel="2AF4537E" w:rsidP="00A10AC0" w:rsidRDefault="008716C0" w14:paraId="0644D770" w14:textId="56823EBB">
            <w:pPr>
              <w:spacing w:line="276" w:lineRule="auto"/>
              <w:ind w:right="283"/>
              <w:rPr>
                <w:rFonts w:ascii="Verdana" w:hAnsi="Verdana" w:eastAsia="Calibri" w:cs="Calibri"/>
                <w:sz w:val="18"/>
                <w:szCs w:val="18"/>
              </w:rPr>
            </w:pPr>
            <w:r w:rsidRPr="00A10AC0">
              <w:rPr>
                <w:rFonts w:ascii="Verdana" w:hAnsi="Verdana" w:eastAsia="Calibri" w:cs="Calibri"/>
                <w:sz w:val="18"/>
                <w:szCs w:val="18"/>
              </w:rPr>
              <w:t xml:space="preserve">Sinds april 2024 zijn in totaal 61 aanvragen ingediend via www.herstelinitiatieven.nl. Hiermee zijn in totaal ruim 850 gedupeerden bereikt. </w:t>
            </w:r>
          </w:p>
          <w:p w:rsidRPr="00A10AC0" w:rsidR="008716C0" w:rsidP="00A10AC0" w:rsidRDefault="008716C0" w14:paraId="1A09A8B3" w14:textId="77777777">
            <w:pPr>
              <w:spacing w:line="276" w:lineRule="auto"/>
              <w:ind w:right="283"/>
              <w:rPr>
                <w:rFonts w:ascii="Verdana" w:hAnsi="Verdana" w:eastAsia="Calibri" w:cs="Calibri"/>
                <w:sz w:val="18"/>
                <w:szCs w:val="18"/>
              </w:rPr>
            </w:pPr>
            <w:r w:rsidRPr="00A10AC0">
              <w:rPr>
                <w:rFonts w:ascii="Verdana" w:hAnsi="Verdana" w:eastAsia="Calibri" w:cs="Calibri"/>
                <w:sz w:val="18"/>
                <w:szCs w:val="18"/>
              </w:rPr>
              <w:t xml:space="preserve">Enkele voorbeelden van dergelijke herstelinitiatieven zijn: </w:t>
            </w:r>
          </w:p>
          <w:p w:rsidRPr="00A10AC0" w:rsidR="008716C0" w:rsidP="00A10AC0" w:rsidRDefault="008716C0" w14:paraId="7F9999AA" w14:textId="7C032D3C">
            <w:pPr>
              <w:pStyle w:val="Lijstalinea"/>
              <w:numPr>
                <w:ilvl w:val="0"/>
                <w:numId w:val="2"/>
              </w:numPr>
              <w:spacing w:line="276" w:lineRule="auto"/>
              <w:ind w:right="283"/>
              <w:rPr>
                <w:rFonts w:ascii="Verdana" w:hAnsi="Verdana"/>
                <w:sz w:val="18"/>
                <w:szCs w:val="18"/>
              </w:rPr>
            </w:pPr>
            <w:r w:rsidRPr="00A10AC0">
              <w:rPr>
                <w:rFonts w:ascii="Verdana" w:hAnsi="Verdana"/>
                <w:sz w:val="18"/>
                <w:szCs w:val="18"/>
              </w:rPr>
              <w:t>Organisatie van bijeenkomsten/lotgenotendagen</w:t>
            </w:r>
          </w:p>
          <w:p w:rsidRPr="00A10AC0" w:rsidR="008716C0" w:rsidP="00A10AC0" w:rsidRDefault="008716C0" w14:paraId="42A90944" w14:textId="77777777">
            <w:pPr>
              <w:pStyle w:val="Lijstalinea"/>
              <w:numPr>
                <w:ilvl w:val="0"/>
                <w:numId w:val="2"/>
              </w:numPr>
              <w:spacing w:line="276" w:lineRule="auto"/>
              <w:ind w:right="283"/>
              <w:rPr>
                <w:rFonts w:ascii="Verdana" w:hAnsi="Verdana"/>
                <w:sz w:val="18"/>
                <w:szCs w:val="18"/>
              </w:rPr>
            </w:pPr>
            <w:r w:rsidRPr="00A10AC0">
              <w:rPr>
                <w:rFonts w:ascii="Verdana" w:hAnsi="Verdana"/>
                <w:sz w:val="18"/>
                <w:szCs w:val="18"/>
              </w:rPr>
              <w:t>Workshops verwerkingskunst voor ouders en jongeren</w:t>
            </w:r>
          </w:p>
          <w:p w:rsidRPr="00A10AC0" w:rsidR="008716C0" w:rsidP="00A10AC0" w:rsidRDefault="008716C0" w14:paraId="69D54EF1" w14:textId="77777777">
            <w:pPr>
              <w:pStyle w:val="Lijstalinea"/>
              <w:numPr>
                <w:ilvl w:val="0"/>
                <w:numId w:val="2"/>
              </w:numPr>
              <w:spacing w:line="276" w:lineRule="auto"/>
              <w:ind w:right="283"/>
              <w:rPr>
                <w:rFonts w:ascii="Verdana" w:hAnsi="Verdana"/>
                <w:sz w:val="18"/>
                <w:szCs w:val="18"/>
              </w:rPr>
            </w:pPr>
            <w:r w:rsidRPr="00A10AC0">
              <w:rPr>
                <w:rFonts w:ascii="Verdana" w:hAnsi="Verdana"/>
                <w:sz w:val="18"/>
                <w:szCs w:val="18"/>
              </w:rPr>
              <w:t>Diverse (prenten)boeken mogelijk gemaakt</w:t>
            </w:r>
          </w:p>
          <w:p w:rsidRPr="00A10AC0" w:rsidR="008716C0" w:rsidP="00A10AC0" w:rsidRDefault="008716C0" w14:paraId="307DF07D" w14:textId="77777777">
            <w:pPr>
              <w:pStyle w:val="Lijstalinea"/>
              <w:spacing w:line="276" w:lineRule="auto"/>
              <w:ind w:left="360" w:right="283"/>
              <w:rPr>
                <w:rFonts w:ascii="Verdana" w:hAnsi="Verdana"/>
                <w:sz w:val="18"/>
                <w:szCs w:val="18"/>
              </w:rPr>
            </w:pPr>
          </w:p>
          <w:p w:rsidRPr="00A10AC0" w:rsidR="008716C0" w:rsidP="00A10AC0" w:rsidRDefault="008716C0" w14:paraId="37425A34" w14:textId="105DD524">
            <w:pPr>
              <w:spacing w:line="276" w:lineRule="auto"/>
              <w:ind w:right="283"/>
              <w:rPr>
                <w:rFonts w:ascii="Verdana" w:hAnsi="Verdana"/>
                <w:sz w:val="18"/>
                <w:szCs w:val="18"/>
              </w:rPr>
            </w:pPr>
            <w:r w:rsidRPr="00A10AC0">
              <w:rPr>
                <w:rFonts w:ascii="Verdana" w:hAnsi="Verdana"/>
                <w:sz w:val="18"/>
                <w:szCs w:val="18"/>
              </w:rPr>
              <w:t>Voordat Herstelinitiatieven.nl van start ging heeft het ministerie van Financiën zelf enkele initiatieven gesteund, o.a. een grote bijeenkomst voor gedupeerde ouders en ketenpartners op Curaçao en de videoregistratie van theatervoorstelling Verloren Onschuld van het Rotterdams Wijktheater. Alleen al met deze twee initiatieven zijn honderden gedupeerde ouders en professionals bereikt. Daarnaast heeft het ministerie nog kleine initiatieven ondersteund zoals lotgenotenbijeenkomsten.</w:t>
            </w:r>
          </w:p>
          <w:p w:rsidRPr="00A10AC0" w:rsidR="008716C0" w:rsidP="00A10AC0" w:rsidRDefault="008716C0" w14:paraId="078B50E4" w14:textId="77777777">
            <w:pPr>
              <w:spacing w:line="276" w:lineRule="auto"/>
              <w:ind w:right="283"/>
              <w:rPr>
                <w:rFonts w:ascii="Verdana" w:hAnsi="Verdana"/>
                <w:sz w:val="18"/>
                <w:szCs w:val="18"/>
              </w:rPr>
            </w:pPr>
          </w:p>
          <w:p w:rsidRPr="00A10AC0" w:rsidR="008716C0" w:rsidP="00A10AC0" w:rsidRDefault="008716C0" w14:paraId="2BAB4FE2" w14:textId="6F2180A1">
            <w:pPr>
              <w:spacing w:line="276" w:lineRule="auto"/>
              <w:rPr>
                <w:rFonts w:ascii="Verdana" w:hAnsi="Verdana"/>
                <w:sz w:val="18"/>
                <w:szCs w:val="18"/>
              </w:rPr>
            </w:pPr>
            <w:proofErr w:type="spellStart"/>
            <w:r w:rsidRPr="00A10AC0">
              <w:rPr>
                <w:rFonts w:ascii="Verdana" w:hAnsi="Verdana"/>
                <w:sz w:val="18"/>
                <w:szCs w:val="18"/>
              </w:rPr>
              <w:t>Diversion</w:t>
            </w:r>
            <w:proofErr w:type="spellEnd"/>
            <w:r w:rsidRPr="00A10AC0">
              <w:rPr>
                <w:rFonts w:ascii="Verdana" w:hAnsi="Verdana"/>
                <w:sz w:val="18"/>
                <w:szCs w:val="18"/>
              </w:rPr>
              <w:t xml:space="preserve"> begeleidt jongeren in het uitwerken en opzetten van hun ideeën voor herstelinitiatieven via het Ontwikkelnetwerk Herstel. Dit netwerk bestaat uit 187 jongeren. Sinds april 2024 hebben er zo’n 11 bijeenkomsten plaatsgevonden, van een bijeenkomst voor jongeren met OTB, een filmscreening van ‘De jacht op Meral Ö’ tot een </w:t>
            </w:r>
            <w:proofErr w:type="spellStart"/>
            <w:r w:rsidRPr="00A10AC0">
              <w:rPr>
                <w:rFonts w:ascii="Verdana" w:hAnsi="Verdana"/>
                <w:sz w:val="18"/>
                <w:szCs w:val="18"/>
              </w:rPr>
              <w:t>kickboksworkshop</w:t>
            </w:r>
            <w:proofErr w:type="spellEnd"/>
            <w:r w:rsidRPr="00A10AC0">
              <w:rPr>
                <w:rFonts w:ascii="Verdana" w:hAnsi="Verdana"/>
                <w:sz w:val="18"/>
                <w:szCs w:val="18"/>
              </w:rPr>
              <w:t xml:space="preserve">. Bij dergelijke bijeenkomsten zijn er gemiddeld een tiental jongeren aanwezig. Al deze bijeenkomsten krijgen veel media-aandacht dus de impact van de initiatieven beperkt zich niet tot de bijeenkomsten. Daarnaast begeleidt </w:t>
            </w:r>
            <w:proofErr w:type="spellStart"/>
            <w:r w:rsidRPr="00A10AC0">
              <w:rPr>
                <w:rFonts w:ascii="Verdana" w:hAnsi="Verdana"/>
                <w:sz w:val="18"/>
                <w:szCs w:val="18"/>
              </w:rPr>
              <w:t>Diversion</w:t>
            </w:r>
            <w:proofErr w:type="spellEnd"/>
            <w:r w:rsidRPr="00A10AC0">
              <w:rPr>
                <w:rFonts w:ascii="Verdana" w:hAnsi="Verdana"/>
                <w:sz w:val="18"/>
                <w:szCs w:val="18"/>
              </w:rPr>
              <w:t xml:space="preserve"> ook jongeren bij het opzetten van eigen projecten (waarvan sommigen deze bijeenkomsten) en brengen we de verhalen van jongeren naar buiten in de vorm van mini-campagnes.</w:t>
            </w:r>
          </w:p>
          <w:p w:rsidRPr="00A10AC0" w:rsidR="008716C0" w:rsidP="00A10AC0" w:rsidRDefault="008716C0" w14:paraId="46073EE8" w14:textId="77777777">
            <w:pPr>
              <w:spacing w:line="276" w:lineRule="auto"/>
              <w:ind w:right="283"/>
              <w:rPr>
                <w:rFonts w:ascii="Verdana" w:hAnsi="Verdana" w:eastAsia="Calibri" w:cs="Calibri"/>
                <w:sz w:val="18"/>
                <w:szCs w:val="18"/>
              </w:rPr>
            </w:pPr>
          </w:p>
          <w:p w:rsidRPr="00A10AC0" w:rsidR="008716C0" w:rsidP="00A10AC0" w:rsidRDefault="009F1E33" w14:paraId="2DC73084" w14:textId="2DF0C5D5">
            <w:pPr>
              <w:spacing w:line="276" w:lineRule="auto"/>
              <w:ind w:right="283"/>
              <w:rPr>
                <w:rFonts w:ascii="Verdana" w:hAnsi="Verdana" w:eastAsia="Calibri" w:cs="Calibri"/>
                <w:sz w:val="18"/>
                <w:szCs w:val="18"/>
              </w:rPr>
            </w:pPr>
            <w:r>
              <w:rPr>
                <w:rFonts w:ascii="Verdana" w:hAnsi="Verdana" w:eastAsia="Calibri" w:cs="Calibri"/>
                <w:sz w:val="18"/>
                <w:szCs w:val="18"/>
              </w:rPr>
              <w:lastRenderedPageBreak/>
              <w:t>Het ministerie van Financiën faciliteert ook een subsidieregeling met het ministerie van OCW en het Fonds voor Cultuurparticipatie waar g</w:t>
            </w:r>
            <w:r w:rsidRPr="00A10AC0">
              <w:rPr>
                <w:rFonts w:ascii="Verdana" w:hAnsi="Verdana" w:eastAsia="Calibri" w:cs="Calibri"/>
                <w:sz w:val="18"/>
                <w:szCs w:val="18"/>
              </w:rPr>
              <w:t xml:space="preserve">etroffen jongeren </w:t>
            </w:r>
            <w:r>
              <w:rPr>
                <w:rFonts w:ascii="Verdana" w:hAnsi="Verdana" w:eastAsia="Calibri" w:cs="Calibri"/>
                <w:sz w:val="18"/>
                <w:szCs w:val="18"/>
              </w:rPr>
              <w:t xml:space="preserve">subsidie </w:t>
            </w:r>
            <w:r w:rsidRPr="00A10AC0">
              <w:rPr>
                <w:rFonts w:ascii="Verdana" w:hAnsi="Verdana" w:eastAsia="Calibri" w:cs="Calibri"/>
                <w:sz w:val="18"/>
                <w:szCs w:val="18"/>
              </w:rPr>
              <w:t>kunnen aanvragen voor het ontwikkelen van culturele initiatieven.</w:t>
            </w:r>
            <w:r w:rsidRPr="00A10AC0" w:rsidR="008716C0">
              <w:rPr>
                <w:rFonts w:ascii="Verdana" w:hAnsi="Verdana" w:eastAsia="Calibri" w:cs="Calibri"/>
                <w:sz w:val="18"/>
                <w:szCs w:val="18"/>
              </w:rPr>
              <w:t xml:space="preserve"> Er zijn in totaal momenteel 25 gehonoreerde aanvragen, waarvan 8 projectsubsidies en 17 verkenningen. Daarnaast zijn er 6 aanvragen voor projectsubsidies in behandeling, en 2 aanvragen voor verkenningen. </w:t>
            </w:r>
          </w:p>
          <w:p w:rsidRPr="00A10AC0" w:rsidR="008716C0" w:rsidP="00A10AC0" w:rsidRDefault="008716C0" w14:paraId="199E9A03" w14:textId="77777777">
            <w:pPr>
              <w:spacing w:line="276" w:lineRule="auto"/>
              <w:ind w:right="283"/>
              <w:rPr>
                <w:rFonts w:ascii="Verdana" w:hAnsi="Verdana" w:eastAsia="Calibri" w:cs="Calibri"/>
                <w:sz w:val="18"/>
                <w:szCs w:val="18"/>
              </w:rPr>
            </w:pPr>
          </w:p>
          <w:p w:rsidRPr="00A10AC0" w:rsidR="008716C0" w:rsidP="00A10AC0" w:rsidRDefault="008716C0" w14:paraId="0BFE316D" w14:textId="54FEFE27">
            <w:pPr>
              <w:spacing w:line="276" w:lineRule="auto"/>
              <w:ind w:right="283"/>
              <w:rPr>
                <w:rFonts w:ascii="Verdana" w:hAnsi="Verdana" w:eastAsia="Calibri" w:cs="Calibri"/>
                <w:sz w:val="18"/>
                <w:szCs w:val="18"/>
              </w:rPr>
            </w:pPr>
            <w:r w:rsidRPr="00A10AC0">
              <w:rPr>
                <w:rFonts w:ascii="Verdana" w:hAnsi="Verdana" w:eastAsia="Calibri" w:cs="Calibri"/>
                <w:sz w:val="18"/>
                <w:szCs w:val="18"/>
              </w:rPr>
              <w:t>Onderstaande tabel is een overzicht van de 8 gehonoreerde aanvragen: van de projectsubsidies is het aantal unieke deelnemers per project toegevoegd, maar bij de verkenningen wordt dit niet op die manier uitgevraagd.</w:t>
            </w:r>
          </w:p>
          <w:p w:rsidRPr="00A10AC0" w:rsidR="008716C0" w:rsidP="00A10AC0" w:rsidRDefault="008716C0" w14:paraId="00C2E1F3" w14:textId="77777777">
            <w:pPr>
              <w:spacing w:line="276" w:lineRule="auto"/>
              <w:ind w:right="283"/>
              <w:rPr>
                <w:rFonts w:ascii="Verdana" w:hAnsi="Verdana" w:eastAsia="Calibri" w:cs="Calibri"/>
                <w:sz w:val="18"/>
                <w:szCs w:val="18"/>
              </w:rPr>
            </w:pPr>
          </w:p>
          <w:tbl>
            <w:tblPr>
              <w:tblStyle w:val="Rastertabel1licht-Accent1"/>
              <w:tblW w:w="7665" w:type="dxa"/>
              <w:tblLayout w:type="fixed"/>
              <w:tblLook w:val="06A0" w:firstRow="1" w:lastRow="0" w:firstColumn="1" w:lastColumn="0" w:noHBand="1" w:noVBand="1"/>
            </w:tblPr>
            <w:tblGrid>
              <w:gridCol w:w="5099"/>
              <w:gridCol w:w="2566"/>
            </w:tblGrid>
            <w:tr w:rsidRPr="00A10AC0" w:rsidR="008716C0" w:rsidTr="00E40903" w14:paraId="4AEA3BE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9" w:type="dxa"/>
                </w:tcPr>
                <w:p w:rsidRPr="00A10AC0" w:rsidR="008716C0" w:rsidP="00A10AC0" w:rsidRDefault="008716C0" w14:paraId="0EE69232" w14:textId="77777777">
                  <w:pPr>
                    <w:spacing w:line="276" w:lineRule="auto"/>
                    <w:rPr>
                      <w:rFonts w:ascii="Verdana" w:hAnsi="Verdana"/>
                      <w:b w:val="0"/>
                      <w:bCs w:val="0"/>
                      <w:sz w:val="18"/>
                      <w:szCs w:val="18"/>
                    </w:rPr>
                  </w:pPr>
                  <w:r w:rsidRPr="00A10AC0">
                    <w:rPr>
                      <w:rFonts w:ascii="Verdana" w:hAnsi="Verdana"/>
                      <w:b w:val="0"/>
                      <w:bCs w:val="0"/>
                      <w:sz w:val="18"/>
                      <w:szCs w:val="18"/>
                    </w:rPr>
                    <w:t>Projectnaam</w:t>
                  </w:r>
                </w:p>
              </w:tc>
              <w:tc>
                <w:tcPr>
                  <w:tcW w:w="2566" w:type="dxa"/>
                </w:tcPr>
                <w:p w:rsidRPr="00A10AC0" w:rsidR="008716C0" w:rsidP="00A10AC0" w:rsidRDefault="008716C0" w14:paraId="50C7C23A" w14:textId="77777777">
                  <w:pPr>
                    <w:spacing w:line="276" w:lineRule="auto"/>
                    <w:ind w:left="38"/>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A10AC0">
                    <w:rPr>
                      <w:rFonts w:ascii="Verdana" w:hAnsi="Verdana"/>
                      <w:b w:val="0"/>
                      <w:bCs w:val="0"/>
                      <w:sz w:val="18"/>
                      <w:szCs w:val="18"/>
                    </w:rPr>
                    <w:t xml:space="preserve">Aantal unieke </w:t>
                  </w:r>
                </w:p>
                <w:p w:rsidRPr="00A10AC0" w:rsidR="008716C0" w:rsidP="00A10AC0" w:rsidRDefault="008716C0" w14:paraId="3E833738" w14:textId="1066BF5B">
                  <w:pPr>
                    <w:spacing w:line="276" w:lineRule="auto"/>
                    <w:ind w:left="38"/>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proofErr w:type="gramStart"/>
                  <w:r w:rsidRPr="00A10AC0">
                    <w:rPr>
                      <w:rFonts w:ascii="Verdana" w:hAnsi="Verdana"/>
                      <w:b w:val="0"/>
                      <w:bCs w:val="0"/>
                      <w:sz w:val="18"/>
                      <w:szCs w:val="18"/>
                    </w:rPr>
                    <w:t>deelnemers</w:t>
                  </w:r>
                  <w:proofErr w:type="gramEnd"/>
                </w:p>
              </w:tc>
            </w:tr>
            <w:tr w:rsidRPr="00A10AC0" w:rsidR="008716C0" w:rsidTr="00E40903" w14:paraId="15E558D2" w14:textId="77777777">
              <w:tc>
                <w:tcPr>
                  <w:cnfStyle w:val="001000000000" w:firstRow="0" w:lastRow="0" w:firstColumn="1" w:lastColumn="0" w:oddVBand="0" w:evenVBand="0" w:oddHBand="0" w:evenHBand="0" w:firstRowFirstColumn="0" w:firstRowLastColumn="0" w:lastRowFirstColumn="0" w:lastRowLastColumn="0"/>
                  <w:tcW w:w="5099" w:type="dxa"/>
                </w:tcPr>
                <w:p w:rsidRPr="00A10AC0" w:rsidR="008716C0" w:rsidP="00A10AC0" w:rsidRDefault="008716C0" w14:paraId="17080D18" w14:textId="77777777">
                  <w:pPr>
                    <w:spacing w:line="276" w:lineRule="auto"/>
                    <w:rPr>
                      <w:rFonts w:ascii="Verdana" w:hAnsi="Verdana"/>
                      <w:b w:val="0"/>
                      <w:bCs w:val="0"/>
                      <w:sz w:val="18"/>
                      <w:szCs w:val="18"/>
                    </w:rPr>
                  </w:pPr>
                  <w:r w:rsidRPr="00A10AC0">
                    <w:rPr>
                      <w:rFonts w:ascii="Verdana" w:hAnsi="Verdana"/>
                      <w:b w:val="0"/>
                      <w:bCs w:val="0"/>
                      <w:sz w:val="18"/>
                      <w:szCs w:val="18"/>
                    </w:rPr>
                    <w:t>Theaterstuk STARS</w:t>
                  </w:r>
                </w:p>
              </w:tc>
              <w:tc>
                <w:tcPr>
                  <w:tcW w:w="2566" w:type="dxa"/>
                </w:tcPr>
                <w:p w:rsidRPr="00A10AC0" w:rsidR="008716C0" w:rsidP="00A10AC0" w:rsidRDefault="008716C0" w14:paraId="2AEB09D7" w14:textId="77777777">
                  <w:pPr>
                    <w:spacing w:line="276" w:lineRule="auto"/>
                    <w:ind w:left="38"/>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10AC0">
                    <w:rPr>
                      <w:rFonts w:ascii="Verdana" w:hAnsi="Verdana"/>
                      <w:sz w:val="18"/>
                      <w:szCs w:val="18"/>
                    </w:rPr>
                    <w:t>35</w:t>
                  </w:r>
                </w:p>
              </w:tc>
            </w:tr>
            <w:tr w:rsidRPr="00A10AC0" w:rsidR="008716C0" w:rsidTr="00E40903" w14:paraId="437ED365" w14:textId="77777777">
              <w:tc>
                <w:tcPr>
                  <w:cnfStyle w:val="001000000000" w:firstRow="0" w:lastRow="0" w:firstColumn="1" w:lastColumn="0" w:oddVBand="0" w:evenVBand="0" w:oddHBand="0" w:evenHBand="0" w:firstRowFirstColumn="0" w:firstRowLastColumn="0" w:lastRowFirstColumn="0" w:lastRowLastColumn="0"/>
                  <w:tcW w:w="5099" w:type="dxa"/>
                </w:tcPr>
                <w:p w:rsidRPr="00A10AC0" w:rsidR="008716C0" w:rsidP="00A10AC0" w:rsidRDefault="008716C0" w14:paraId="1A8D305B" w14:textId="7359596A">
                  <w:pPr>
                    <w:spacing w:line="276" w:lineRule="auto"/>
                    <w:rPr>
                      <w:rFonts w:ascii="Verdana" w:hAnsi="Verdana"/>
                      <w:b w:val="0"/>
                      <w:bCs w:val="0"/>
                      <w:sz w:val="18"/>
                      <w:szCs w:val="18"/>
                    </w:rPr>
                  </w:pPr>
                  <w:r w:rsidRPr="00A10AC0">
                    <w:rPr>
                      <w:rFonts w:ascii="Verdana" w:hAnsi="Verdana"/>
                      <w:b w:val="0"/>
                      <w:bCs w:val="0"/>
                      <w:sz w:val="18"/>
                      <w:szCs w:val="18"/>
                    </w:rPr>
                    <w:t xml:space="preserve">JF/FCP </w:t>
                  </w:r>
                  <w:r w:rsidR="00E05635">
                    <w:rPr>
                      <w:rFonts w:ascii="Verdana" w:hAnsi="Verdana"/>
                      <w:b w:val="0"/>
                      <w:bCs w:val="0"/>
                      <w:sz w:val="18"/>
                      <w:szCs w:val="18"/>
                    </w:rPr>
                    <w:t>–</w:t>
                  </w:r>
                  <w:r w:rsidRPr="00A10AC0">
                    <w:rPr>
                      <w:rFonts w:ascii="Verdana" w:hAnsi="Verdana"/>
                      <w:b w:val="0"/>
                      <w:bCs w:val="0"/>
                      <w:sz w:val="18"/>
                      <w:szCs w:val="18"/>
                    </w:rPr>
                    <w:t xml:space="preserve"> 2024</w:t>
                  </w:r>
                </w:p>
              </w:tc>
              <w:tc>
                <w:tcPr>
                  <w:tcW w:w="2566" w:type="dxa"/>
                </w:tcPr>
                <w:p w:rsidRPr="00A10AC0" w:rsidR="008716C0" w:rsidP="00A10AC0" w:rsidRDefault="008716C0" w14:paraId="3584D226" w14:textId="77777777">
                  <w:pPr>
                    <w:spacing w:line="276" w:lineRule="auto"/>
                    <w:ind w:left="38"/>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10AC0">
                    <w:rPr>
                      <w:rFonts w:ascii="Verdana" w:hAnsi="Verdana"/>
                      <w:sz w:val="18"/>
                      <w:szCs w:val="18"/>
                    </w:rPr>
                    <w:t>48</w:t>
                  </w:r>
                </w:p>
              </w:tc>
            </w:tr>
            <w:tr w:rsidRPr="00A10AC0" w:rsidR="008716C0" w:rsidTr="00E40903" w14:paraId="2E9DE9D1" w14:textId="77777777">
              <w:tc>
                <w:tcPr>
                  <w:cnfStyle w:val="001000000000" w:firstRow="0" w:lastRow="0" w:firstColumn="1" w:lastColumn="0" w:oddVBand="0" w:evenVBand="0" w:oddHBand="0" w:evenHBand="0" w:firstRowFirstColumn="0" w:firstRowLastColumn="0" w:lastRowFirstColumn="0" w:lastRowLastColumn="0"/>
                  <w:tcW w:w="5099" w:type="dxa"/>
                </w:tcPr>
                <w:p w:rsidRPr="00A10AC0" w:rsidR="008716C0" w:rsidP="00A10AC0" w:rsidRDefault="008716C0" w14:paraId="7380B07D" w14:textId="77777777">
                  <w:pPr>
                    <w:spacing w:line="276" w:lineRule="auto"/>
                    <w:rPr>
                      <w:rFonts w:ascii="Verdana" w:hAnsi="Verdana"/>
                      <w:b w:val="0"/>
                      <w:bCs w:val="0"/>
                      <w:sz w:val="18"/>
                      <w:szCs w:val="18"/>
                    </w:rPr>
                  </w:pPr>
                  <w:proofErr w:type="spellStart"/>
                  <w:r w:rsidRPr="00A10AC0">
                    <w:rPr>
                      <w:rFonts w:ascii="Verdana" w:hAnsi="Verdana"/>
                      <w:b w:val="0"/>
                      <w:bCs w:val="0"/>
                      <w:sz w:val="18"/>
                      <w:szCs w:val="18"/>
                    </w:rPr>
                    <w:t>Chosen</w:t>
                  </w:r>
                  <w:proofErr w:type="spellEnd"/>
                  <w:r w:rsidRPr="00A10AC0">
                    <w:rPr>
                      <w:rFonts w:ascii="Verdana" w:hAnsi="Verdana"/>
                      <w:b w:val="0"/>
                      <w:bCs w:val="0"/>
                      <w:sz w:val="18"/>
                      <w:szCs w:val="18"/>
                    </w:rPr>
                    <w:t xml:space="preserve"> </w:t>
                  </w:r>
                  <w:proofErr w:type="spellStart"/>
                  <w:r w:rsidRPr="00A10AC0">
                    <w:rPr>
                      <w:rFonts w:ascii="Verdana" w:hAnsi="Verdana"/>
                      <w:b w:val="0"/>
                      <w:bCs w:val="0"/>
                      <w:sz w:val="18"/>
                      <w:szCs w:val="18"/>
                    </w:rPr>
                    <w:t>Ones</w:t>
                  </w:r>
                  <w:proofErr w:type="spellEnd"/>
                  <w:r w:rsidRPr="00A10AC0">
                    <w:rPr>
                      <w:rFonts w:ascii="Verdana" w:hAnsi="Verdana"/>
                      <w:b w:val="0"/>
                      <w:bCs w:val="0"/>
                      <w:sz w:val="18"/>
                      <w:szCs w:val="18"/>
                    </w:rPr>
                    <w:t xml:space="preserve"> Schrijverskamp Rap en Spoken </w:t>
                  </w:r>
                  <w:proofErr w:type="spellStart"/>
                  <w:r w:rsidRPr="00A10AC0">
                    <w:rPr>
                      <w:rFonts w:ascii="Verdana" w:hAnsi="Verdana"/>
                      <w:b w:val="0"/>
                      <w:bCs w:val="0"/>
                      <w:sz w:val="18"/>
                      <w:szCs w:val="18"/>
                    </w:rPr>
                    <w:t>Work</w:t>
                  </w:r>
                  <w:proofErr w:type="spellEnd"/>
                </w:p>
              </w:tc>
              <w:tc>
                <w:tcPr>
                  <w:tcW w:w="2566" w:type="dxa"/>
                </w:tcPr>
                <w:p w:rsidRPr="00A10AC0" w:rsidR="008716C0" w:rsidP="00A10AC0" w:rsidRDefault="008716C0" w14:paraId="2AFFB3B5" w14:textId="77777777">
                  <w:pPr>
                    <w:spacing w:line="276" w:lineRule="auto"/>
                    <w:ind w:left="38"/>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10AC0">
                    <w:rPr>
                      <w:rFonts w:ascii="Verdana" w:hAnsi="Verdana"/>
                      <w:sz w:val="18"/>
                      <w:szCs w:val="18"/>
                    </w:rPr>
                    <w:t>100</w:t>
                  </w:r>
                </w:p>
              </w:tc>
            </w:tr>
            <w:tr w:rsidRPr="00A10AC0" w:rsidR="008716C0" w:rsidTr="00E40903" w14:paraId="6262C100" w14:textId="77777777">
              <w:tc>
                <w:tcPr>
                  <w:cnfStyle w:val="001000000000" w:firstRow="0" w:lastRow="0" w:firstColumn="1" w:lastColumn="0" w:oddVBand="0" w:evenVBand="0" w:oddHBand="0" w:evenHBand="0" w:firstRowFirstColumn="0" w:firstRowLastColumn="0" w:lastRowFirstColumn="0" w:lastRowLastColumn="0"/>
                  <w:tcW w:w="5099" w:type="dxa"/>
                </w:tcPr>
                <w:p w:rsidRPr="00A10AC0" w:rsidR="008716C0" w:rsidP="00A10AC0" w:rsidRDefault="008716C0" w14:paraId="7B1FC034" w14:textId="77777777">
                  <w:pPr>
                    <w:spacing w:line="276" w:lineRule="auto"/>
                    <w:rPr>
                      <w:rFonts w:ascii="Verdana" w:hAnsi="Verdana"/>
                      <w:b w:val="0"/>
                      <w:bCs w:val="0"/>
                      <w:sz w:val="18"/>
                      <w:szCs w:val="18"/>
                    </w:rPr>
                  </w:pPr>
                  <w:proofErr w:type="spellStart"/>
                  <w:r w:rsidRPr="00A10AC0">
                    <w:rPr>
                      <w:rFonts w:ascii="Verdana" w:hAnsi="Verdana"/>
                      <w:b w:val="0"/>
                      <w:bCs w:val="0"/>
                      <w:sz w:val="18"/>
                      <w:szCs w:val="18"/>
                    </w:rPr>
                    <w:t>Future</w:t>
                  </w:r>
                  <w:proofErr w:type="spellEnd"/>
                  <w:r w:rsidRPr="00A10AC0">
                    <w:rPr>
                      <w:rFonts w:ascii="Verdana" w:hAnsi="Verdana"/>
                      <w:b w:val="0"/>
                      <w:bCs w:val="0"/>
                      <w:sz w:val="18"/>
                      <w:szCs w:val="18"/>
                    </w:rPr>
                    <w:t xml:space="preserve"> Foundations</w:t>
                  </w:r>
                </w:p>
              </w:tc>
              <w:tc>
                <w:tcPr>
                  <w:tcW w:w="2566" w:type="dxa"/>
                </w:tcPr>
                <w:p w:rsidRPr="00A10AC0" w:rsidR="008716C0" w:rsidP="00A10AC0" w:rsidRDefault="008716C0" w14:paraId="0C1D7D76" w14:textId="77777777">
                  <w:pPr>
                    <w:spacing w:line="276" w:lineRule="auto"/>
                    <w:ind w:left="38"/>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10AC0">
                    <w:rPr>
                      <w:rFonts w:ascii="Verdana" w:hAnsi="Verdana"/>
                      <w:sz w:val="18"/>
                      <w:szCs w:val="18"/>
                    </w:rPr>
                    <w:t>16</w:t>
                  </w:r>
                </w:p>
              </w:tc>
            </w:tr>
            <w:tr w:rsidRPr="00A10AC0" w:rsidR="008716C0" w:rsidTr="00E40903" w14:paraId="635CB856" w14:textId="77777777">
              <w:tc>
                <w:tcPr>
                  <w:cnfStyle w:val="001000000000" w:firstRow="0" w:lastRow="0" w:firstColumn="1" w:lastColumn="0" w:oddVBand="0" w:evenVBand="0" w:oddHBand="0" w:evenHBand="0" w:firstRowFirstColumn="0" w:firstRowLastColumn="0" w:lastRowFirstColumn="0" w:lastRowLastColumn="0"/>
                  <w:tcW w:w="5099" w:type="dxa"/>
                </w:tcPr>
                <w:p w:rsidRPr="00A10AC0" w:rsidR="008716C0" w:rsidP="00A10AC0" w:rsidRDefault="008716C0" w14:paraId="0193127E" w14:textId="77777777">
                  <w:pPr>
                    <w:spacing w:line="276" w:lineRule="auto"/>
                    <w:rPr>
                      <w:rFonts w:ascii="Verdana" w:hAnsi="Verdana"/>
                      <w:b w:val="0"/>
                      <w:bCs w:val="0"/>
                      <w:sz w:val="18"/>
                      <w:szCs w:val="18"/>
                    </w:rPr>
                  </w:pPr>
                  <w:r w:rsidRPr="00A10AC0">
                    <w:rPr>
                      <w:rFonts w:ascii="Verdana" w:hAnsi="Verdana"/>
                      <w:b w:val="0"/>
                      <w:bCs w:val="0"/>
                      <w:sz w:val="18"/>
                      <w:szCs w:val="18"/>
                    </w:rPr>
                    <w:t xml:space="preserve">Kunst uit </w:t>
                  </w:r>
                  <w:proofErr w:type="spellStart"/>
                  <w:r w:rsidRPr="00A10AC0">
                    <w:rPr>
                      <w:rFonts w:ascii="Verdana" w:hAnsi="Verdana"/>
                      <w:b w:val="0"/>
                      <w:bCs w:val="0"/>
                      <w:sz w:val="18"/>
                      <w:szCs w:val="18"/>
                    </w:rPr>
                    <w:t>BoTu</w:t>
                  </w:r>
                  <w:proofErr w:type="spellEnd"/>
                </w:p>
              </w:tc>
              <w:tc>
                <w:tcPr>
                  <w:tcW w:w="2566" w:type="dxa"/>
                </w:tcPr>
                <w:p w:rsidRPr="00A10AC0" w:rsidR="008716C0" w:rsidP="00A10AC0" w:rsidRDefault="008716C0" w14:paraId="0239180F" w14:textId="77777777">
                  <w:pPr>
                    <w:spacing w:line="276" w:lineRule="auto"/>
                    <w:ind w:left="38"/>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10AC0">
                    <w:rPr>
                      <w:rFonts w:ascii="Verdana" w:hAnsi="Verdana"/>
                      <w:sz w:val="18"/>
                      <w:szCs w:val="18"/>
                    </w:rPr>
                    <w:t>72</w:t>
                  </w:r>
                </w:p>
              </w:tc>
            </w:tr>
            <w:tr w:rsidRPr="00A10AC0" w:rsidR="008716C0" w:rsidTr="00E40903" w14:paraId="14004475" w14:textId="77777777">
              <w:tc>
                <w:tcPr>
                  <w:cnfStyle w:val="001000000000" w:firstRow="0" w:lastRow="0" w:firstColumn="1" w:lastColumn="0" w:oddVBand="0" w:evenVBand="0" w:oddHBand="0" w:evenHBand="0" w:firstRowFirstColumn="0" w:firstRowLastColumn="0" w:lastRowFirstColumn="0" w:lastRowLastColumn="0"/>
                  <w:tcW w:w="5099" w:type="dxa"/>
                </w:tcPr>
                <w:p w:rsidRPr="00A10AC0" w:rsidR="008716C0" w:rsidP="00A10AC0" w:rsidRDefault="008716C0" w14:paraId="7718AC1E" w14:textId="77777777">
                  <w:pPr>
                    <w:spacing w:line="276" w:lineRule="auto"/>
                    <w:rPr>
                      <w:rFonts w:ascii="Verdana" w:hAnsi="Verdana"/>
                      <w:b w:val="0"/>
                      <w:bCs w:val="0"/>
                      <w:sz w:val="18"/>
                      <w:szCs w:val="18"/>
                    </w:rPr>
                  </w:pPr>
                  <w:r w:rsidRPr="00A10AC0">
                    <w:rPr>
                      <w:rFonts w:ascii="Verdana" w:hAnsi="Verdana"/>
                      <w:b w:val="0"/>
                      <w:bCs w:val="0"/>
                      <w:sz w:val="18"/>
                      <w:szCs w:val="18"/>
                    </w:rPr>
                    <w:t>Creatief ontwerpen en mentale veerkracht</w:t>
                  </w:r>
                </w:p>
              </w:tc>
              <w:tc>
                <w:tcPr>
                  <w:tcW w:w="2566" w:type="dxa"/>
                </w:tcPr>
                <w:p w:rsidRPr="00A10AC0" w:rsidR="008716C0" w:rsidP="00A10AC0" w:rsidRDefault="008716C0" w14:paraId="088FE992" w14:textId="77777777">
                  <w:pPr>
                    <w:spacing w:line="276" w:lineRule="auto"/>
                    <w:ind w:left="38"/>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10AC0">
                    <w:rPr>
                      <w:rFonts w:ascii="Verdana" w:hAnsi="Verdana"/>
                      <w:sz w:val="18"/>
                      <w:szCs w:val="18"/>
                    </w:rPr>
                    <w:t>20</w:t>
                  </w:r>
                </w:p>
              </w:tc>
            </w:tr>
            <w:tr w:rsidRPr="00A10AC0" w:rsidR="008716C0" w:rsidTr="00E40903" w14:paraId="606F38C8" w14:textId="77777777">
              <w:tc>
                <w:tcPr>
                  <w:cnfStyle w:val="001000000000" w:firstRow="0" w:lastRow="0" w:firstColumn="1" w:lastColumn="0" w:oddVBand="0" w:evenVBand="0" w:oddHBand="0" w:evenHBand="0" w:firstRowFirstColumn="0" w:firstRowLastColumn="0" w:lastRowFirstColumn="0" w:lastRowLastColumn="0"/>
                  <w:tcW w:w="5099" w:type="dxa"/>
                </w:tcPr>
                <w:p w:rsidRPr="00A10AC0" w:rsidR="008716C0" w:rsidP="00A10AC0" w:rsidRDefault="008716C0" w14:paraId="694EFBBE" w14:textId="77777777">
                  <w:pPr>
                    <w:spacing w:line="276" w:lineRule="auto"/>
                    <w:rPr>
                      <w:rFonts w:ascii="Verdana" w:hAnsi="Verdana"/>
                      <w:b w:val="0"/>
                      <w:bCs w:val="0"/>
                      <w:sz w:val="18"/>
                      <w:szCs w:val="18"/>
                    </w:rPr>
                  </w:pPr>
                  <w:r w:rsidRPr="00A10AC0">
                    <w:rPr>
                      <w:rFonts w:ascii="Verdana" w:hAnsi="Verdana"/>
                      <w:b w:val="0"/>
                      <w:bCs w:val="0"/>
                      <w:sz w:val="18"/>
                      <w:szCs w:val="18"/>
                    </w:rPr>
                    <w:t>Ik Word Gezien</w:t>
                  </w:r>
                </w:p>
              </w:tc>
              <w:tc>
                <w:tcPr>
                  <w:tcW w:w="2566" w:type="dxa"/>
                </w:tcPr>
                <w:p w:rsidRPr="00A10AC0" w:rsidR="008716C0" w:rsidP="00A10AC0" w:rsidRDefault="008716C0" w14:paraId="161C8D8E" w14:textId="77777777">
                  <w:pPr>
                    <w:spacing w:line="276" w:lineRule="auto"/>
                    <w:ind w:left="38"/>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10AC0">
                    <w:rPr>
                      <w:rFonts w:ascii="Verdana" w:hAnsi="Verdana"/>
                      <w:sz w:val="18"/>
                      <w:szCs w:val="18"/>
                    </w:rPr>
                    <w:t>24</w:t>
                  </w:r>
                </w:p>
              </w:tc>
            </w:tr>
            <w:tr w:rsidRPr="00A10AC0" w:rsidR="008716C0" w:rsidTr="00E40903" w14:paraId="11FD7CB1" w14:textId="77777777">
              <w:tc>
                <w:tcPr>
                  <w:cnfStyle w:val="001000000000" w:firstRow="0" w:lastRow="0" w:firstColumn="1" w:lastColumn="0" w:oddVBand="0" w:evenVBand="0" w:oddHBand="0" w:evenHBand="0" w:firstRowFirstColumn="0" w:firstRowLastColumn="0" w:lastRowFirstColumn="0" w:lastRowLastColumn="0"/>
                  <w:tcW w:w="5099" w:type="dxa"/>
                </w:tcPr>
                <w:p w:rsidRPr="00A10AC0" w:rsidR="008716C0" w:rsidP="00A10AC0" w:rsidRDefault="008716C0" w14:paraId="25E23357" w14:textId="77777777">
                  <w:pPr>
                    <w:spacing w:line="276" w:lineRule="auto"/>
                    <w:rPr>
                      <w:rFonts w:ascii="Verdana" w:hAnsi="Verdana"/>
                      <w:b w:val="0"/>
                      <w:bCs w:val="0"/>
                      <w:sz w:val="18"/>
                      <w:szCs w:val="18"/>
                    </w:rPr>
                  </w:pPr>
                  <w:r w:rsidRPr="00A10AC0">
                    <w:rPr>
                      <w:rFonts w:ascii="Verdana" w:hAnsi="Verdana"/>
                      <w:b w:val="0"/>
                      <w:bCs w:val="0"/>
                      <w:sz w:val="18"/>
                      <w:szCs w:val="18"/>
                    </w:rPr>
                    <w:t>Erkenning en Herstel voor gedupeerde jongeren: Betekenisvolle Participatie Onafhankelijk Jongerenpanel Toeslagen</w:t>
                  </w:r>
                </w:p>
              </w:tc>
              <w:tc>
                <w:tcPr>
                  <w:tcW w:w="2566" w:type="dxa"/>
                </w:tcPr>
                <w:p w:rsidRPr="00A10AC0" w:rsidR="008716C0" w:rsidP="00A10AC0" w:rsidRDefault="008716C0" w14:paraId="71D84C8C" w14:textId="77777777">
                  <w:pPr>
                    <w:spacing w:line="276" w:lineRule="auto"/>
                    <w:ind w:left="38"/>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10AC0">
                    <w:rPr>
                      <w:rFonts w:ascii="Verdana" w:hAnsi="Verdana"/>
                      <w:sz w:val="18"/>
                      <w:szCs w:val="18"/>
                    </w:rPr>
                    <w:t>75</w:t>
                  </w:r>
                </w:p>
              </w:tc>
            </w:tr>
          </w:tbl>
          <w:p w:rsidRPr="00A10AC0" w:rsidR="008716C0" w:rsidP="00A10AC0" w:rsidRDefault="008716C0" w14:paraId="67A9345C" w14:textId="77777777">
            <w:pPr>
              <w:spacing w:line="276" w:lineRule="auto"/>
              <w:ind w:right="283"/>
              <w:rPr>
                <w:rFonts w:ascii="Verdana" w:hAnsi="Verdana" w:eastAsia="Calibri" w:cs="Calibri"/>
                <w:sz w:val="18"/>
                <w:szCs w:val="18"/>
              </w:rPr>
            </w:pPr>
          </w:p>
          <w:p w:rsidRPr="00A10AC0" w:rsidR="008716C0" w:rsidP="00A10AC0" w:rsidRDefault="008716C0" w14:paraId="5DCCF7FA" w14:textId="77777777">
            <w:pPr>
              <w:spacing w:line="276" w:lineRule="auto"/>
              <w:ind w:right="283"/>
              <w:rPr>
                <w:rFonts w:ascii="Verdana" w:hAnsi="Verdana"/>
                <w:sz w:val="18"/>
                <w:szCs w:val="18"/>
              </w:rPr>
            </w:pPr>
          </w:p>
        </w:tc>
      </w:tr>
      <w:tr w:rsidRPr="00A10AC0" w:rsidR="008716C0" w:rsidTr="00A10AC0" w14:paraId="5FDADBB8" w14:textId="1B52188D">
        <w:tc>
          <w:tcPr>
            <w:tcW w:w="568" w:type="dxa"/>
          </w:tcPr>
          <w:p w:rsidRPr="00A10AC0" w:rsidR="008716C0" w:rsidP="00A10AC0" w:rsidRDefault="008716C0" w14:paraId="25FC8DB5" w14:textId="77777777">
            <w:pPr>
              <w:spacing w:line="276" w:lineRule="auto"/>
              <w:rPr>
                <w:rFonts w:ascii="Verdana" w:hAnsi="Verdana"/>
                <w:b/>
                <w:bCs/>
                <w:sz w:val="18"/>
                <w:szCs w:val="18"/>
              </w:rPr>
            </w:pPr>
            <w:r w:rsidRPr="00A10AC0">
              <w:rPr>
                <w:rFonts w:ascii="Verdana" w:hAnsi="Verdana"/>
                <w:b/>
                <w:bCs/>
                <w:sz w:val="18"/>
                <w:szCs w:val="18"/>
              </w:rPr>
              <w:lastRenderedPageBreak/>
              <w:t>28</w:t>
            </w:r>
          </w:p>
        </w:tc>
        <w:tc>
          <w:tcPr>
            <w:tcW w:w="4677" w:type="dxa"/>
          </w:tcPr>
          <w:p w:rsidRPr="00A10AC0" w:rsidR="008716C0" w:rsidP="00A10AC0" w:rsidRDefault="008716C0" w14:paraId="64D52434" w14:textId="4AC92AD4">
            <w:pPr>
              <w:spacing w:line="276" w:lineRule="auto"/>
              <w:rPr>
                <w:rFonts w:ascii="Verdana" w:hAnsi="Verdana"/>
                <w:sz w:val="18"/>
                <w:szCs w:val="18"/>
              </w:rPr>
            </w:pPr>
            <w:r w:rsidRPr="00A10AC0">
              <w:rPr>
                <w:rFonts w:ascii="Verdana" w:hAnsi="Verdana"/>
                <w:sz w:val="18"/>
                <w:szCs w:val="18"/>
              </w:rPr>
              <w:t>Welke vormen van ondersteuning voor emotioneel herstel zijn het meest effectief gebleken?</w:t>
            </w:r>
          </w:p>
        </w:tc>
        <w:tc>
          <w:tcPr>
            <w:tcW w:w="284" w:type="dxa"/>
          </w:tcPr>
          <w:p w:rsidRPr="00A10AC0" w:rsidR="008716C0" w:rsidP="00A10AC0" w:rsidRDefault="008716C0" w14:paraId="3E3810B0" w14:textId="77777777">
            <w:pPr>
              <w:spacing w:line="276" w:lineRule="auto"/>
              <w:rPr>
                <w:rFonts w:ascii="Verdana" w:hAnsi="Verdana"/>
                <w:sz w:val="18"/>
                <w:szCs w:val="18"/>
              </w:rPr>
            </w:pPr>
          </w:p>
        </w:tc>
        <w:tc>
          <w:tcPr>
            <w:tcW w:w="8930" w:type="dxa"/>
          </w:tcPr>
          <w:p w:rsidRPr="00A10AC0" w:rsidR="008716C0" w:rsidP="00A10AC0" w:rsidRDefault="008716C0" w14:paraId="19DE5441" w14:textId="0BD9D11E">
            <w:pPr>
              <w:spacing w:line="276" w:lineRule="auto"/>
              <w:rPr>
                <w:rFonts w:ascii="Verdana" w:hAnsi="Verdana"/>
                <w:sz w:val="18"/>
                <w:szCs w:val="18"/>
              </w:rPr>
            </w:pPr>
            <w:bookmarkStart w:name="_Hlk192853410" w:id="0"/>
            <w:r w:rsidRPr="00A10AC0">
              <w:rPr>
                <w:rFonts w:ascii="Verdana" w:hAnsi="Verdana"/>
                <w:sz w:val="18"/>
                <w:szCs w:val="18"/>
              </w:rPr>
              <w:t>Er kan niet in algemene zin worden gesproken van ‘een meest effectieve vorm van ondersteuning op het gebied van emotioneel herstel’, omdat emotioneel herstel een zeer persoonlijk proces is dat lang kan duren, en niet lineair verloopt.</w:t>
            </w:r>
          </w:p>
          <w:p w:rsidRPr="00A10AC0" w:rsidR="008716C0" w:rsidP="00A10AC0" w:rsidRDefault="008716C0" w14:paraId="2B18B0EE" w14:textId="77777777">
            <w:pPr>
              <w:spacing w:line="276" w:lineRule="auto"/>
              <w:rPr>
                <w:rFonts w:ascii="Verdana" w:hAnsi="Verdana"/>
                <w:sz w:val="18"/>
                <w:szCs w:val="18"/>
              </w:rPr>
            </w:pPr>
          </w:p>
          <w:p w:rsidR="008716C0" w:rsidP="00A10AC0" w:rsidRDefault="008716C0" w14:paraId="690C8872" w14:textId="52DED208">
            <w:pPr>
              <w:spacing w:line="276" w:lineRule="auto"/>
              <w:rPr>
                <w:rFonts w:ascii="Verdana" w:hAnsi="Verdana"/>
                <w:sz w:val="18"/>
                <w:szCs w:val="18"/>
              </w:rPr>
            </w:pPr>
            <w:r w:rsidRPr="00A10AC0">
              <w:rPr>
                <w:rFonts w:ascii="Verdana" w:hAnsi="Verdana"/>
                <w:sz w:val="18"/>
                <w:szCs w:val="18"/>
              </w:rPr>
              <w:t xml:space="preserve">Volgens deskundigen zijn naast het individuele herstel, gelijkwaardige participatie en responsief gedrag van de overheid essentieel voor emotioneel herstel. </w:t>
            </w:r>
            <w:r w:rsidR="009F1E33">
              <w:rPr>
                <w:rFonts w:ascii="Verdana" w:hAnsi="Verdana"/>
                <w:sz w:val="18"/>
                <w:szCs w:val="18"/>
              </w:rPr>
              <w:t>Uit gesprekken met ouders</w:t>
            </w:r>
            <w:r w:rsidRPr="00A10AC0">
              <w:rPr>
                <w:rFonts w:ascii="Verdana" w:hAnsi="Verdana"/>
                <w:sz w:val="18"/>
                <w:szCs w:val="18"/>
              </w:rPr>
              <w:t xml:space="preserve"> komen de volgende behoeften duidelijk naar voren: laagdrempelig contact en bijeenkomsten met lotgenoten, ondersteuning op het gebied van mentale gezondheid en traumaverwerking en ondersteuning op psychosociaal vlak door ervaringsdeskundigen.</w:t>
            </w:r>
          </w:p>
          <w:p w:rsidRPr="00A10AC0" w:rsidR="00033056" w:rsidP="00A10AC0" w:rsidRDefault="00033056" w14:paraId="26BD4F36" w14:textId="77777777">
            <w:pPr>
              <w:spacing w:line="276" w:lineRule="auto"/>
              <w:rPr>
                <w:rFonts w:ascii="Verdana" w:hAnsi="Verdana"/>
                <w:sz w:val="18"/>
                <w:szCs w:val="18"/>
              </w:rPr>
            </w:pPr>
          </w:p>
          <w:p w:rsidR="008716C0" w:rsidP="007E57FB" w:rsidRDefault="008716C0" w14:paraId="46964894" w14:textId="77777777">
            <w:pPr>
              <w:spacing w:line="276" w:lineRule="auto"/>
              <w:rPr>
                <w:rFonts w:ascii="Verdana" w:hAnsi="Verdana"/>
                <w:sz w:val="18"/>
                <w:szCs w:val="18"/>
              </w:rPr>
            </w:pPr>
            <w:r w:rsidRPr="00A10AC0">
              <w:rPr>
                <w:rFonts w:ascii="Verdana" w:hAnsi="Verdana"/>
                <w:sz w:val="18"/>
                <w:szCs w:val="18"/>
              </w:rPr>
              <w:lastRenderedPageBreak/>
              <w:t>Binnen de hersteloperatie wordt op verschillende manieren vormgegeven aan de ondersteuning bij emotioneel herstel</w:t>
            </w:r>
            <w:r w:rsidR="00B177BB">
              <w:rPr>
                <w:rFonts w:ascii="Verdana" w:hAnsi="Verdana"/>
                <w:sz w:val="18"/>
                <w:szCs w:val="18"/>
              </w:rPr>
              <w:t xml:space="preserve"> (zie vraag 27)</w:t>
            </w:r>
            <w:r w:rsidR="009F1E33">
              <w:rPr>
                <w:rFonts w:ascii="Verdana" w:hAnsi="Verdana"/>
                <w:sz w:val="18"/>
                <w:szCs w:val="18"/>
              </w:rPr>
              <w:t>, waarbij de bovenstaande behoeften</w:t>
            </w:r>
            <w:r w:rsidRPr="00A10AC0">
              <w:rPr>
                <w:rFonts w:ascii="Verdana" w:hAnsi="Verdana"/>
                <w:sz w:val="18"/>
                <w:szCs w:val="18"/>
              </w:rPr>
              <w:t xml:space="preserve"> </w:t>
            </w:r>
            <w:r w:rsidR="009F1E33">
              <w:rPr>
                <w:rFonts w:ascii="Verdana" w:hAnsi="Verdana"/>
                <w:sz w:val="18"/>
                <w:szCs w:val="18"/>
              </w:rPr>
              <w:t>centraal staan</w:t>
            </w:r>
            <w:r w:rsidRPr="00A10AC0">
              <w:rPr>
                <w:rFonts w:ascii="Verdana" w:hAnsi="Verdana"/>
                <w:sz w:val="18"/>
                <w:szCs w:val="18"/>
              </w:rPr>
              <w:t xml:space="preserve">. </w:t>
            </w:r>
            <w:bookmarkEnd w:id="0"/>
          </w:p>
          <w:p w:rsidRPr="00A10AC0" w:rsidR="00033056" w:rsidP="00033056" w:rsidRDefault="00033056" w14:paraId="37848DD3" w14:textId="2F3071EF">
            <w:pPr>
              <w:spacing w:line="276" w:lineRule="auto"/>
              <w:rPr>
                <w:rFonts w:ascii="Verdana" w:hAnsi="Verdana"/>
                <w:sz w:val="18"/>
                <w:szCs w:val="18"/>
              </w:rPr>
            </w:pPr>
          </w:p>
        </w:tc>
      </w:tr>
      <w:tr w:rsidRPr="00A10AC0" w:rsidR="008716C0" w:rsidTr="00A10AC0" w14:paraId="201C3DF2" w14:textId="73419EC2">
        <w:tc>
          <w:tcPr>
            <w:tcW w:w="568" w:type="dxa"/>
          </w:tcPr>
          <w:p w:rsidRPr="00A10AC0" w:rsidR="008716C0" w:rsidP="00A10AC0" w:rsidRDefault="008716C0" w14:paraId="6A2C1335" w14:textId="77777777">
            <w:pPr>
              <w:spacing w:line="276" w:lineRule="auto"/>
              <w:rPr>
                <w:rFonts w:ascii="Verdana" w:hAnsi="Verdana"/>
                <w:b/>
                <w:bCs/>
                <w:sz w:val="18"/>
                <w:szCs w:val="18"/>
              </w:rPr>
            </w:pPr>
            <w:r w:rsidRPr="00A10AC0">
              <w:rPr>
                <w:rFonts w:ascii="Verdana" w:hAnsi="Verdana"/>
                <w:b/>
                <w:bCs/>
                <w:sz w:val="18"/>
                <w:szCs w:val="18"/>
              </w:rPr>
              <w:lastRenderedPageBreak/>
              <w:t>29</w:t>
            </w:r>
          </w:p>
        </w:tc>
        <w:tc>
          <w:tcPr>
            <w:tcW w:w="4677" w:type="dxa"/>
          </w:tcPr>
          <w:p w:rsidRPr="00A10AC0" w:rsidR="008716C0" w:rsidP="00A10AC0" w:rsidRDefault="008716C0" w14:paraId="37E9D1A3" w14:textId="5B848BAC">
            <w:pPr>
              <w:spacing w:line="276" w:lineRule="auto"/>
              <w:rPr>
                <w:rFonts w:ascii="Verdana" w:hAnsi="Verdana"/>
                <w:sz w:val="18"/>
                <w:szCs w:val="18"/>
              </w:rPr>
            </w:pPr>
            <w:r w:rsidRPr="00A10AC0">
              <w:rPr>
                <w:rFonts w:ascii="Verdana" w:hAnsi="Verdana"/>
                <w:sz w:val="18"/>
                <w:szCs w:val="18"/>
              </w:rPr>
              <w:t>Waarom is de hoogte van de kindregeling afhankelijk van de leeftijd van het kind?</w:t>
            </w:r>
          </w:p>
        </w:tc>
        <w:tc>
          <w:tcPr>
            <w:tcW w:w="284" w:type="dxa"/>
          </w:tcPr>
          <w:p w:rsidRPr="00A10AC0" w:rsidR="008716C0" w:rsidP="00A10AC0" w:rsidRDefault="008716C0" w14:paraId="79C5FCAD" w14:textId="77777777">
            <w:pPr>
              <w:spacing w:line="276" w:lineRule="auto"/>
              <w:rPr>
                <w:rFonts w:ascii="Verdana" w:hAnsi="Verdana"/>
                <w:sz w:val="18"/>
                <w:szCs w:val="18"/>
              </w:rPr>
            </w:pPr>
          </w:p>
        </w:tc>
        <w:tc>
          <w:tcPr>
            <w:tcW w:w="8930" w:type="dxa"/>
          </w:tcPr>
          <w:p w:rsidRPr="00A10AC0" w:rsidR="008716C0" w:rsidP="00A10AC0" w:rsidRDefault="008716C0" w14:paraId="162BDED2" w14:textId="07E510E6">
            <w:pPr>
              <w:spacing w:line="276" w:lineRule="auto"/>
              <w:rPr>
                <w:rFonts w:ascii="Verdana" w:hAnsi="Verdana"/>
                <w:sz w:val="18"/>
                <w:szCs w:val="18"/>
              </w:rPr>
            </w:pPr>
            <w:r w:rsidRPr="00A10AC0">
              <w:rPr>
                <w:rFonts w:ascii="Verdana" w:hAnsi="Verdana"/>
                <w:sz w:val="18"/>
                <w:szCs w:val="18"/>
              </w:rPr>
              <w:t xml:space="preserve">De hoogte van de Kindregeling is gebaseerd op het advies van getroffen kinderen in het rapport Leven op de rit van de </w:t>
            </w:r>
            <w:proofErr w:type="spellStart"/>
            <w:r w:rsidRPr="00A10AC0">
              <w:rPr>
                <w:rFonts w:ascii="Verdana" w:hAnsi="Verdana"/>
                <w:sz w:val="18"/>
                <w:szCs w:val="18"/>
              </w:rPr>
              <w:t>Number</w:t>
            </w:r>
            <w:proofErr w:type="spellEnd"/>
            <w:r w:rsidRPr="00A10AC0">
              <w:rPr>
                <w:rFonts w:ascii="Verdana" w:hAnsi="Verdana"/>
                <w:sz w:val="18"/>
                <w:szCs w:val="18"/>
              </w:rPr>
              <w:t xml:space="preserve"> 5 Foundation. Uit de dialoog met kinderen en jongeren bleek dat zij het belangrijk vinden dat de bedragen rechtvaardig voelen en aansluiten bij hun leeftijdsfase. Daarom zijn er verschillende leeftijdscategorieën vastgesteld, met bedragen die passen bij de ontwikkelingsfase en behoeften per groep, en niet op basis van de mate van geleden leed.</w:t>
            </w:r>
          </w:p>
          <w:p w:rsidRPr="00A10AC0" w:rsidR="008716C0" w:rsidP="00A10AC0" w:rsidRDefault="008716C0" w14:paraId="377460C7" w14:textId="77777777">
            <w:pPr>
              <w:spacing w:line="276" w:lineRule="auto"/>
              <w:ind w:right="283"/>
              <w:rPr>
                <w:rFonts w:ascii="Verdana" w:hAnsi="Verdana"/>
                <w:sz w:val="18"/>
                <w:szCs w:val="18"/>
              </w:rPr>
            </w:pPr>
          </w:p>
        </w:tc>
      </w:tr>
      <w:tr w:rsidRPr="00A10AC0" w:rsidR="008716C0" w:rsidTr="00A10AC0" w14:paraId="42488AB7" w14:textId="06B18624">
        <w:tc>
          <w:tcPr>
            <w:tcW w:w="568" w:type="dxa"/>
          </w:tcPr>
          <w:p w:rsidRPr="00A10AC0" w:rsidR="008716C0" w:rsidP="00A10AC0" w:rsidRDefault="008716C0" w14:paraId="76813DAF" w14:textId="77777777">
            <w:pPr>
              <w:spacing w:line="276" w:lineRule="auto"/>
              <w:rPr>
                <w:rFonts w:ascii="Verdana" w:hAnsi="Verdana"/>
                <w:b/>
                <w:bCs/>
                <w:sz w:val="18"/>
                <w:szCs w:val="18"/>
              </w:rPr>
            </w:pPr>
            <w:r w:rsidRPr="00A10AC0">
              <w:rPr>
                <w:rFonts w:ascii="Verdana" w:hAnsi="Verdana"/>
                <w:b/>
                <w:bCs/>
                <w:sz w:val="18"/>
                <w:szCs w:val="18"/>
              </w:rPr>
              <w:t>30</w:t>
            </w:r>
          </w:p>
        </w:tc>
        <w:tc>
          <w:tcPr>
            <w:tcW w:w="4677" w:type="dxa"/>
          </w:tcPr>
          <w:p w:rsidRPr="00A10AC0" w:rsidR="008716C0" w:rsidP="00A10AC0" w:rsidRDefault="008716C0" w14:paraId="57285B6F" w14:textId="0A311088">
            <w:pPr>
              <w:spacing w:line="276" w:lineRule="auto"/>
              <w:rPr>
                <w:rFonts w:ascii="Verdana" w:hAnsi="Verdana"/>
                <w:sz w:val="18"/>
                <w:szCs w:val="18"/>
              </w:rPr>
            </w:pPr>
            <w:r w:rsidRPr="00A10AC0">
              <w:rPr>
                <w:rFonts w:ascii="Verdana" w:hAnsi="Verdana"/>
                <w:sz w:val="18"/>
                <w:szCs w:val="18"/>
              </w:rPr>
              <w:t>Waarom zijn er nog steeds UHT-kinderen die geen beschikking hebben ontvangen, ondanks dat de regeling sinds 1 juli 2023 is ingevoerd?</w:t>
            </w:r>
          </w:p>
        </w:tc>
        <w:tc>
          <w:tcPr>
            <w:tcW w:w="284" w:type="dxa"/>
          </w:tcPr>
          <w:p w:rsidRPr="00A10AC0" w:rsidR="008716C0" w:rsidP="00A10AC0" w:rsidRDefault="008716C0" w14:paraId="09A0A7C1" w14:textId="77777777">
            <w:pPr>
              <w:spacing w:line="276" w:lineRule="auto"/>
              <w:rPr>
                <w:rFonts w:ascii="Verdana" w:hAnsi="Verdana"/>
                <w:sz w:val="18"/>
                <w:szCs w:val="18"/>
              </w:rPr>
            </w:pPr>
          </w:p>
        </w:tc>
        <w:tc>
          <w:tcPr>
            <w:tcW w:w="8930" w:type="dxa"/>
          </w:tcPr>
          <w:p w:rsidR="008716C0" w:rsidP="0063193E" w:rsidRDefault="00B10497" w14:paraId="7E1CE7CD" w14:textId="77777777">
            <w:pPr>
              <w:spacing w:line="276" w:lineRule="auto"/>
              <w:rPr>
                <w:rFonts w:ascii="Verdana" w:hAnsi="Verdana"/>
                <w:sz w:val="18"/>
                <w:szCs w:val="18"/>
              </w:rPr>
            </w:pPr>
            <w:r w:rsidRPr="00A10AC0">
              <w:rPr>
                <w:rFonts w:ascii="Verdana" w:hAnsi="Verdana"/>
                <w:sz w:val="18"/>
                <w:szCs w:val="18"/>
              </w:rPr>
              <w:t xml:space="preserve">Er worden nog integrale beoordelingen afgerond en ouders als gedupeerde erkend. Zolang er nieuwe gedupeerden worden erkend komen er ook rechthebbende kinderen bij die nog een beschikking moeten ontvangen. </w:t>
            </w:r>
          </w:p>
          <w:p w:rsidRPr="00A10AC0" w:rsidR="002900BD" w:rsidP="0063193E" w:rsidRDefault="002900BD" w14:paraId="6373D05E" w14:textId="7FC847D1">
            <w:pPr>
              <w:spacing w:line="276" w:lineRule="auto"/>
              <w:rPr>
                <w:rFonts w:ascii="Verdana" w:hAnsi="Verdana"/>
                <w:sz w:val="18"/>
                <w:szCs w:val="18"/>
              </w:rPr>
            </w:pPr>
          </w:p>
        </w:tc>
      </w:tr>
      <w:tr w:rsidRPr="00A10AC0" w:rsidR="008716C0" w:rsidTr="00A10AC0" w14:paraId="6624E247" w14:textId="6D0D9650">
        <w:tc>
          <w:tcPr>
            <w:tcW w:w="568" w:type="dxa"/>
          </w:tcPr>
          <w:p w:rsidRPr="00A10AC0" w:rsidR="008716C0" w:rsidP="00A10AC0" w:rsidRDefault="008716C0" w14:paraId="73FE5CB4" w14:textId="77777777">
            <w:pPr>
              <w:spacing w:line="276" w:lineRule="auto"/>
              <w:rPr>
                <w:rFonts w:ascii="Verdana" w:hAnsi="Verdana"/>
                <w:b/>
                <w:bCs/>
                <w:sz w:val="18"/>
                <w:szCs w:val="18"/>
              </w:rPr>
            </w:pPr>
            <w:r w:rsidRPr="00A10AC0">
              <w:rPr>
                <w:rFonts w:ascii="Verdana" w:hAnsi="Verdana"/>
                <w:b/>
                <w:bCs/>
                <w:sz w:val="18"/>
                <w:szCs w:val="18"/>
              </w:rPr>
              <w:t>31</w:t>
            </w:r>
          </w:p>
        </w:tc>
        <w:tc>
          <w:tcPr>
            <w:tcW w:w="4677" w:type="dxa"/>
          </w:tcPr>
          <w:p w:rsidRPr="00A10AC0" w:rsidR="008716C0" w:rsidP="00A10AC0" w:rsidRDefault="008716C0" w14:paraId="00375783" w14:textId="33197EFA">
            <w:pPr>
              <w:spacing w:line="276" w:lineRule="auto"/>
              <w:rPr>
                <w:rFonts w:ascii="Verdana" w:hAnsi="Verdana"/>
                <w:sz w:val="18"/>
                <w:szCs w:val="18"/>
              </w:rPr>
            </w:pPr>
            <w:r w:rsidRPr="00A10AC0">
              <w:rPr>
                <w:rFonts w:ascii="Verdana" w:hAnsi="Verdana"/>
                <w:sz w:val="18"/>
                <w:szCs w:val="18"/>
              </w:rPr>
              <w:t>Is 10.000 euro voldoende om de werkelijke schade van UHT-kinderen te dekken?</w:t>
            </w:r>
          </w:p>
        </w:tc>
        <w:tc>
          <w:tcPr>
            <w:tcW w:w="284" w:type="dxa"/>
          </w:tcPr>
          <w:p w:rsidRPr="00A10AC0" w:rsidR="008716C0" w:rsidP="00A10AC0" w:rsidRDefault="008716C0" w14:paraId="69C8FA58" w14:textId="77777777">
            <w:pPr>
              <w:spacing w:line="276" w:lineRule="auto"/>
              <w:ind w:right="283"/>
              <w:rPr>
                <w:rFonts w:ascii="Verdana" w:hAnsi="Verdana"/>
                <w:sz w:val="18"/>
                <w:szCs w:val="18"/>
              </w:rPr>
            </w:pPr>
          </w:p>
        </w:tc>
        <w:tc>
          <w:tcPr>
            <w:tcW w:w="8930" w:type="dxa"/>
          </w:tcPr>
          <w:p w:rsidRPr="002251BD" w:rsidR="002251BD" w:rsidP="002251BD" w:rsidRDefault="002251BD" w14:paraId="5EE3E0E1" w14:textId="77777777">
            <w:pPr>
              <w:spacing w:line="276" w:lineRule="auto"/>
              <w:ind w:right="283"/>
              <w:rPr>
                <w:rFonts w:ascii="Verdana" w:hAnsi="Verdana"/>
                <w:sz w:val="18"/>
                <w:szCs w:val="18"/>
              </w:rPr>
            </w:pPr>
            <w:r w:rsidRPr="002251BD">
              <w:rPr>
                <w:rFonts w:ascii="Verdana" w:hAnsi="Verdana"/>
                <w:sz w:val="18"/>
                <w:szCs w:val="18"/>
              </w:rPr>
              <w:t xml:space="preserve">De Kindregeling is tot stand gekomen op advies van de kinderen en jongeren. De regeling is bedoeld als een steun in de rug om hen te helpen bij het opbouwen van hun toekomst. Zoals ook in de Memorie van Toelichting bij de Wet Hersteloperatie Toeslagen is opgenomen, erkent het kabinet dat geen geldbedrag de geleden schade volledig kan compenseren. Daarom is het advies van de kinderen en jongeren opgevolgd om te komen tot een financiële tegemoetkoming per leeftijdscategorie. De kinderen en jongeren gaven daarnaast aan dat er ook behoefte is aan langjarige ondersteuning op het terrein van ontwikkelkansen, traumaverwerking, schulden en huisvesting. Om deze reden wordt de kindregeling geflankeerd door breed ondersteunend beleid, </w:t>
            </w:r>
            <w:proofErr w:type="gramStart"/>
            <w:r w:rsidRPr="002251BD">
              <w:rPr>
                <w:rFonts w:ascii="Verdana" w:hAnsi="Verdana"/>
                <w:sz w:val="18"/>
                <w:szCs w:val="18"/>
              </w:rPr>
              <w:t>waaronder  brede</w:t>
            </w:r>
            <w:proofErr w:type="gramEnd"/>
            <w:r w:rsidRPr="002251BD">
              <w:rPr>
                <w:rFonts w:ascii="Verdana" w:hAnsi="Verdana"/>
                <w:sz w:val="18"/>
                <w:szCs w:val="18"/>
              </w:rPr>
              <w:t xml:space="preserve"> ondersteuning door hun gemeente, aanvullend schuldhulpverleningsaanbod en divers ondersteunend aanbod.</w:t>
            </w:r>
          </w:p>
          <w:p w:rsidRPr="00A10AC0" w:rsidR="002A278C" w:rsidP="00A10AC0" w:rsidRDefault="002A278C" w14:paraId="3D4C780B" w14:textId="13A2E69F">
            <w:pPr>
              <w:spacing w:line="276" w:lineRule="auto"/>
              <w:ind w:right="283"/>
              <w:rPr>
                <w:rFonts w:ascii="Verdana" w:hAnsi="Verdana"/>
                <w:sz w:val="18"/>
                <w:szCs w:val="18"/>
              </w:rPr>
            </w:pPr>
          </w:p>
        </w:tc>
      </w:tr>
      <w:tr w:rsidRPr="00A10AC0" w:rsidR="002A278C" w:rsidTr="00A10AC0" w14:paraId="79EB0508" w14:textId="77777777">
        <w:tc>
          <w:tcPr>
            <w:tcW w:w="568" w:type="dxa"/>
          </w:tcPr>
          <w:p w:rsidRPr="00A10AC0" w:rsidR="002A278C" w:rsidP="00A10AC0" w:rsidRDefault="002A278C" w14:paraId="0AE8F10C" w14:textId="37B0E2A4">
            <w:pPr>
              <w:spacing w:line="276" w:lineRule="auto"/>
              <w:rPr>
                <w:rFonts w:ascii="Verdana" w:hAnsi="Verdana"/>
                <w:b/>
                <w:bCs/>
                <w:sz w:val="18"/>
                <w:szCs w:val="18"/>
              </w:rPr>
            </w:pPr>
            <w:r w:rsidRPr="00A10AC0">
              <w:rPr>
                <w:rFonts w:ascii="Verdana" w:hAnsi="Verdana"/>
                <w:b/>
                <w:bCs/>
                <w:sz w:val="18"/>
                <w:szCs w:val="18"/>
              </w:rPr>
              <w:t>32</w:t>
            </w:r>
          </w:p>
        </w:tc>
        <w:tc>
          <w:tcPr>
            <w:tcW w:w="4677" w:type="dxa"/>
          </w:tcPr>
          <w:p w:rsidRPr="00A10AC0" w:rsidR="002A278C" w:rsidP="00A10AC0" w:rsidRDefault="002A278C" w14:paraId="1E92B6F9" w14:textId="77777777">
            <w:pPr>
              <w:spacing w:line="276" w:lineRule="auto"/>
              <w:rPr>
                <w:rFonts w:ascii="Verdana" w:hAnsi="Verdana"/>
                <w:sz w:val="18"/>
                <w:szCs w:val="18"/>
              </w:rPr>
            </w:pPr>
            <w:r w:rsidRPr="00A10AC0">
              <w:rPr>
                <w:rFonts w:ascii="Verdana" w:hAnsi="Verdana"/>
                <w:sz w:val="18"/>
                <w:szCs w:val="18"/>
              </w:rPr>
              <w:t>Is 10.000 euro voldoende om de werkelijke schade van ex-toeslagpartners te dekken?</w:t>
            </w:r>
          </w:p>
          <w:p w:rsidRPr="00A10AC0" w:rsidR="002A278C" w:rsidP="00A10AC0" w:rsidRDefault="002A278C" w14:paraId="257421F8" w14:textId="77777777">
            <w:pPr>
              <w:spacing w:line="276" w:lineRule="auto"/>
              <w:rPr>
                <w:rFonts w:ascii="Verdana" w:hAnsi="Verdana"/>
                <w:sz w:val="18"/>
                <w:szCs w:val="18"/>
              </w:rPr>
            </w:pPr>
          </w:p>
        </w:tc>
        <w:tc>
          <w:tcPr>
            <w:tcW w:w="284" w:type="dxa"/>
          </w:tcPr>
          <w:p w:rsidRPr="00A10AC0" w:rsidR="002A278C" w:rsidP="00A10AC0" w:rsidRDefault="002A278C" w14:paraId="7347DAF1" w14:textId="77777777">
            <w:pPr>
              <w:spacing w:line="276" w:lineRule="auto"/>
              <w:ind w:right="283"/>
              <w:rPr>
                <w:rFonts w:ascii="Verdana" w:hAnsi="Verdana"/>
                <w:sz w:val="18"/>
                <w:szCs w:val="18"/>
              </w:rPr>
            </w:pPr>
          </w:p>
        </w:tc>
        <w:tc>
          <w:tcPr>
            <w:tcW w:w="8930" w:type="dxa"/>
          </w:tcPr>
          <w:p w:rsidR="00D11D20" w:rsidP="00D11D20" w:rsidRDefault="002A278C" w14:paraId="2C487EF1" w14:textId="77777777">
            <w:pPr>
              <w:spacing w:line="276" w:lineRule="auto"/>
              <w:rPr>
                <w:rFonts w:ascii="Verdana" w:hAnsi="Verdana"/>
                <w:sz w:val="18"/>
                <w:szCs w:val="18"/>
              </w:rPr>
            </w:pPr>
            <w:r w:rsidRPr="00A10AC0">
              <w:rPr>
                <w:rFonts w:ascii="Verdana" w:hAnsi="Verdana"/>
                <w:sz w:val="18"/>
                <w:szCs w:val="18"/>
              </w:rPr>
              <w:t>Voor een deel van de ex-toeslagpartners zal een compensatie van €10.000 genoeg zijn en een deel zal meer schade hebben geleden. Voor de ex-toeslagpartners die meer schade hebben geleden is er een aanvullende schaderegeling.</w:t>
            </w:r>
            <w:r w:rsidR="00D11D20">
              <w:rPr>
                <w:rFonts w:ascii="Verdana" w:hAnsi="Verdana"/>
                <w:sz w:val="18"/>
                <w:szCs w:val="18"/>
              </w:rPr>
              <w:t xml:space="preserve"> </w:t>
            </w:r>
          </w:p>
          <w:p w:rsidR="002A278C" w:rsidP="00D11D20" w:rsidRDefault="00D144FE" w14:paraId="5E959DD5" w14:textId="77777777">
            <w:pPr>
              <w:spacing w:line="276" w:lineRule="auto"/>
              <w:rPr>
                <w:rFonts w:ascii="Verdana" w:hAnsi="Verdana"/>
                <w:sz w:val="18"/>
                <w:szCs w:val="18"/>
              </w:rPr>
            </w:pPr>
            <w:r>
              <w:rPr>
                <w:rFonts w:ascii="Verdana" w:hAnsi="Verdana"/>
                <w:sz w:val="18"/>
                <w:szCs w:val="18"/>
              </w:rPr>
              <w:t xml:space="preserve">Schade wordt zoveel als mogelijk bepaald met het gezin als uitgangspunt. </w:t>
            </w:r>
          </w:p>
          <w:p w:rsidRPr="00A10AC0" w:rsidR="002900BD" w:rsidP="00D11D20" w:rsidRDefault="002900BD" w14:paraId="26A74411" w14:textId="30DC56B6">
            <w:pPr>
              <w:spacing w:line="276" w:lineRule="auto"/>
              <w:rPr>
                <w:rFonts w:ascii="Verdana" w:hAnsi="Verdana"/>
                <w:sz w:val="18"/>
                <w:szCs w:val="18"/>
              </w:rPr>
            </w:pPr>
          </w:p>
        </w:tc>
      </w:tr>
      <w:tr w:rsidRPr="00A10AC0" w:rsidR="00377966" w:rsidTr="00A10AC0" w14:paraId="7C2A1832" w14:textId="77777777">
        <w:trPr>
          <w:trHeight w:val="592"/>
        </w:trPr>
        <w:tc>
          <w:tcPr>
            <w:tcW w:w="568" w:type="dxa"/>
          </w:tcPr>
          <w:p w:rsidRPr="00A10AC0" w:rsidR="00377966" w:rsidP="00A10AC0" w:rsidRDefault="00377966" w14:paraId="40618CB7" w14:textId="2718B0BB">
            <w:pPr>
              <w:spacing w:line="276" w:lineRule="auto"/>
              <w:rPr>
                <w:rFonts w:ascii="Verdana" w:hAnsi="Verdana"/>
                <w:b/>
                <w:bCs/>
                <w:sz w:val="18"/>
                <w:szCs w:val="18"/>
              </w:rPr>
            </w:pPr>
            <w:r w:rsidRPr="00A10AC0">
              <w:rPr>
                <w:rFonts w:ascii="Verdana" w:hAnsi="Verdana"/>
                <w:b/>
                <w:bCs/>
                <w:sz w:val="18"/>
                <w:szCs w:val="18"/>
              </w:rPr>
              <w:t>33</w:t>
            </w:r>
          </w:p>
        </w:tc>
        <w:tc>
          <w:tcPr>
            <w:tcW w:w="4677" w:type="dxa"/>
          </w:tcPr>
          <w:p w:rsidRPr="00A10AC0" w:rsidR="00377966" w:rsidP="00A10AC0" w:rsidRDefault="00377966" w14:paraId="5A00D765" w14:textId="77777777">
            <w:pPr>
              <w:spacing w:line="276" w:lineRule="auto"/>
              <w:rPr>
                <w:rFonts w:ascii="Verdana" w:hAnsi="Verdana"/>
                <w:sz w:val="18"/>
                <w:szCs w:val="18"/>
              </w:rPr>
            </w:pPr>
            <w:r w:rsidRPr="00A10AC0">
              <w:rPr>
                <w:rFonts w:ascii="Verdana" w:hAnsi="Verdana"/>
                <w:sz w:val="18"/>
                <w:szCs w:val="18"/>
              </w:rPr>
              <w:t>Waarom is het maximumbedrag voor compensatie op 10.000 euro gesteld?</w:t>
            </w:r>
          </w:p>
          <w:p w:rsidRPr="00A10AC0" w:rsidR="00377966" w:rsidP="00A10AC0" w:rsidRDefault="00377966" w14:paraId="796016ED" w14:textId="0C079ACB">
            <w:pPr>
              <w:spacing w:line="276" w:lineRule="auto"/>
              <w:rPr>
                <w:rFonts w:ascii="Verdana" w:hAnsi="Verdana"/>
                <w:sz w:val="18"/>
                <w:szCs w:val="18"/>
              </w:rPr>
            </w:pPr>
          </w:p>
        </w:tc>
        <w:tc>
          <w:tcPr>
            <w:tcW w:w="284" w:type="dxa"/>
          </w:tcPr>
          <w:p w:rsidRPr="00A10AC0" w:rsidR="00377966" w:rsidP="00A10AC0" w:rsidRDefault="00377966" w14:paraId="765C891E" w14:textId="77777777">
            <w:pPr>
              <w:spacing w:line="276" w:lineRule="auto"/>
              <w:rPr>
                <w:rFonts w:ascii="Verdana" w:hAnsi="Verdana"/>
                <w:sz w:val="18"/>
                <w:szCs w:val="18"/>
              </w:rPr>
            </w:pPr>
          </w:p>
        </w:tc>
        <w:tc>
          <w:tcPr>
            <w:tcW w:w="8930" w:type="dxa"/>
          </w:tcPr>
          <w:p w:rsidRPr="00A10AC0" w:rsidR="00377966" w:rsidP="00A10AC0" w:rsidRDefault="00377966" w14:paraId="57052A06" w14:textId="255C15B4">
            <w:pPr>
              <w:spacing w:line="276" w:lineRule="auto"/>
              <w:rPr>
                <w:rFonts w:ascii="Verdana" w:hAnsi="Verdana"/>
                <w:sz w:val="18"/>
                <w:szCs w:val="18"/>
              </w:rPr>
            </w:pPr>
            <w:r w:rsidRPr="00A10AC0">
              <w:rPr>
                <w:rFonts w:ascii="Verdana" w:hAnsi="Verdana"/>
                <w:sz w:val="18"/>
                <w:szCs w:val="18"/>
              </w:rPr>
              <w:t>Zie antwoord op vraag 32.</w:t>
            </w:r>
          </w:p>
        </w:tc>
      </w:tr>
      <w:tr w:rsidRPr="00A10AC0" w:rsidR="008716C0" w:rsidTr="00A10AC0" w14:paraId="2129D012" w14:textId="2ABAC5FC">
        <w:trPr>
          <w:trHeight w:val="592"/>
        </w:trPr>
        <w:tc>
          <w:tcPr>
            <w:tcW w:w="568" w:type="dxa"/>
          </w:tcPr>
          <w:p w:rsidRPr="00A10AC0" w:rsidR="008716C0" w:rsidP="00A10AC0" w:rsidRDefault="008716C0" w14:paraId="2A444BD3" w14:textId="77777777">
            <w:pPr>
              <w:spacing w:line="276" w:lineRule="auto"/>
              <w:rPr>
                <w:rFonts w:ascii="Verdana" w:hAnsi="Verdana"/>
                <w:b/>
                <w:bCs/>
                <w:sz w:val="18"/>
                <w:szCs w:val="18"/>
              </w:rPr>
            </w:pPr>
            <w:r w:rsidRPr="00A10AC0">
              <w:rPr>
                <w:rFonts w:ascii="Verdana" w:hAnsi="Verdana"/>
                <w:b/>
                <w:bCs/>
                <w:sz w:val="18"/>
                <w:szCs w:val="18"/>
              </w:rPr>
              <w:t>34</w:t>
            </w:r>
          </w:p>
        </w:tc>
        <w:tc>
          <w:tcPr>
            <w:tcW w:w="4677" w:type="dxa"/>
          </w:tcPr>
          <w:p w:rsidRPr="00A10AC0" w:rsidR="008716C0" w:rsidP="00A10AC0" w:rsidRDefault="008716C0" w14:paraId="191DA403" w14:textId="7AE94AFD">
            <w:pPr>
              <w:spacing w:line="276" w:lineRule="auto"/>
              <w:rPr>
                <w:rFonts w:ascii="Verdana" w:hAnsi="Verdana"/>
                <w:sz w:val="18"/>
                <w:szCs w:val="18"/>
              </w:rPr>
            </w:pPr>
            <w:r w:rsidRPr="00A10AC0">
              <w:rPr>
                <w:rFonts w:ascii="Verdana" w:hAnsi="Verdana"/>
                <w:sz w:val="18"/>
                <w:szCs w:val="18"/>
              </w:rPr>
              <w:t>Waarom heeft de mogelijkheid voor ex-toeslagpartners om zelf een aanvraag in te dienen pas in december 2024 effect gehad?</w:t>
            </w:r>
          </w:p>
        </w:tc>
        <w:tc>
          <w:tcPr>
            <w:tcW w:w="284" w:type="dxa"/>
          </w:tcPr>
          <w:p w:rsidRPr="00A10AC0" w:rsidR="008716C0" w:rsidP="00A10AC0" w:rsidRDefault="008716C0" w14:paraId="686C7435" w14:textId="77777777">
            <w:pPr>
              <w:spacing w:line="276" w:lineRule="auto"/>
              <w:rPr>
                <w:rFonts w:ascii="Verdana" w:hAnsi="Verdana"/>
                <w:sz w:val="18"/>
                <w:szCs w:val="18"/>
              </w:rPr>
            </w:pPr>
          </w:p>
        </w:tc>
        <w:tc>
          <w:tcPr>
            <w:tcW w:w="8930" w:type="dxa"/>
          </w:tcPr>
          <w:p w:rsidRPr="00A10AC0" w:rsidR="008716C0" w:rsidP="00A10AC0" w:rsidRDefault="008716C0" w14:paraId="2E4FCE0A" w14:textId="2247A7CE">
            <w:pPr>
              <w:spacing w:line="276" w:lineRule="auto"/>
              <w:rPr>
                <w:rFonts w:ascii="Verdana" w:hAnsi="Verdana"/>
                <w:sz w:val="18"/>
                <w:szCs w:val="18"/>
              </w:rPr>
            </w:pPr>
            <w:r w:rsidRPr="00A10AC0">
              <w:rPr>
                <w:rFonts w:ascii="Verdana" w:hAnsi="Verdana"/>
                <w:sz w:val="18"/>
                <w:szCs w:val="18"/>
              </w:rPr>
              <w:t xml:space="preserve">De Dienst Toeslagen heeft bij de vormgeving van de ex-toeslagpartner regeling aangeven dat zij met de capaciteit die zij tot haar beschikking had de regeling alleen snel in uitvoering kon brengen wanneer er sprake zou zijn van een gefaseerde uitvoering. Dat betekende dat zij eerst de (in haar systemen) bekende ex-toeslagpartners zou uitnodigen om zich aan te melden voor de </w:t>
            </w:r>
            <w:r w:rsidRPr="00A10AC0">
              <w:rPr>
                <w:rFonts w:ascii="Verdana" w:hAnsi="Verdana"/>
                <w:sz w:val="18"/>
                <w:szCs w:val="18"/>
              </w:rPr>
              <w:lastRenderedPageBreak/>
              <w:t>regeling en pas op een later momentruimte had om de aanmeldingen voor zelfmelders te verwerken. Dit knelpunt, dat met name zag op I</w:t>
            </w:r>
            <w:r w:rsidR="00420D08">
              <w:rPr>
                <w:rFonts w:ascii="Verdana" w:hAnsi="Verdana"/>
                <w:sz w:val="18"/>
                <w:szCs w:val="18"/>
              </w:rPr>
              <w:t>CT en informatievoorziening</w:t>
            </w:r>
            <w:r w:rsidRPr="00A10AC0">
              <w:rPr>
                <w:rFonts w:ascii="Verdana" w:hAnsi="Verdana"/>
                <w:sz w:val="18"/>
                <w:szCs w:val="18"/>
              </w:rPr>
              <w:t xml:space="preserve">, heeft ertoe geleid dat de mogelijkheid om zelf een aanvraag in te dienen pas in december 2024 is opengesteld. </w:t>
            </w:r>
          </w:p>
          <w:p w:rsidRPr="00A10AC0" w:rsidR="008716C0" w:rsidP="00A10AC0" w:rsidRDefault="008716C0" w14:paraId="5A4A0B3E" w14:textId="77777777">
            <w:pPr>
              <w:spacing w:line="276" w:lineRule="auto"/>
              <w:ind w:right="283"/>
              <w:rPr>
                <w:rFonts w:ascii="Verdana" w:hAnsi="Verdana"/>
                <w:sz w:val="18"/>
                <w:szCs w:val="18"/>
              </w:rPr>
            </w:pPr>
          </w:p>
        </w:tc>
      </w:tr>
      <w:tr w:rsidRPr="00A10AC0" w:rsidR="008716C0" w:rsidTr="00A10AC0" w14:paraId="59D012A0" w14:textId="659E3A4A">
        <w:tc>
          <w:tcPr>
            <w:tcW w:w="568" w:type="dxa"/>
          </w:tcPr>
          <w:p w:rsidRPr="00A10AC0" w:rsidR="008716C0" w:rsidP="00A10AC0" w:rsidRDefault="008716C0" w14:paraId="5C20193B" w14:textId="77777777">
            <w:pPr>
              <w:spacing w:line="276" w:lineRule="auto"/>
              <w:rPr>
                <w:rFonts w:ascii="Verdana" w:hAnsi="Verdana"/>
                <w:b/>
                <w:bCs/>
                <w:sz w:val="18"/>
                <w:szCs w:val="18"/>
              </w:rPr>
            </w:pPr>
            <w:r w:rsidRPr="00A10AC0">
              <w:rPr>
                <w:rFonts w:ascii="Verdana" w:hAnsi="Verdana"/>
                <w:b/>
                <w:bCs/>
                <w:sz w:val="18"/>
                <w:szCs w:val="18"/>
              </w:rPr>
              <w:lastRenderedPageBreak/>
              <w:t>35</w:t>
            </w:r>
          </w:p>
        </w:tc>
        <w:tc>
          <w:tcPr>
            <w:tcW w:w="4677" w:type="dxa"/>
          </w:tcPr>
          <w:p w:rsidRPr="00A10AC0" w:rsidR="008716C0" w:rsidP="00A10AC0" w:rsidRDefault="008716C0" w14:paraId="5674CC57" w14:textId="410B5A5B">
            <w:pPr>
              <w:spacing w:line="276" w:lineRule="auto"/>
              <w:rPr>
                <w:rFonts w:ascii="Verdana" w:hAnsi="Verdana"/>
                <w:sz w:val="18"/>
                <w:szCs w:val="18"/>
              </w:rPr>
            </w:pPr>
            <w:r w:rsidRPr="00A10AC0">
              <w:rPr>
                <w:rFonts w:ascii="Verdana" w:hAnsi="Verdana"/>
                <w:sz w:val="18"/>
                <w:szCs w:val="18"/>
              </w:rPr>
              <w:t>Waarom zijn niet alle ex-toeslagpartners uitbetaald?</w:t>
            </w:r>
          </w:p>
        </w:tc>
        <w:tc>
          <w:tcPr>
            <w:tcW w:w="284" w:type="dxa"/>
          </w:tcPr>
          <w:p w:rsidRPr="00A10AC0" w:rsidR="008716C0" w:rsidP="00A10AC0" w:rsidRDefault="008716C0" w14:paraId="27AFC229" w14:textId="77777777">
            <w:pPr>
              <w:spacing w:line="276" w:lineRule="auto"/>
              <w:rPr>
                <w:rFonts w:ascii="Verdana" w:hAnsi="Verdana"/>
                <w:sz w:val="18"/>
                <w:szCs w:val="18"/>
              </w:rPr>
            </w:pPr>
          </w:p>
        </w:tc>
        <w:tc>
          <w:tcPr>
            <w:tcW w:w="8930" w:type="dxa"/>
          </w:tcPr>
          <w:p w:rsidRPr="00A10AC0" w:rsidR="008716C0" w:rsidP="00A10AC0" w:rsidRDefault="00636620" w14:paraId="01923FB3" w14:textId="377F19BD">
            <w:pPr>
              <w:spacing w:line="276" w:lineRule="auto"/>
              <w:rPr>
                <w:rFonts w:ascii="Verdana" w:hAnsi="Verdana"/>
                <w:sz w:val="18"/>
                <w:szCs w:val="18"/>
              </w:rPr>
            </w:pPr>
            <w:r>
              <w:rPr>
                <w:rFonts w:ascii="Verdana" w:hAnsi="Verdana"/>
                <w:sz w:val="18"/>
                <w:szCs w:val="18"/>
              </w:rPr>
              <w:t>N</w:t>
            </w:r>
            <w:r w:rsidRPr="00A10AC0" w:rsidR="008716C0">
              <w:rPr>
                <w:rFonts w:ascii="Verdana" w:hAnsi="Verdana"/>
                <w:sz w:val="18"/>
                <w:szCs w:val="18"/>
              </w:rPr>
              <w:t>og niet alle ouders die mogelijk ex-toeslagpartner zijn</w:t>
            </w:r>
            <w:r>
              <w:rPr>
                <w:rFonts w:ascii="Verdana" w:hAnsi="Verdana"/>
                <w:sz w:val="18"/>
                <w:szCs w:val="18"/>
              </w:rPr>
              <w:t>,</w:t>
            </w:r>
            <w:r w:rsidRPr="00A10AC0" w:rsidR="008716C0">
              <w:rPr>
                <w:rFonts w:ascii="Verdana" w:hAnsi="Verdana"/>
                <w:sz w:val="18"/>
                <w:szCs w:val="18"/>
              </w:rPr>
              <w:t xml:space="preserve"> </w:t>
            </w:r>
            <w:r>
              <w:rPr>
                <w:rFonts w:ascii="Verdana" w:hAnsi="Verdana"/>
                <w:sz w:val="18"/>
                <w:szCs w:val="18"/>
              </w:rPr>
              <w:t xml:space="preserve">hebben </w:t>
            </w:r>
            <w:r w:rsidRPr="00A10AC0" w:rsidR="008716C0">
              <w:rPr>
                <w:rFonts w:ascii="Verdana" w:hAnsi="Verdana"/>
                <w:sz w:val="18"/>
                <w:szCs w:val="18"/>
              </w:rPr>
              <w:t xml:space="preserve">zich aangemeld. Zo lang er nog ouders in de Integrale Beoordeling als gedupeerd worden aangemerkt, </w:t>
            </w:r>
            <w:proofErr w:type="gramStart"/>
            <w:r>
              <w:rPr>
                <w:rFonts w:ascii="Verdana" w:hAnsi="Verdana"/>
                <w:sz w:val="18"/>
                <w:szCs w:val="18"/>
              </w:rPr>
              <w:t xml:space="preserve">kunnen </w:t>
            </w:r>
            <w:r w:rsidRPr="00A10AC0" w:rsidR="008716C0">
              <w:rPr>
                <w:rFonts w:ascii="Verdana" w:hAnsi="Verdana"/>
                <w:sz w:val="18"/>
                <w:szCs w:val="18"/>
              </w:rPr>
              <w:t xml:space="preserve"> er</w:t>
            </w:r>
            <w:proofErr w:type="gramEnd"/>
            <w:r w:rsidRPr="00A10AC0" w:rsidR="008716C0">
              <w:rPr>
                <w:rFonts w:ascii="Verdana" w:hAnsi="Verdana"/>
                <w:sz w:val="18"/>
                <w:szCs w:val="18"/>
              </w:rPr>
              <w:t xml:space="preserve"> nieuwe ex-toeslagpartners bijkomen. Ex-toeslagpartners </w:t>
            </w:r>
            <w:r>
              <w:rPr>
                <w:rFonts w:ascii="Verdana" w:hAnsi="Verdana"/>
                <w:sz w:val="18"/>
                <w:szCs w:val="18"/>
              </w:rPr>
              <w:t>komen</w:t>
            </w:r>
            <w:r w:rsidRPr="00A10AC0" w:rsidR="008716C0">
              <w:rPr>
                <w:rFonts w:ascii="Verdana" w:hAnsi="Verdana"/>
                <w:sz w:val="18"/>
                <w:szCs w:val="18"/>
              </w:rPr>
              <w:t xml:space="preserve"> pas in aanmerking voor de regeling als de aanvrager als gedupeerd is aangemerkt. </w:t>
            </w:r>
            <w:r>
              <w:rPr>
                <w:rFonts w:ascii="Verdana" w:hAnsi="Verdana"/>
                <w:sz w:val="18"/>
                <w:szCs w:val="18"/>
              </w:rPr>
              <w:t>E</w:t>
            </w:r>
            <w:r w:rsidRPr="00A10AC0" w:rsidR="008716C0">
              <w:rPr>
                <w:rFonts w:ascii="Verdana" w:hAnsi="Verdana"/>
                <w:sz w:val="18"/>
                <w:szCs w:val="18"/>
              </w:rPr>
              <w:t xml:space="preserve">x-toeslagpartners die nog niet in beeld zijn bij UHT </w:t>
            </w:r>
            <w:r>
              <w:rPr>
                <w:rFonts w:ascii="Verdana" w:hAnsi="Verdana"/>
                <w:sz w:val="18"/>
                <w:szCs w:val="18"/>
              </w:rPr>
              <w:t xml:space="preserve">kunnen </w:t>
            </w:r>
            <w:r w:rsidRPr="00A10AC0" w:rsidR="008716C0">
              <w:rPr>
                <w:rFonts w:ascii="Verdana" w:hAnsi="Verdana"/>
                <w:sz w:val="18"/>
                <w:szCs w:val="18"/>
              </w:rPr>
              <w:t>zich nog tot en met 3 juni 2025 aanmelden. Er worden dus nog aanmeldingen verwacht.</w:t>
            </w:r>
          </w:p>
          <w:p w:rsidRPr="00A10AC0" w:rsidR="008716C0" w:rsidP="00A10AC0" w:rsidRDefault="008716C0" w14:paraId="0A8B58FD" w14:textId="77777777">
            <w:pPr>
              <w:spacing w:line="276" w:lineRule="auto"/>
              <w:rPr>
                <w:rFonts w:ascii="Verdana" w:hAnsi="Verdana"/>
                <w:sz w:val="18"/>
                <w:szCs w:val="18"/>
              </w:rPr>
            </w:pPr>
            <w:r w:rsidRPr="00A10AC0">
              <w:rPr>
                <w:rFonts w:ascii="Verdana" w:hAnsi="Verdana"/>
                <w:sz w:val="18"/>
                <w:szCs w:val="18"/>
              </w:rPr>
              <w:t>Hiernaast is het zo dat het tijd kost om ex-toeslagpartners inhoudelijk te beoordelen en te beschikken. Als de beschikking is verstuurd, duurt het ook enkele weken om een ex-toeslagpartner uit te betalen. Dit maakt dat er meer gedupeerde ex-toeslagpartners beschikt dan betaald zijn. Deze ex-toeslagpartners ontvangen vanzelf hun vergoeding.</w:t>
            </w:r>
          </w:p>
          <w:p w:rsidRPr="00A10AC0" w:rsidR="008716C0" w:rsidP="00A10AC0" w:rsidRDefault="008716C0" w14:paraId="022F10E3" w14:textId="77777777">
            <w:pPr>
              <w:spacing w:line="276" w:lineRule="auto"/>
              <w:ind w:right="283"/>
              <w:rPr>
                <w:rFonts w:ascii="Verdana" w:hAnsi="Verdana"/>
                <w:sz w:val="18"/>
                <w:szCs w:val="18"/>
              </w:rPr>
            </w:pPr>
          </w:p>
        </w:tc>
      </w:tr>
      <w:tr w:rsidRPr="00A10AC0" w:rsidR="008716C0" w:rsidTr="00A10AC0" w14:paraId="46147CBC" w14:textId="62A78C6F">
        <w:tc>
          <w:tcPr>
            <w:tcW w:w="568" w:type="dxa"/>
          </w:tcPr>
          <w:p w:rsidRPr="00A10AC0" w:rsidR="008716C0" w:rsidP="00A10AC0" w:rsidRDefault="008716C0" w14:paraId="1E6768FB" w14:textId="77777777">
            <w:pPr>
              <w:spacing w:line="276" w:lineRule="auto"/>
              <w:rPr>
                <w:rFonts w:ascii="Verdana" w:hAnsi="Verdana"/>
                <w:b/>
                <w:bCs/>
                <w:sz w:val="18"/>
                <w:szCs w:val="18"/>
              </w:rPr>
            </w:pPr>
            <w:r w:rsidRPr="00A10AC0">
              <w:rPr>
                <w:rFonts w:ascii="Verdana" w:hAnsi="Verdana"/>
                <w:b/>
                <w:bCs/>
                <w:sz w:val="18"/>
                <w:szCs w:val="18"/>
              </w:rPr>
              <w:t>36</w:t>
            </w:r>
          </w:p>
        </w:tc>
        <w:tc>
          <w:tcPr>
            <w:tcW w:w="4677" w:type="dxa"/>
          </w:tcPr>
          <w:p w:rsidRPr="00A10AC0" w:rsidR="008716C0" w:rsidP="00A10AC0" w:rsidRDefault="008716C0" w14:paraId="00332B65" w14:textId="1A3D874F">
            <w:pPr>
              <w:spacing w:line="276" w:lineRule="auto"/>
              <w:rPr>
                <w:rFonts w:ascii="Verdana" w:hAnsi="Verdana"/>
                <w:sz w:val="18"/>
                <w:szCs w:val="18"/>
              </w:rPr>
            </w:pPr>
            <w:r w:rsidRPr="00A10AC0">
              <w:rPr>
                <w:rFonts w:ascii="Verdana" w:hAnsi="Verdana"/>
                <w:sz w:val="18"/>
                <w:szCs w:val="18"/>
              </w:rPr>
              <w:t>Waarom duurde het tot april 2024 voordat de regeling voor nabestaanden van overleden kinderen werd uitgevoerd?</w:t>
            </w:r>
          </w:p>
        </w:tc>
        <w:tc>
          <w:tcPr>
            <w:tcW w:w="284" w:type="dxa"/>
          </w:tcPr>
          <w:p w:rsidRPr="00A10AC0" w:rsidR="008716C0" w:rsidP="00A10AC0" w:rsidRDefault="008716C0" w14:paraId="6AC623EF" w14:textId="77777777">
            <w:pPr>
              <w:spacing w:line="276" w:lineRule="auto"/>
              <w:ind w:right="283"/>
              <w:rPr>
                <w:rFonts w:ascii="Verdana" w:hAnsi="Verdana"/>
                <w:sz w:val="18"/>
                <w:szCs w:val="18"/>
              </w:rPr>
            </w:pPr>
          </w:p>
        </w:tc>
        <w:tc>
          <w:tcPr>
            <w:tcW w:w="8930" w:type="dxa"/>
          </w:tcPr>
          <w:p w:rsidRPr="00A10AC0" w:rsidR="008716C0" w:rsidP="00A10AC0" w:rsidRDefault="008716C0" w14:paraId="24A09DEA" w14:textId="39210EAF">
            <w:pPr>
              <w:spacing w:line="276" w:lineRule="auto"/>
              <w:ind w:right="283"/>
              <w:rPr>
                <w:rFonts w:ascii="Verdana" w:hAnsi="Verdana"/>
                <w:sz w:val="18"/>
                <w:szCs w:val="18"/>
              </w:rPr>
            </w:pPr>
            <w:r w:rsidRPr="00A10AC0">
              <w:rPr>
                <w:rFonts w:ascii="Verdana" w:hAnsi="Verdana"/>
                <w:sz w:val="18"/>
                <w:szCs w:val="18"/>
              </w:rPr>
              <w:t xml:space="preserve">De startdatum van de nabestaandenregeling voor overleden kinderen </w:t>
            </w:r>
            <w:r w:rsidR="00420D08">
              <w:rPr>
                <w:rFonts w:ascii="Verdana" w:hAnsi="Verdana"/>
                <w:sz w:val="18"/>
                <w:szCs w:val="18"/>
              </w:rPr>
              <w:t xml:space="preserve">heeft te maken met </w:t>
            </w:r>
            <w:r w:rsidRPr="00A10AC0">
              <w:rPr>
                <w:rFonts w:ascii="Verdana" w:hAnsi="Verdana"/>
                <w:sz w:val="18"/>
                <w:szCs w:val="18"/>
              </w:rPr>
              <w:t>het relatief late ontstaan van de nabestaandenregeling. De nabestaandenregeling voor overleden kinderen is (samen met de nabestaandenregeling voor overleden gedupeerden) voorgelegd aan de kamer in juli 2023 en de kamer heeft hiermee ingestemd. Na het instemmen van een regeling moeten er nog voorbereidingen worden getroffen voordat er gestart kan worden met uitvoering. De tijd die UHT nodig had voor voorbereidingen i.c.m. de planning van de uitvoering van de andere nieuwe regelingen maakte dat starten met uitvoeren in april het eerst mogelijke en meest geschikte moment was.</w:t>
            </w:r>
          </w:p>
          <w:p w:rsidRPr="00A10AC0" w:rsidR="00A10AC0" w:rsidP="00A10AC0" w:rsidRDefault="00A10AC0" w14:paraId="50C37277" w14:textId="6814C37F">
            <w:pPr>
              <w:spacing w:line="276" w:lineRule="auto"/>
              <w:ind w:right="283"/>
              <w:rPr>
                <w:rFonts w:ascii="Verdana" w:hAnsi="Verdana"/>
                <w:sz w:val="18"/>
                <w:szCs w:val="18"/>
              </w:rPr>
            </w:pPr>
          </w:p>
        </w:tc>
      </w:tr>
      <w:tr w:rsidRPr="00A10AC0" w:rsidR="008716C0" w:rsidTr="00A10AC0" w14:paraId="15D1A917" w14:textId="750B1E89">
        <w:tc>
          <w:tcPr>
            <w:tcW w:w="568" w:type="dxa"/>
          </w:tcPr>
          <w:p w:rsidRPr="00A10AC0" w:rsidR="008716C0" w:rsidP="00A10AC0" w:rsidRDefault="008716C0" w14:paraId="1B02173C" w14:textId="77777777">
            <w:pPr>
              <w:spacing w:line="276" w:lineRule="auto"/>
              <w:rPr>
                <w:rFonts w:ascii="Verdana" w:hAnsi="Verdana"/>
                <w:b/>
                <w:bCs/>
                <w:sz w:val="18"/>
                <w:szCs w:val="18"/>
              </w:rPr>
            </w:pPr>
            <w:r w:rsidRPr="00A10AC0">
              <w:rPr>
                <w:rFonts w:ascii="Verdana" w:hAnsi="Verdana"/>
                <w:b/>
                <w:bCs/>
                <w:sz w:val="18"/>
                <w:szCs w:val="18"/>
              </w:rPr>
              <w:t>37</w:t>
            </w:r>
          </w:p>
        </w:tc>
        <w:tc>
          <w:tcPr>
            <w:tcW w:w="4677" w:type="dxa"/>
          </w:tcPr>
          <w:p w:rsidRPr="00A10AC0" w:rsidR="008716C0" w:rsidP="00A10AC0" w:rsidRDefault="008716C0" w14:paraId="3A421FFB" w14:textId="7397329B">
            <w:pPr>
              <w:spacing w:line="276" w:lineRule="auto"/>
              <w:rPr>
                <w:rFonts w:ascii="Verdana" w:hAnsi="Verdana"/>
                <w:sz w:val="18"/>
                <w:szCs w:val="18"/>
              </w:rPr>
            </w:pPr>
            <w:r w:rsidRPr="00A10AC0">
              <w:rPr>
                <w:rFonts w:ascii="Verdana" w:hAnsi="Verdana"/>
                <w:sz w:val="18"/>
                <w:szCs w:val="18"/>
              </w:rPr>
              <w:t>Hoe wordt de effectiviteit van de pilot totaalherstel voor nabestaanden gemeten?</w:t>
            </w:r>
          </w:p>
        </w:tc>
        <w:tc>
          <w:tcPr>
            <w:tcW w:w="284" w:type="dxa"/>
          </w:tcPr>
          <w:p w:rsidRPr="00A10AC0" w:rsidR="008716C0" w:rsidP="00A10AC0" w:rsidRDefault="008716C0" w14:paraId="72DCA172" w14:textId="77777777">
            <w:pPr>
              <w:spacing w:line="276" w:lineRule="auto"/>
              <w:rPr>
                <w:rFonts w:ascii="Verdana" w:hAnsi="Verdana" w:eastAsia="Aptos"/>
                <w:color w:val="000000" w:themeColor="text1"/>
                <w:sz w:val="18"/>
                <w:szCs w:val="18"/>
              </w:rPr>
            </w:pPr>
          </w:p>
        </w:tc>
        <w:tc>
          <w:tcPr>
            <w:tcW w:w="8930" w:type="dxa"/>
          </w:tcPr>
          <w:p w:rsidRPr="00A10AC0" w:rsidR="008716C0" w:rsidP="00A10AC0" w:rsidRDefault="008716C0" w14:paraId="5829B199" w14:textId="64969B79">
            <w:pPr>
              <w:spacing w:line="276" w:lineRule="auto"/>
              <w:rPr>
                <w:rFonts w:ascii="Verdana" w:hAnsi="Verdana" w:eastAsia="Aptos"/>
                <w:color w:val="000000" w:themeColor="text1"/>
                <w:sz w:val="18"/>
                <w:szCs w:val="18"/>
              </w:rPr>
            </w:pPr>
            <w:r w:rsidRPr="00A10AC0">
              <w:rPr>
                <w:rFonts w:ascii="Verdana" w:hAnsi="Verdana" w:eastAsia="Aptos"/>
                <w:color w:val="000000" w:themeColor="text1"/>
                <w:sz w:val="18"/>
                <w:szCs w:val="18"/>
              </w:rPr>
              <w:t xml:space="preserve">De nabestaandenregeling inclusief de pilot totaal herstel is 20 januari jongsleden gestart. Het Instituut Publieke Waarden (IPW) heeft inmiddels 17 nabestaanden in behandeling genomen. Met deze nabestaanden wordt een plan van aanpak opgesteld.  De ervaring vanuit de doorbraakmethode leert dat het vanaf het startgesprek gemiddeld drie maanden duurt om een plan van aanpak af te ronden. Dat maakt dat rond mei de eerste ervaringen beschikbaar zijn. </w:t>
            </w:r>
          </w:p>
          <w:p w:rsidRPr="00A10AC0" w:rsidR="008716C0" w:rsidP="00A10AC0" w:rsidRDefault="008716C0" w14:paraId="469F6FC5" w14:textId="77777777">
            <w:pPr>
              <w:spacing w:line="276" w:lineRule="auto"/>
              <w:ind w:right="283"/>
              <w:rPr>
                <w:rFonts w:ascii="Verdana" w:hAnsi="Verdana"/>
                <w:sz w:val="18"/>
                <w:szCs w:val="18"/>
              </w:rPr>
            </w:pPr>
          </w:p>
        </w:tc>
      </w:tr>
      <w:tr w:rsidRPr="00A10AC0" w:rsidR="008716C0" w:rsidTr="00A10AC0" w14:paraId="4E2DBFE4" w14:textId="6D8FB819">
        <w:tc>
          <w:tcPr>
            <w:tcW w:w="568" w:type="dxa"/>
          </w:tcPr>
          <w:p w:rsidRPr="00A10AC0" w:rsidR="008716C0" w:rsidP="00A10AC0" w:rsidRDefault="008716C0" w14:paraId="2750A715" w14:textId="77777777">
            <w:pPr>
              <w:spacing w:line="276" w:lineRule="auto"/>
              <w:rPr>
                <w:rFonts w:ascii="Verdana" w:hAnsi="Verdana"/>
                <w:b/>
                <w:bCs/>
                <w:sz w:val="18"/>
                <w:szCs w:val="18"/>
              </w:rPr>
            </w:pPr>
            <w:r w:rsidRPr="00A10AC0">
              <w:rPr>
                <w:rFonts w:ascii="Verdana" w:hAnsi="Verdana"/>
                <w:b/>
                <w:bCs/>
                <w:sz w:val="18"/>
                <w:szCs w:val="18"/>
              </w:rPr>
              <w:t>38</w:t>
            </w:r>
          </w:p>
        </w:tc>
        <w:tc>
          <w:tcPr>
            <w:tcW w:w="4677" w:type="dxa"/>
          </w:tcPr>
          <w:p w:rsidRPr="00A10AC0" w:rsidR="008716C0" w:rsidP="00A10AC0" w:rsidRDefault="008716C0" w14:paraId="5C268E4B" w14:textId="127AD633">
            <w:pPr>
              <w:spacing w:line="276" w:lineRule="auto"/>
              <w:rPr>
                <w:rFonts w:ascii="Verdana" w:hAnsi="Verdana"/>
                <w:sz w:val="18"/>
                <w:szCs w:val="18"/>
              </w:rPr>
            </w:pPr>
            <w:r w:rsidRPr="00A10AC0">
              <w:rPr>
                <w:rFonts w:ascii="Verdana" w:hAnsi="Verdana"/>
                <w:sz w:val="18"/>
                <w:szCs w:val="18"/>
              </w:rPr>
              <w:t>Waarom wordt de regeling voor nabestaanden pas gestart na de wijziging van de motie-</w:t>
            </w:r>
            <w:proofErr w:type="spellStart"/>
            <w:r w:rsidRPr="00A10AC0">
              <w:rPr>
                <w:rFonts w:ascii="Verdana" w:hAnsi="Verdana"/>
                <w:sz w:val="18"/>
                <w:szCs w:val="18"/>
              </w:rPr>
              <w:t>Leijten</w:t>
            </w:r>
            <w:proofErr w:type="spellEnd"/>
            <w:r w:rsidRPr="00A10AC0">
              <w:rPr>
                <w:rFonts w:ascii="Verdana" w:hAnsi="Verdana"/>
                <w:sz w:val="18"/>
                <w:szCs w:val="18"/>
              </w:rPr>
              <w:t xml:space="preserve"> in november 2024? </w:t>
            </w:r>
          </w:p>
        </w:tc>
        <w:tc>
          <w:tcPr>
            <w:tcW w:w="284" w:type="dxa"/>
          </w:tcPr>
          <w:p w:rsidRPr="00A10AC0" w:rsidR="008716C0" w:rsidP="00A10AC0" w:rsidRDefault="008716C0" w14:paraId="1BB7FB0D" w14:textId="77777777">
            <w:pPr>
              <w:spacing w:line="276" w:lineRule="auto"/>
              <w:rPr>
                <w:rFonts w:ascii="Verdana" w:hAnsi="Verdana"/>
                <w:sz w:val="18"/>
                <w:szCs w:val="18"/>
              </w:rPr>
            </w:pPr>
          </w:p>
        </w:tc>
        <w:tc>
          <w:tcPr>
            <w:tcW w:w="8930" w:type="dxa"/>
          </w:tcPr>
          <w:p w:rsidRPr="00A10AC0" w:rsidR="008716C0" w:rsidP="00A10AC0" w:rsidRDefault="008716C0" w14:paraId="22E9A6E9" w14:textId="3AEC78BB">
            <w:pPr>
              <w:spacing w:line="276" w:lineRule="auto"/>
              <w:rPr>
                <w:rFonts w:ascii="Verdana" w:hAnsi="Verdana"/>
                <w:sz w:val="18"/>
                <w:szCs w:val="18"/>
              </w:rPr>
            </w:pPr>
            <w:r w:rsidRPr="00A10AC0">
              <w:rPr>
                <w:rFonts w:ascii="Verdana" w:hAnsi="Verdana"/>
                <w:sz w:val="18"/>
                <w:szCs w:val="18"/>
              </w:rPr>
              <w:t xml:space="preserve">Door amendement </w:t>
            </w:r>
            <w:proofErr w:type="spellStart"/>
            <w:r w:rsidRPr="00A10AC0">
              <w:rPr>
                <w:rFonts w:ascii="Verdana" w:hAnsi="Verdana"/>
                <w:sz w:val="18"/>
                <w:szCs w:val="18"/>
              </w:rPr>
              <w:t>Leijten</w:t>
            </w:r>
            <w:proofErr w:type="spellEnd"/>
            <w:r w:rsidRPr="00A10AC0">
              <w:rPr>
                <w:rFonts w:ascii="Verdana" w:hAnsi="Verdana"/>
                <w:sz w:val="18"/>
                <w:szCs w:val="18"/>
              </w:rPr>
              <w:t xml:space="preserve"> is het originele wetsvoorstel voor de nabestaandenregeling aangepast. Op deze aanpassingen is een uitvoeringstoets gedaan waaruit bleek dat de nabestaandenregeling op deze manier onuitvoerbaar was. Doordat de regeling onuitvoerbaar was, kon er niet gestart worden met de uitvoering van de nabestaandenregeling. Om de nabestaandenregeling uitvoerbaar te maken is er een nieuw wetsvoorstel ingediend. Dit voorstel moest eerst ingestemd worden door beide Kamers voor dat UHT kon starten met uitvoeren. Op 10 december is </w:t>
            </w:r>
            <w:r w:rsidR="00C33E12">
              <w:rPr>
                <w:rFonts w:ascii="Verdana" w:hAnsi="Verdana"/>
                <w:sz w:val="18"/>
                <w:szCs w:val="18"/>
              </w:rPr>
              <w:t xml:space="preserve">met </w:t>
            </w:r>
            <w:r w:rsidRPr="00A10AC0">
              <w:rPr>
                <w:rFonts w:ascii="Verdana" w:hAnsi="Verdana"/>
                <w:sz w:val="18"/>
                <w:szCs w:val="18"/>
              </w:rPr>
              <w:t>dit voorstel ingestemd door de Eerste Kamer.</w:t>
            </w:r>
          </w:p>
          <w:p w:rsidRPr="00A10AC0" w:rsidR="008716C0" w:rsidP="00033056" w:rsidRDefault="008716C0" w14:paraId="3D9687A0" w14:textId="77777777">
            <w:pPr>
              <w:spacing w:line="276" w:lineRule="auto"/>
              <w:rPr>
                <w:rFonts w:ascii="Verdana" w:hAnsi="Verdana"/>
                <w:sz w:val="18"/>
                <w:szCs w:val="18"/>
              </w:rPr>
            </w:pPr>
          </w:p>
        </w:tc>
      </w:tr>
      <w:tr w:rsidRPr="00A10AC0" w:rsidR="008716C0" w:rsidTr="00A10AC0" w14:paraId="793F6FEC" w14:textId="52DDD85F">
        <w:tc>
          <w:tcPr>
            <w:tcW w:w="568" w:type="dxa"/>
          </w:tcPr>
          <w:p w:rsidRPr="00A10AC0" w:rsidR="008716C0" w:rsidP="00A10AC0" w:rsidRDefault="008716C0" w14:paraId="4C277634" w14:textId="77777777">
            <w:pPr>
              <w:spacing w:line="276" w:lineRule="auto"/>
              <w:rPr>
                <w:rFonts w:ascii="Verdana" w:hAnsi="Verdana"/>
                <w:b/>
                <w:bCs/>
                <w:sz w:val="18"/>
                <w:szCs w:val="18"/>
              </w:rPr>
            </w:pPr>
            <w:r w:rsidRPr="00A10AC0">
              <w:rPr>
                <w:rFonts w:ascii="Verdana" w:hAnsi="Verdana"/>
                <w:b/>
                <w:bCs/>
                <w:sz w:val="18"/>
                <w:szCs w:val="18"/>
              </w:rPr>
              <w:lastRenderedPageBreak/>
              <w:t>39</w:t>
            </w:r>
          </w:p>
        </w:tc>
        <w:tc>
          <w:tcPr>
            <w:tcW w:w="4677" w:type="dxa"/>
          </w:tcPr>
          <w:p w:rsidRPr="00A10AC0" w:rsidR="008716C0" w:rsidP="00A10AC0" w:rsidRDefault="008716C0" w14:paraId="20EE83B5" w14:textId="63A65D8F">
            <w:pPr>
              <w:spacing w:line="276" w:lineRule="auto"/>
              <w:rPr>
                <w:rFonts w:ascii="Verdana" w:hAnsi="Verdana"/>
                <w:sz w:val="18"/>
                <w:szCs w:val="18"/>
              </w:rPr>
            </w:pPr>
            <w:r w:rsidRPr="00A10AC0">
              <w:rPr>
                <w:rFonts w:ascii="Verdana" w:hAnsi="Verdana"/>
                <w:sz w:val="18"/>
                <w:szCs w:val="18"/>
              </w:rPr>
              <w:t>Hoeveel nabestaanden hebben zich daadwerkelijk aangemeld voor de regeling sinds de start in januari 2025?</w:t>
            </w:r>
          </w:p>
        </w:tc>
        <w:tc>
          <w:tcPr>
            <w:tcW w:w="284" w:type="dxa"/>
          </w:tcPr>
          <w:p w:rsidRPr="00A10AC0" w:rsidR="008716C0" w:rsidP="00A10AC0" w:rsidRDefault="008716C0" w14:paraId="7857FC80" w14:textId="77777777">
            <w:pPr>
              <w:spacing w:line="276" w:lineRule="auto"/>
              <w:rPr>
                <w:rFonts w:ascii="Verdana" w:hAnsi="Verdana"/>
                <w:sz w:val="18"/>
                <w:szCs w:val="18"/>
              </w:rPr>
            </w:pPr>
          </w:p>
        </w:tc>
        <w:tc>
          <w:tcPr>
            <w:tcW w:w="8930" w:type="dxa"/>
          </w:tcPr>
          <w:p w:rsidR="008716C0" w:rsidP="00033056" w:rsidRDefault="00A76D4B" w14:paraId="7CC0EC42" w14:textId="77777777">
            <w:pPr>
              <w:spacing w:line="276" w:lineRule="auto"/>
              <w:rPr>
                <w:rFonts w:ascii="Verdana" w:hAnsi="Verdana"/>
                <w:sz w:val="18"/>
                <w:szCs w:val="18"/>
              </w:rPr>
            </w:pPr>
            <w:r w:rsidRPr="00A10AC0">
              <w:rPr>
                <w:rFonts w:ascii="Verdana" w:hAnsi="Verdana"/>
                <w:sz w:val="18"/>
                <w:szCs w:val="18"/>
              </w:rPr>
              <w:t>Sinds de start van de nabestaandenregeling is UHT met circa 100 nabestaanden gestart met de behandeling casussen. Per casus wordt er door UHT uitgezocht wie er recht heeft op de nabestaandenregeling en vervolgens worden deze nabestaanden via een contactkaart benaderd. Naar aanleiding hiervan zijn er circa 40 contactkaarten richting nabestaanden gestuurd. Hierin worden nabestaanden verzocht zich aan te melden voor de nabestaandenregeling.</w:t>
            </w:r>
            <w:r w:rsidR="00033056">
              <w:rPr>
                <w:rFonts w:ascii="Verdana" w:hAnsi="Verdana"/>
                <w:sz w:val="18"/>
                <w:szCs w:val="18"/>
              </w:rPr>
              <w:t xml:space="preserve"> </w:t>
            </w:r>
            <w:r w:rsidRPr="00A10AC0">
              <w:rPr>
                <w:rFonts w:ascii="Verdana" w:hAnsi="Verdana"/>
                <w:sz w:val="18"/>
                <w:szCs w:val="18"/>
              </w:rPr>
              <w:t>Op dit moment worden 17 nabestaanden geholpen volgens de totaalaanpak.</w:t>
            </w:r>
          </w:p>
          <w:p w:rsidRPr="00A10AC0" w:rsidR="00033056" w:rsidP="00033056" w:rsidRDefault="00033056" w14:paraId="23C286C9" w14:textId="73BA2CA7">
            <w:pPr>
              <w:spacing w:line="276" w:lineRule="auto"/>
              <w:rPr>
                <w:rFonts w:ascii="Verdana" w:hAnsi="Verdana"/>
                <w:sz w:val="18"/>
                <w:szCs w:val="18"/>
              </w:rPr>
            </w:pPr>
          </w:p>
        </w:tc>
      </w:tr>
      <w:tr w:rsidRPr="00A10AC0" w:rsidR="008716C0" w:rsidTr="00A10AC0" w14:paraId="0CB6F5E8" w14:textId="78B9916D">
        <w:tc>
          <w:tcPr>
            <w:tcW w:w="568" w:type="dxa"/>
          </w:tcPr>
          <w:p w:rsidRPr="00A10AC0" w:rsidR="008716C0" w:rsidP="00A10AC0" w:rsidRDefault="008716C0" w14:paraId="11B5A148" w14:textId="77777777">
            <w:pPr>
              <w:spacing w:line="276" w:lineRule="auto"/>
              <w:rPr>
                <w:rFonts w:ascii="Verdana" w:hAnsi="Verdana"/>
                <w:b/>
                <w:bCs/>
                <w:sz w:val="18"/>
                <w:szCs w:val="18"/>
              </w:rPr>
            </w:pPr>
            <w:r w:rsidRPr="00A10AC0">
              <w:rPr>
                <w:rFonts w:ascii="Verdana" w:hAnsi="Verdana"/>
                <w:b/>
                <w:bCs/>
                <w:sz w:val="18"/>
                <w:szCs w:val="18"/>
              </w:rPr>
              <w:t>40</w:t>
            </w:r>
          </w:p>
        </w:tc>
        <w:tc>
          <w:tcPr>
            <w:tcW w:w="4677" w:type="dxa"/>
          </w:tcPr>
          <w:p w:rsidRPr="00A10AC0" w:rsidR="008716C0" w:rsidP="00A10AC0" w:rsidRDefault="008716C0" w14:paraId="7FF8F409" w14:textId="16C41219">
            <w:pPr>
              <w:spacing w:line="276" w:lineRule="auto"/>
              <w:rPr>
                <w:rFonts w:ascii="Verdana" w:hAnsi="Verdana"/>
                <w:sz w:val="18"/>
                <w:szCs w:val="18"/>
              </w:rPr>
            </w:pPr>
            <w:r w:rsidRPr="00A10AC0">
              <w:rPr>
                <w:rFonts w:ascii="Verdana" w:hAnsi="Verdana"/>
                <w:sz w:val="18"/>
                <w:szCs w:val="18"/>
              </w:rPr>
              <w:t>Welk bedrag wordt nog verwacht in 2025 aan publieke schulden dat kwijtgescholden gaat worden?</w:t>
            </w:r>
          </w:p>
        </w:tc>
        <w:tc>
          <w:tcPr>
            <w:tcW w:w="284" w:type="dxa"/>
          </w:tcPr>
          <w:p w:rsidRPr="00A10AC0" w:rsidR="008716C0" w:rsidP="00A10AC0" w:rsidRDefault="008716C0" w14:paraId="2F52453B" w14:textId="77777777">
            <w:pPr>
              <w:spacing w:line="276" w:lineRule="auto"/>
              <w:ind w:right="283"/>
              <w:rPr>
                <w:rFonts w:ascii="Verdana" w:hAnsi="Verdana"/>
                <w:sz w:val="18"/>
                <w:szCs w:val="18"/>
              </w:rPr>
            </w:pPr>
          </w:p>
        </w:tc>
        <w:tc>
          <w:tcPr>
            <w:tcW w:w="8930" w:type="dxa"/>
          </w:tcPr>
          <w:p w:rsidRPr="00A10AC0" w:rsidR="008716C0" w:rsidP="00A10AC0" w:rsidRDefault="008716C0" w14:paraId="1694EE75" w14:textId="733D19B4">
            <w:pPr>
              <w:spacing w:line="276" w:lineRule="auto"/>
              <w:ind w:right="283"/>
              <w:rPr>
                <w:rFonts w:ascii="Verdana" w:hAnsi="Verdana"/>
                <w:sz w:val="18"/>
                <w:szCs w:val="18"/>
              </w:rPr>
            </w:pPr>
            <w:r w:rsidRPr="00A10AC0">
              <w:rPr>
                <w:rFonts w:ascii="Verdana" w:hAnsi="Verdana"/>
                <w:sz w:val="18"/>
                <w:szCs w:val="18"/>
              </w:rPr>
              <w:t xml:space="preserve">In de Integrale Beoordeling van UHT zitten momenteel </w:t>
            </w:r>
            <w:r w:rsidR="00C33E12">
              <w:rPr>
                <w:rFonts w:ascii="Verdana" w:hAnsi="Verdana"/>
                <w:sz w:val="18"/>
                <w:szCs w:val="18"/>
              </w:rPr>
              <w:t xml:space="preserve">nog </w:t>
            </w:r>
            <w:r w:rsidRPr="00A10AC0">
              <w:rPr>
                <w:rFonts w:ascii="Verdana" w:hAnsi="Verdana"/>
                <w:sz w:val="18"/>
                <w:szCs w:val="18"/>
              </w:rPr>
              <w:t xml:space="preserve">9000 ouders. Daarvan is de schuldenpositie per ouder uiteenlopend. </w:t>
            </w:r>
            <w:r w:rsidR="00B85468">
              <w:rPr>
                <w:rFonts w:ascii="Verdana" w:hAnsi="Verdana"/>
                <w:sz w:val="18"/>
                <w:szCs w:val="18"/>
              </w:rPr>
              <w:t>Daardoor</w:t>
            </w:r>
            <w:r w:rsidRPr="00A10AC0">
              <w:rPr>
                <w:rFonts w:ascii="Verdana" w:hAnsi="Verdana"/>
                <w:sz w:val="18"/>
                <w:szCs w:val="18"/>
              </w:rPr>
              <w:t xml:space="preserve"> kan op voorhand geen concrete inschatting worden gemaakt over de verwachte kwijtgescholden publieke schulden in 2025. </w:t>
            </w:r>
          </w:p>
          <w:p w:rsidRPr="00A10AC0" w:rsidR="008716C0" w:rsidP="00A10AC0" w:rsidRDefault="008716C0" w14:paraId="020CFC96" w14:textId="61655F1D">
            <w:pPr>
              <w:spacing w:line="276" w:lineRule="auto"/>
              <w:ind w:right="283"/>
              <w:rPr>
                <w:rFonts w:ascii="Verdana" w:hAnsi="Verdana"/>
                <w:sz w:val="18"/>
                <w:szCs w:val="18"/>
              </w:rPr>
            </w:pPr>
          </w:p>
        </w:tc>
      </w:tr>
      <w:tr w:rsidRPr="00A10AC0" w:rsidR="008716C0" w:rsidTr="00A10AC0" w14:paraId="31F2E644" w14:textId="4742AEE1">
        <w:tc>
          <w:tcPr>
            <w:tcW w:w="568" w:type="dxa"/>
          </w:tcPr>
          <w:p w:rsidRPr="00A10AC0" w:rsidR="008716C0" w:rsidP="00A10AC0" w:rsidRDefault="008716C0" w14:paraId="620489D7" w14:textId="77777777">
            <w:pPr>
              <w:spacing w:line="276" w:lineRule="auto"/>
              <w:rPr>
                <w:rFonts w:ascii="Verdana" w:hAnsi="Verdana"/>
                <w:b/>
                <w:bCs/>
                <w:sz w:val="18"/>
                <w:szCs w:val="18"/>
              </w:rPr>
            </w:pPr>
            <w:r w:rsidRPr="00A10AC0">
              <w:rPr>
                <w:rFonts w:ascii="Verdana" w:hAnsi="Verdana"/>
                <w:b/>
                <w:bCs/>
                <w:sz w:val="18"/>
                <w:szCs w:val="18"/>
              </w:rPr>
              <w:t>41</w:t>
            </w:r>
          </w:p>
        </w:tc>
        <w:tc>
          <w:tcPr>
            <w:tcW w:w="4677" w:type="dxa"/>
          </w:tcPr>
          <w:p w:rsidRPr="00A10AC0" w:rsidR="008716C0" w:rsidP="00A10AC0" w:rsidRDefault="008716C0" w14:paraId="6328DEA9" w14:textId="45101DA6">
            <w:pPr>
              <w:spacing w:line="276" w:lineRule="auto"/>
              <w:rPr>
                <w:rFonts w:ascii="Verdana" w:hAnsi="Verdana"/>
                <w:sz w:val="18"/>
                <w:szCs w:val="18"/>
              </w:rPr>
            </w:pPr>
            <w:r w:rsidRPr="00A10AC0">
              <w:rPr>
                <w:rFonts w:ascii="Verdana" w:hAnsi="Verdana"/>
                <w:sz w:val="18"/>
                <w:szCs w:val="18"/>
              </w:rPr>
              <w:t>Wat is de verwachting van de hoeveelheid schulden die nog ingediend zal worden bij SBN?</w:t>
            </w:r>
          </w:p>
        </w:tc>
        <w:tc>
          <w:tcPr>
            <w:tcW w:w="284" w:type="dxa"/>
          </w:tcPr>
          <w:p w:rsidRPr="00A10AC0" w:rsidR="008716C0" w:rsidP="00A10AC0" w:rsidRDefault="008716C0" w14:paraId="06BCCC27" w14:textId="77777777">
            <w:pPr>
              <w:spacing w:line="276" w:lineRule="auto"/>
              <w:rPr>
                <w:rFonts w:ascii="Verdana" w:hAnsi="Verdana"/>
                <w:sz w:val="18"/>
                <w:szCs w:val="18"/>
              </w:rPr>
            </w:pPr>
          </w:p>
        </w:tc>
        <w:tc>
          <w:tcPr>
            <w:tcW w:w="8930" w:type="dxa"/>
          </w:tcPr>
          <w:p w:rsidRPr="00A10AC0" w:rsidR="008716C0" w:rsidP="00A10AC0" w:rsidRDefault="008716C0" w14:paraId="6A8CCC47" w14:textId="0236ADF9">
            <w:pPr>
              <w:spacing w:line="276" w:lineRule="auto"/>
              <w:rPr>
                <w:rFonts w:ascii="Verdana" w:hAnsi="Verdana"/>
                <w:sz w:val="18"/>
                <w:szCs w:val="18"/>
              </w:rPr>
            </w:pPr>
            <w:r w:rsidRPr="00A10AC0">
              <w:rPr>
                <w:rFonts w:ascii="Verdana" w:hAnsi="Verdana"/>
                <w:sz w:val="18"/>
                <w:szCs w:val="18"/>
              </w:rPr>
              <w:t>Op basis van de cijfers van UHT (aantal gedupeerden), het meldingspercentage en het gemiddeld aantal ingediende schulden verwacht SBN de volgende aantallen:</w:t>
            </w:r>
          </w:p>
          <w:p w:rsidRPr="00A10AC0" w:rsidR="008716C0" w:rsidP="00A10AC0" w:rsidRDefault="008716C0" w14:paraId="3685AE77" w14:textId="77777777">
            <w:pPr>
              <w:pStyle w:val="Lijstalinea"/>
              <w:numPr>
                <w:ilvl w:val="0"/>
                <w:numId w:val="5"/>
              </w:numPr>
              <w:spacing w:line="276" w:lineRule="auto"/>
              <w:rPr>
                <w:rFonts w:ascii="Verdana" w:hAnsi="Verdana"/>
                <w:sz w:val="18"/>
                <w:szCs w:val="18"/>
              </w:rPr>
            </w:pPr>
            <w:r w:rsidRPr="00A10AC0">
              <w:rPr>
                <w:rFonts w:ascii="Verdana" w:hAnsi="Verdana"/>
                <w:sz w:val="18"/>
                <w:szCs w:val="18"/>
              </w:rPr>
              <w:t>Bij het Loket Private Schulden verwachten we dat ongeveer 1.140 gedupeerden zich nog zullen melden met in totaal 6.840 schulden.</w:t>
            </w:r>
          </w:p>
          <w:p w:rsidRPr="00A10AC0" w:rsidR="008716C0" w:rsidP="00A10AC0" w:rsidRDefault="008716C0" w14:paraId="4182C992" w14:textId="7EB2445A">
            <w:pPr>
              <w:pStyle w:val="Lijstalinea"/>
              <w:numPr>
                <w:ilvl w:val="0"/>
                <w:numId w:val="5"/>
              </w:numPr>
              <w:spacing w:line="276" w:lineRule="auto"/>
              <w:rPr>
                <w:rFonts w:ascii="Verdana" w:hAnsi="Verdana"/>
                <w:sz w:val="18"/>
                <w:szCs w:val="18"/>
              </w:rPr>
            </w:pPr>
            <w:r w:rsidRPr="00A10AC0">
              <w:rPr>
                <w:rFonts w:ascii="Verdana" w:hAnsi="Verdana"/>
                <w:sz w:val="18"/>
                <w:szCs w:val="18"/>
              </w:rPr>
              <w:t>Bij het Loket Al Betaalde Schulden ligt die verwachting lager, namelijk 450 gedupeerden met in totaal 2.070 schulden.</w:t>
            </w:r>
          </w:p>
          <w:p w:rsidRPr="00A10AC0" w:rsidR="008716C0" w:rsidP="00A10AC0" w:rsidRDefault="008716C0" w14:paraId="06331DE3" w14:textId="23484FA7">
            <w:pPr>
              <w:spacing w:line="276" w:lineRule="auto"/>
              <w:ind w:right="283"/>
              <w:rPr>
                <w:rFonts w:ascii="Verdana" w:hAnsi="Verdana"/>
                <w:sz w:val="18"/>
                <w:szCs w:val="18"/>
              </w:rPr>
            </w:pPr>
            <w:r w:rsidRPr="00A10AC0">
              <w:rPr>
                <w:rFonts w:ascii="Verdana" w:hAnsi="Verdana"/>
                <w:sz w:val="18"/>
                <w:szCs w:val="18"/>
              </w:rPr>
              <w:t>Deze cijfers zijn exclusief gerechtelijke schulden die door gerechtsdeurwaarders bij SBN gemeld kunnen worden.</w:t>
            </w:r>
            <w:r w:rsidR="00C33E12">
              <w:rPr>
                <w:rFonts w:ascii="Verdana" w:hAnsi="Verdana"/>
                <w:sz w:val="18"/>
                <w:szCs w:val="18"/>
              </w:rPr>
              <w:t xml:space="preserve"> De hoogtes van deze schulden zullen variëren en hiervan kan op voorhand geen goede voorspelling worden gedaan.</w:t>
            </w:r>
          </w:p>
          <w:p w:rsidRPr="00A10AC0" w:rsidR="008716C0" w:rsidP="00A10AC0" w:rsidRDefault="008716C0" w14:paraId="643BC3E8" w14:textId="517BC4AC">
            <w:pPr>
              <w:spacing w:line="276" w:lineRule="auto"/>
              <w:ind w:right="283"/>
              <w:rPr>
                <w:rFonts w:ascii="Verdana" w:hAnsi="Verdana"/>
                <w:sz w:val="18"/>
                <w:szCs w:val="18"/>
              </w:rPr>
            </w:pPr>
          </w:p>
        </w:tc>
      </w:tr>
      <w:tr w:rsidRPr="00A10AC0" w:rsidR="008716C0" w:rsidTr="00A10AC0" w14:paraId="351DCF47" w14:textId="63D787C7">
        <w:tc>
          <w:tcPr>
            <w:tcW w:w="568" w:type="dxa"/>
          </w:tcPr>
          <w:p w:rsidRPr="00A10AC0" w:rsidR="008716C0" w:rsidP="00A10AC0" w:rsidRDefault="008716C0" w14:paraId="4E78959F" w14:textId="77777777">
            <w:pPr>
              <w:spacing w:line="276" w:lineRule="auto"/>
              <w:rPr>
                <w:rFonts w:ascii="Verdana" w:hAnsi="Verdana"/>
                <w:b/>
                <w:bCs/>
                <w:sz w:val="18"/>
                <w:szCs w:val="18"/>
              </w:rPr>
            </w:pPr>
            <w:r w:rsidRPr="00A10AC0">
              <w:rPr>
                <w:rFonts w:ascii="Verdana" w:hAnsi="Verdana"/>
                <w:b/>
                <w:bCs/>
                <w:sz w:val="18"/>
                <w:szCs w:val="18"/>
              </w:rPr>
              <w:t>42</w:t>
            </w:r>
          </w:p>
        </w:tc>
        <w:tc>
          <w:tcPr>
            <w:tcW w:w="4677" w:type="dxa"/>
          </w:tcPr>
          <w:p w:rsidRPr="00A10AC0" w:rsidR="008716C0" w:rsidP="00A10AC0" w:rsidRDefault="008716C0" w14:paraId="0310C337" w14:textId="1D7F1857">
            <w:pPr>
              <w:spacing w:line="276" w:lineRule="auto"/>
              <w:rPr>
                <w:rFonts w:ascii="Verdana" w:hAnsi="Verdana"/>
                <w:sz w:val="18"/>
                <w:szCs w:val="18"/>
              </w:rPr>
            </w:pPr>
            <w:r w:rsidRPr="00A10AC0">
              <w:rPr>
                <w:rFonts w:ascii="Verdana" w:hAnsi="Verdana"/>
                <w:sz w:val="18"/>
                <w:szCs w:val="18"/>
              </w:rPr>
              <w:t>Hoeveel bezwaren zijn er ingediend tegen de afwijzing van kwijtschelding van schulden, waarbij de vastgestelde datum van opeisbaarheid als reden werd opgegeven?</w:t>
            </w:r>
          </w:p>
        </w:tc>
        <w:tc>
          <w:tcPr>
            <w:tcW w:w="284" w:type="dxa"/>
          </w:tcPr>
          <w:p w:rsidRPr="00A10AC0" w:rsidR="008716C0" w:rsidP="00A10AC0" w:rsidRDefault="008716C0" w14:paraId="12EEE704" w14:textId="77777777">
            <w:pPr>
              <w:spacing w:line="276" w:lineRule="auto"/>
              <w:rPr>
                <w:rFonts w:ascii="Verdana" w:hAnsi="Verdana"/>
                <w:sz w:val="18"/>
                <w:szCs w:val="18"/>
              </w:rPr>
            </w:pPr>
          </w:p>
        </w:tc>
        <w:tc>
          <w:tcPr>
            <w:tcW w:w="8930" w:type="dxa"/>
          </w:tcPr>
          <w:p w:rsidRPr="00A10AC0" w:rsidR="008716C0" w:rsidP="00A10AC0" w:rsidRDefault="008716C0" w14:paraId="5BBF4265" w14:textId="13F0AB78">
            <w:pPr>
              <w:spacing w:line="276" w:lineRule="auto"/>
              <w:rPr>
                <w:rFonts w:ascii="Verdana" w:hAnsi="Verdana"/>
                <w:sz w:val="18"/>
                <w:szCs w:val="18"/>
              </w:rPr>
            </w:pPr>
            <w:r w:rsidRPr="00A10AC0">
              <w:rPr>
                <w:rFonts w:ascii="Verdana" w:hAnsi="Verdana"/>
                <w:sz w:val="18"/>
                <w:szCs w:val="18"/>
              </w:rPr>
              <w:t xml:space="preserve">Bij zowel het Loket Private Schulden als bij het Loket Al Betaalde Schulden van Sociale Banken Nederland zijn in totaal 2.221 bezwaren door gedupeerde ouders ingediend tegen de afwijzing van de overname van opeisbare achterstanden op private schulden. Daarvan zijn 449 bezwaren ingediend die gaan over de overname van opeisbare achterstanden van private schulden die buiten de peildatum vielen. </w:t>
            </w:r>
          </w:p>
          <w:p w:rsidRPr="00A10AC0" w:rsidR="008716C0" w:rsidP="00A10AC0" w:rsidRDefault="008716C0" w14:paraId="5E80B7BB" w14:textId="77777777">
            <w:pPr>
              <w:spacing w:line="276" w:lineRule="auto"/>
              <w:rPr>
                <w:rFonts w:ascii="Verdana" w:hAnsi="Verdana"/>
                <w:sz w:val="18"/>
                <w:szCs w:val="18"/>
              </w:rPr>
            </w:pPr>
          </w:p>
        </w:tc>
      </w:tr>
      <w:tr w:rsidRPr="00A10AC0" w:rsidR="008716C0" w:rsidTr="00A10AC0" w14:paraId="085F88A3" w14:textId="0B1563FE">
        <w:tc>
          <w:tcPr>
            <w:tcW w:w="568" w:type="dxa"/>
          </w:tcPr>
          <w:p w:rsidRPr="00A10AC0" w:rsidR="008716C0" w:rsidP="00A10AC0" w:rsidRDefault="008716C0" w14:paraId="53A59669" w14:textId="77777777">
            <w:pPr>
              <w:spacing w:line="276" w:lineRule="auto"/>
              <w:rPr>
                <w:rFonts w:ascii="Verdana" w:hAnsi="Verdana"/>
                <w:b/>
                <w:bCs/>
                <w:sz w:val="18"/>
                <w:szCs w:val="18"/>
              </w:rPr>
            </w:pPr>
            <w:r w:rsidRPr="00A10AC0">
              <w:rPr>
                <w:rFonts w:ascii="Verdana" w:hAnsi="Verdana"/>
                <w:b/>
                <w:bCs/>
                <w:sz w:val="18"/>
                <w:szCs w:val="18"/>
              </w:rPr>
              <w:t>43</w:t>
            </w:r>
          </w:p>
        </w:tc>
        <w:tc>
          <w:tcPr>
            <w:tcW w:w="4677" w:type="dxa"/>
          </w:tcPr>
          <w:p w:rsidRPr="00A10AC0" w:rsidR="008716C0" w:rsidP="00A10AC0" w:rsidRDefault="008716C0" w14:paraId="50EBBCCD" w14:textId="77777777">
            <w:pPr>
              <w:spacing w:line="276" w:lineRule="auto"/>
              <w:rPr>
                <w:rFonts w:ascii="Verdana" w:hAnsi="Verdana"/>
                <w:sz w:val="18"/>
                <w:szCs w:val="18"/>
              </w:rPr>
            </w:pPr>
            <w:r w:rsidRPr="00A10AC0">
              <w:rPr>
                <w:rFonts w:ascii="Verdana" w:hAnsi="Verdana"/>
                <w:sz w:val="18"/>
                <w:szCs w:val="18"/>
              </w:rPr>
              <w:t xml:space="preserve">Waar worden binnen de Dienst Toeslagen de grootste capaciteitsproblemen verwacht als gevolg van het vertrek van circa 600 schijnzelfstandigen per 1 april 2025? Wat zijn de gevolgen voor de voortgang van onderdelen van de hersteloperatie, zoals de integrale beoordelingen, bezwaarafhandelingen en juridische procedures en </w:t>
            </w:r>
            <w:r w:rsidRPr="00A10AC0">
              <w:rPr>
                <w:rFonts w:ascii="Verdana" w:hAnsi="Verdana"/>
                <w:sz w:val="18"/>
                <w:szCs w:val="18"/>
              </w:rPr>
              <w:lastRenderedPageBreak/>
              <w:t>welke invloed heeft deze daling naar verwachting op de afhandeltermijn richting 2027?</w:t>
            </w:r>
          </w:p>
          <w:p w:rsidRPr="00A10AC0" w:rsidR="008716C0" w:rsidP="00A10AC0" w:rsidRDefault="008716C0" w14:paraId="12880CCB" w14:textId="4D359A27">
            <w:pPr>
              <w:spacing w:line="276" w:lineRule="auto"/>
              <w:rPr>
                <w:rFonts w:ascii="Verdana" w:hAnsi="Verdana"/>
                <w:sz w:val="18"/>
                <w:szCs w:val="18"/>
              </w:rPr>
            </w:pPr>
          </w:p>
        </w:tc>
        <w:tc>
          <w:tcPr>
            <w:tcW w:w="284" w:type="dxa"/>
          </w:tcPr>
          <w:p w:rsidRPr="00A10AC0" w:rsidR="008716C0" w:rsidP="00A10AC0" w:rsidRDefault="008716C0" w14:paraId="7EB4EF57" w14:textId="77777777">
            <w:pPr>
              <w:pStyle w:val="Geenafstand"/>
              <w:spacing w:line="276" w:lineRule="auto"/>
              <w:rPr>
                <w:szCs w:val="18"/>
              </w:rPr>
            </w:pPr>
          </w:p>
        </w:tc>
        <w:tc>
          <w:tcPr>
            <w:tcW w:w="8930" w:type="dxa"/>
          </w:tcPr>
          <w:p w:rsidRPr="00A10AC0" w:rsidR="00A76D4B" w:rsidP="00A10AC0" w:rsidRDefault="00A76D4B" w14:paraId="70372B5F" w14:textId="7DC56941">
            <w:pPr>
              <w:pStyle w:val="Geenafstand"/>
              <w:spacing w:line="276" w:lineRule="auto"/>
              <w:rPr>
                <w:szCs w:val="18"/>
              </w:rPr>
            </w:pPr>
            <w:r w:rsidRPr="00A10AC0">
              <w:rPr>
                <w:szCs w:val="18"/>
              </w:rPr>
              <w:t xml:space="preserve">De herstelorganisatie probeert waar mogelijk vrijgevallen plekken in te vullen met vast personeel of externen in loondienst, zoals uitzendkrachten en detacheringsmedewerkers. </w:t>
            </w:r>
            <w:r w:rsidR="00C33E12">
              <w:rPr>
                <w:szCs w:val="18"/>
              </w:rPr>
              <w:t xml:space="preserve">Het opvangen van dergelijk verloop met nieuwe medewerkers </w:t>
            </w:r>
            <w:r w:rsidRPr="00A10AC0">
              <w:rPr>
                <w:szCs w:val="18"/>
              </w:rPr>
              <w:t xml:space="preserve">kost tijd en hier is nog geen sluitend beeld van te geven. Gezien de opgave die er nog ligt wordt verwacht dat er vooral impact is bij de afdelingen voor bezwaar, beroep en aanvullende schade.  Ook zijn er relatief veel potentiële schijnzelfstandigen werkzaam bij de afdelingen voor integrale beoordelingen van Uitvoeringsorganisatie Herstel Toeslagen en het DG Herstel. In de voortgangsrapportages zal ik u </w:t>
            </w:r>
            <w:r w:rsidRPr="00A10AC0">
              <w:rPr>
                <w:szCs w:val="18"/>
              </w:rPr>
              <w:lastRenderedPageBreak/>
              <w:t>op de hoogte houden van de gevolgen die de afbouw van schijnzelfstandigheid heeft op de hersteloperatie.</w:t>
            </w:r>
          </w:p>
          <w:p w:rsidRPr="00A10AC0" w:rsidR="008716C0" w:rsidP="00A10AC0" w:rsidRDefault="008716C0" w14:paraId="4EA9BFB2" w14:textId="77777777">
            <w:pPr>
              <w:spacing w:line="276" w:lineRule="auto"/>
              <w:ind w:right="283"/>
              <w:rPr>
                <w:rFonts w:ascii="Verdana" w:hAnsi="Verdana"/>
                <w:sz w:val="18"/>
                <w:szCs w:val="18"/>
              </w:rPr>
            </w:pPr>
          </w:p>
        </w:tc>
      </w:tr>
      <w:tr w:rsidRPr="00A10AC0" w:rsidR="008716C0" w:rsidTr="00A10AC0" w14:paraId="22A64003" w14:textId="612BE0E2">
        <w:tc>
          <w:tcPr>
            <w:tcW w:w="568" w:type="dxa"/>
          </w:tcPr>
          <w:p w:rsidRPr="00A10AC0" w:rsidR="008716C0" w:rsidP="00A10AC0" w:rsidRDefault="008716C0" w14:paraId="5409943B" w14:textId="77777777">
            <w:pPr>
              <w:spacing w:line="276" w:lineRule="auto"/>
              <w:rPr>
                <w:rFonts w:ascii="Verdana" w:hAnsi="Verdana"/>
                <w:b/>
                <w:bCs/>
                <w:sz w:val="18"/>
                <w:szCs w:val="18"/>
              </w:rPr>
            </w:pPr>
            <w:bookmarkStart w:name="_Hlk192663695" w:id="1"/>
            <w:r w:rsidRPr="00A10AC0">
              <w:rPr>
                <w:rFonts w:ascii="Verdana" w:hAnsi="Verdana"/>
                <w:b/>
                <w:bCs/>
                <w:sz w:val="18"/>
                <w:szCs w:val="18"/>
              </w:rPr>
              <w:lastRenderedPageBreak/>
              <w:t>44</w:t>
            </w:r>
          </w:p>
        </w:tc>
        <w:tc>
          <w:tcPr>
            <w:tcW w:w="4677" w:type="dxa"/>
          </w:tcPr>
          <w:p w:rsidRPr="00A10AC0" w:rsidR="008716C0" w:rsidP="00A10AC0" w:rsidRDefault="008716C0" w14:paraId="4D3F0EBE" w14:textId="77777777">
            <w:pPr>
              <w:spacing w:line="276" w:lineRule="auto"/>
              <w:rPr>
                <w:rFonts w:ascii="Verdana" w:hAnsi="Verdana"/>
                <w:sz w:val="18"/>
                <w:szCs w:val="18"/>
              </w:rPr>
            </w:pPr>
            <w:r w:rsidRPr="00A10AC0">
              <w:rPr>
                <w:rFonts w:ascii="Verdana" w:hAnsi="Verdana"/>
                <w:sz w:val="18"/>
                <w:szCs w:val="18"/>
              </w:rPr>
              <w:t xml:space="preserve">Het verdiepende onderzoek van de CWS wijst uit dat de organisatie en wervingsstrategie geheel afhankelijk zijn van Zzp’ers en </w:t>
            </w:r>
            <w:proofErr w:type="spellStart"/>
            <w:r w:rsidRPr="00A10AC0">
              <w:rPr>
                <w:rFonts w:ascii="Verdana" w:hAnsi="Verdana"/>
                <w:sz w:val="18"/>
                <w:szCs w:val="18"/>
              </w:rPr>
              <w:t>interimmers</w:t>
            </w:r>
            <w:proofErr w:type="spellEnd"/>
            <w:r w:rsidRPr="00A10AC0">
              <w:rPr>
                <w:rFonts w:ascii="Verdana" w:hAnsi="Verdana"/>
                <w:sz w:val="18"/>
                <w:szCs w:val="18"/>
              </w:rPr>
              <w:t>, die onder de uitzonderingsregel vallen die per 1 april 2025 vervalt. Wat zijn de verwachte gevolgen van het uitvallen van deze groep voor het voortbestaan van deze schaderoute?</w:t>
            </w:r>
          </w:p>
          <w:p w:rsidRPr="00A10AC0" w:rsidR="001F0455" w:rsidP="00A10AC0" w:rsidRDefault="001F0455" w14:paraId="0E886C0F" w14:textId="43208622">
            <w:pPr>
              <w:spacing w:line="276" w:lineRule="auto"/>
              <w:rPr>
                <w:rFonts w:ascii="Verdana" w:hAnsi="Verdana"/>
                <w:sz w:val="18"/>
                <w:szCs w:val="18"/>
              </w:rPr>
            </w:pPr>
          </w:p>
        </w:tc>
        <w:tc>
          <w:tcPr>
            <w:tcW w:w="284" w:type="dxa"/>
          </w:tcPr>
          <w:p w:rsidRPr="00A10AC0" w:rsidR="008716C0" w:rsidP="00A10AC0" w:rsidRDefault="008716C0" w14:paraId="3445AE41" w14:textId="77777777">
            <w:pPr>
              <w:spacing w:line="276" w:lineRule="auto"/>
              <w:rPr>
                <w:rFonts w:ascii="Verdana" w:hAnsi="Verdana"/>
                <w:sz w:val="18"/>
                <w:szCs w:val="18"/>
              </w:rPr>
            </w:pPr>
          </w:p>
        </w:tc>
        <w:tc>
          <w:tcPr>
            <w:tcW w:w="8930" w:type="dxa"/>
          </w:tcPr>
          <w:p w:rsidR="008716C0" w:rsidP="00A10AC0" w:rsidRDefault="008716C0" w14:paraId="2464112A" w14:textId="7E4EE8CB">
            <w:pPr>
              <w:spacing w:line="276" w:lineRule="auto"/>
              <w:rPr>
                <w:rFonts w:ascii="Verdana" w:hAnsi="Verdana"/>
                <w:sz w:val="18"/>
                <w:szCs w:val="18"/>
              </w:rPr>
            </w:pPr>
            <w:r w:rsidRPr="00A10AC0">
              <w:rPr>
                <w:rFonts w:ascii="Verdana" w:hAnsi="Verdana"/>
                <w:sz w:val="18"/>
                <w:szCs w:val="18"/>
              </w:rPr>
              <w:t>Het wegvallen van de inzet van zzp’ers zal een forse impact hebben op het aantal adviezen dat de CWS per week kan geven. Hoewel de CWS onderzoekt of er mogelijkheden zijn om zzp’ers, en daarmee kennis, ervaring en kunde te behouden voor de CWS, is beslist niet uit te sluiten dat deze mogelijkheden in de praktijk niet of uiterst beperkt zijn.</w:t>
            </w:r>
          </w:p>
          <w:p w:rsidRPr="00A10AC0" w:rsidR="00636620" w:rsidP="00A10AC0" w:rsidRDefault="00636620" w14:paraId="2EDF21CD" w14:textId="588ADB7C">
            <w:pPr>
              <w:spacing w:line="276" w:lineRule="auto"/>
              <w:rPr>
                <w:rFonts w:ascii="Verdana" w:hAnsi="Verdana"/>
                <w:sz w:val="18"/>
                <w:szCs w:val="18"/>
              </w:rPr>
            </w:pPr>
            <w:r>
              <w:rPr>
                <w:rFonts w:ascii="Verdana" w:hAnsi="Verdana"/>
                <w:sz w:val="18"/>
                <w:szCs w:val="18"/>
              </w:rPr>
              <w:t xml:space="preserve">Wanneer de CWS gaat worden omgevormd naar de CCS (conform het advies van de commissie Van Dam) gaan de aantallen afnemen.  </w:t>
            </w:r>
          </w:p>
          <w:p w:rsidRPr="00A10AC0" w:rsidR="008716C0" w:rsidP="00A10AC0" w:rsidRDefault="008716C0" w14:paraId="6B5F3A68" w14:textId="51352A8A">
            <w:pPr>
              <w:spacing w:line="276" w:lineRule="auto"/>
              <w:ind w:right="283"/>
              <w:rPr>
                <w:rFonts w:ascii="Verdana" w:hAnsi="Verdana"/>
                <w:sz w:val="18"/>
                <w:szCs w:val="18"/>
              </w:rPr>
            </w:pPr>
          </w:p>
        </w:tc>
      </w:tr>
      <w:bookmarkEnd w:id="1"/>
      <w:tr w:rsidRPr="00A10AC0" w:rsidR="008716C0" w:rsidTr="00A10AC0" w14:paraId="1163BC77" w14:textId="3F508EBC">
        <w:tc>
          <w:tcPr>
            <w:tcW w:w="568" w:type="dxa"/>
          </w:tcPr>
          <w:p w:rsidRPr="00A10AC0" w:rsidR="008716C0" w:rsidP="00A10AC0" w:rsidRDefault="008716C0" w14:paraId="5EF26E48" w14:textId="77777777">
            <w:pPr>
              <w:spacing w:line="276" w:lineRule="auto"/>
              <w:rPr>
                <w:rFonts w:ascii="Verdana" w:hAnsi="Verdana"/>
                <w:b/>
                <w:bCs/>
                <w:sz w:val="18"/>
                <w:szCs w:val="18"/>
              </w:rPr>
            </w:pPr>
            <w:r w:rsidRPr="00A10AC0">
              <w:rPr>
                <w:rFonts w:ascii="Verdana" w:hAnsi="Verdana"/>
                <w:b/>
                <w:bCs/>
                <w:sz w:val="18"/>
                <w:szCs w:val="18"/>
              </w:rPr>
              <w:t>45</w:t>
            </w:r>
          </w:p>
        </w:tc>
        <w:tc>
          <w:tcPr>
            <w:tcW w:w="4677" w:type="dxa"/>
          </w:tcPr>
          <w:p w:rsidRPr="00A10AC0" w:rsidR="008716C0" w:rsidP="00A10AC0" w:rsidRDefault="008716C0" w14:paraId="212A0908" w14:textId="77777777">
            <w:pPr>
              <w:spacing w:line="276" w:lineRule="auto"/>
              <w:rPr>
                <w:rFonts w:ascii="Verdana" w:hAnsi="Verdana"/>
                <w:sz w:val="18"/>
                <w:szCs w:val="18"/>
              </w:rPr>
            </w:pPr>
            <w:r w:rsidRPr="00A10AC0">
              <w:rPr>
                <w:rFonts w:ascii="Verdana" w:hAnsi="Verdana"/>
                <w:sz w:val="18"/>
                <w:szCs w:val="18"/>
              </w:rPr>
              <w:t>Zijn er tot op heden herzieningsverzoeken ingediend door gedupeerden uit de eerste fase van de hersteloperatie die stellen ongelijk behandeld te zijn ten opzichte van gedupeerden uit latere fasen, gezien de invoering van het nieuwe schadekader?</w:t>
            </w:r>
          </w:p>
          <w:p w:rsidRPr="00A10AC0" w:rsidR="008716C0" w:rsidP="00A10AC0" w:rsidRDefault="008716C0" w14:paraId="157DAD08" w14:textId="74DEFBFA">
            <w:pPr>
              <w:spacing w:line="276" w:lineRule="auto"/>
              <w:rPr>
                <w:rFonts w:ascii="Verdana" w:hAnsi="Verdana"/>
                <w:sz w:val="18"/>
                <w:szCs w:val="18"/>
              </w:rPr>
            </w:pPr>
          </w:p>
        </w:tc>
        <w:tc>
          <w:tcPr>
            <w:tcW w:w="284" w:type="dxa"/>
          </w:tcPr>
          <w:p w:rsidRPr="00A10AC0" w:rsidR="008716C0" w:rsidP="00A10AC0" w:rsidRDefault="008716C0" w14:paraId="1AD1ADDA" w14:textId="77777777">
            <w:pPr>
              <w:spacing w:line="276" w:lineRule="auto"/>
              <w:ind w:right="283"/>
              <w:rPr>
                <w:rFonts w:ascii="Verdana" w:hAnsi="Verdana"/>
                <w:sz w:val="18"/>
                <w:szCs w:val="18"/>
              </w:rPr>
            </w:pPr>
          </w:p>
        </w:tc>
        <w:tc>
          <w:tcPr>
            <w:tcW w:w="8930" w:type="dxa"/>
          </w:tcPr>
          <w:p w:rsidRPr="00A10AC0" w:rsidR="008716C0" w:rsidP="00A10AC0" w:rsidRDefault="008716C0" w14:paraId="10808BF4" w14:textId="5AC4B887">
            <w:pPr>
              <w:spacing w:line="276" w:lineRule="auto"/>
              <w:ind w:right="283"/>
              <w:rPr>
                <w:rFonts w:ascii="Verdana" w:hAnsi="Verdana"/>
                <w:sz w:val="18"/>
                <w:szCs w:val="18"/>
              </w:rPr>
            </w:pPr>
            <w:r w:rsidRPr="00A10AC0">
              <w:rPr>
                <w:rFonts w:ascii="Verdana" w:hAnsi="Verdana"/>
                <w:sz w:val="18"/>
                <w:szCs w:val="18"/>
              </w:rPr>
              <w:t xml:space="preserve">Dit </w:t>
            </w:r>
            <w:r w:rsidRPr="00A10AC0" w:rsidR="00431749">
              <w:rPr>
                <w:rFonts w:ascii="Verdana" w:hAnsi="Verdana"/>
                <w:sz w:val="18"/>
                <w:szCs w:val="18"/>
              </w:rPr>
              <w:t xml:space="preserve">komt sporadisch voor. </w:t>
            </w:r>
          </w:p>
        </w:tc>
      </w:tr>
      <w:tr w:rsidRPr="00A10AC0" w:rsidR="008716C0" w:rsidTr="00A10AC0" w14:paraId="6FCA509B" w14:textId="2E85D853">
        <w:tc>
          <w:tcPr>
            <w:tcW w:w="568" w:type="dxa"/>
          </w:tcPr>
          <w:p w:rsidRPr="00A10AC0" w:rsidR="008716C0" w:rsidP="00A10AC0" w:rsidRDefault="008716C0" w14:paraId="3A41C951" w14:textId="77777777">
            <w:pPr>
              <w:spacing w:line="276" w:lineRule="auto"/>
              <w:rPr>
                <w:rFonts w:ascii="Verdana" w:hAnsi="Verdana"/>
                <w:b/>
                <w:bCs/>
                <w:sz w:val="18"/>
                <w:szCs w:val="18"/>
              </w:rPr>
            </w:pPr>
            <w:r w:rsidRPr="00A10AC0">
              <w:rPr>
                <w:rFonts w:ascii="Verdana" w:hAnsi="Verdana"/>
                <w:b/>
                <w:bCs/>
                <w:sz w:val="18"/>
                <w:szCs w:val="18"/>
              </w:rPr>
              <w:t>46</w:t>
            </w:r>
          </w:p>
        </w:tc>
        <w:tc>
          <w:tcPr>
            <w:tcW w:w="4677" w:type="dxa"/>
          </w:tcPr>
          <w:p w:rsidRPr="00A10AC0" w:rsidR="008716C0" w:rsidP="00A10AC0" w:rsidRDefault="008716C0" w14:paraId="08D50916" w14:textId="303C0520">
            <w:pPr>
              <w:spacing w:line="276" w:lineRule="auto"/>
              <w:rPr>
                <w:rFonts w:ascii="Verdana" w:hAnsi="Verdana"/>
                <w:sz w:val="18"/>
                <w:szCs w:val="18"/>
              </w:rPr>
            </w:pPr>
            <w:r w:rsidRPr="00A10AC0">
              <w:rPr>
                <w:rFonts w:ascii="Verdana" w:hAnsi="Verdana"/>
                <w:sz w:val="18"/>
                <w:szCs w:val="18"/>
              </w:rPr>
              <w:t>Kunt u aangeven waarom u verwacht dat het tot eind 2025 duurt om de resterende circa 12.000 integrale beoordelingen af te ronden als de UHT er in de laatste vier maanden van 2024 al circa 7.400 heeft uitgevoerd?</w:t>
            </w:r>
          </w:p>
        </w:tc>
        <w:tc>
          <w:tcPr>
            <w:tcW w:w="284" w:type="dxa"/>
          </w:tcPr>
          <w:p w:rsidRPr="00A10AC0" w:rsidR="008716C0" w:rsidP="00A10AC0" w:rsidRDefault="008716C0" w14:paraId="24151CFD" w14:textId="77777777">
            <w:pPr>
              <w:spacing w:line="276" w:lineRule="auto"/>
              <w:ind w:right="283"/>
              <w:rPr>
                <w:rFonts w:ascii="Verdana" w:hAnsi="Verdana"/>
                <w:sz w:val="18"/>
                <w:szCs w:val="18"/>
              </w:rPr>
            </w:pPr>
          </w:p>
        </w:tc>
        <w:tc>
          <w:tcPr>
            <w:tcW w:w="8930" w:type="dxa"/>
          </w:tcPr>
          <w:p w:rsidRPr="00A10AC0" w:rsidR="00A76D4B" w:rsidP="00A10AC0" w:rsidRDefault="00A76D4B" w14:paraId="2CC2B10C" w14:textId="15566C49">
            <w:pPr>
              <w:spacing w:line="276" w:lineRule="auto"/>
              <w:ind w:right="283"/>
              <w:rPr>
                <w:rFonts w:ascii="Verdana" w:hAnsi="Verdana"/>
                <w:sz w:val="18"/>
                <w:szCs w:val="18"/>
              </w:rPr>
            </w:pPr>
            <w:r w:rsidRPr="00A10AC0">
              <w:rPr>
                <w:rFonts w:ascii="Verdana" w:hAnsi="Verdana"/>
                <w:sz w:val="18"/>
                <w:szCs w:val="18"/>
              </w:rPr>
              <w:t xml:space="preserve">Een vergelijking met het de laatste vier maanden van 2024 is om een aantal redenen niet realistisch. Ten eerste worden bij de integrale beoordeling in 2025 geen nieuwe medewerkers meer aangenomen en vindt afbouw van capaciteit plaats (natuurlijke uitstroom en afscheid externen gedurende het jaar). Het werk wordt dus met steeds minder medewerkers gedaan. </w:t>
            </w:r>
            <w:r w:rsidRPr="001E3A8C" w:rsidR="001E3A8C">
              <w:rPr>
                <w:rFonts w:ascii="Verdana" w:hAnsi="Verdana"/>
                <w:sz w:val="18"/>
                <w:szCs w:val="18"/>
              </w:rPr>
              <w:t xml:space="preserve">Dit gebeurt omdat het werk gaandeweg vermindert en dit varieert voor de verschillende disciplines die bij de integrale beoordeling betrokken zijn. </w:t>
            </w:r>
            <w:r w:rsidRPr="00A10AC0">
              <w:rPr>
                <w:rFonts w:ascii="Verdana" w:hAnsi="Verdana"/>
                <w:sz w:val="18"/>
                <w:szCs w:val="18"/>
              </w:rPr>
              <w:t xml:space="preserve">Dit betekent ook overdracht van werkzaamheden van vertrekkende medewerkers. Daarnaast vraagt de afronding van werkzaamheden om extra inspanning. Bijvoorbeeld aanvragen die nu om verschillende redenen </w:t>
            </w:r>
            <w:r w:rsidRPr="00A10AC0">
              <w:rPr>
                <w:rFonts w:ascii="Verdana" w:hAnsi="Verdana"/>
                <w:i/>
                <w:iCs/>
                <w:sz w:val="18"/>
                <w:szCs w:val="18"/>
              </w:rPr>
              <w:t xml:space="preserve">on </w:t>
            </w:r>
            <w:proofErr w:type="spellStart"/>
            <w:r w:rsidRPr="00A10AC0">
              <w:rPr>
                <w:rFonts w:ascii="Verdana" w:hAnsi="Verdana"/>
                <w:i/>
                <w:iCs/>
                <w:sz w:val="18"/>
                <w:szCs w:val="18"/>
              </w:rPr>
              <w:t>hold</w:t>
            </w:r>
            <w:proofErr w:type="spellEnd"/>
            <w:r w:rsidRPr="00A10AC0">
              <w:rPr>
                <w:rFonts w:ascii="Verdana" w:hAnsi="Verdana"/>
                <w:sz w:val="18"/>
                <w:szCs w:val="18"/>
              </w:rPr>
              <w:t xml:space="preserve"> staan en meer handelingen vragen om af te ronden. Bijvoorbeeld de beoordeling van ouders die niet bereikt kunnen worden. </w:t>
            </w:r>
            <w:r w:rsidRPr="00A10AC0">
              <w:rPr>
                <w:rFonts w:ascii="Verdana" w:hAnsi="Verdana"/>
                <w:b/>
                <w:bCs/>
                <w:sz w:val="18"/>
                <w:szCs w:val="18"/>
              </w:rPr>
              <w:t xml:space="preserve"> </w:t>
            </w:r>
          </w:p>
          <w:p w:rsidRPr="00A10AC0" w:rsidR="008716C0" w:rsidP="00A10AC0" w:rsidRDefault="008716C0" w14:paraId="5FC8A2F8" w14:textId="40592B83">
            <w:pPr>
              <w:spacing w:line="276" w:lineRule="auto"/>
              <w:ind w:right="283"/>
              <w:rPr>
                <w:rFonts w:ascii="Verdana" w:hAnsi="Verdana"/>
                <w:sz w:val="18"/>
                <w:szCs w:val="18"/>
              </w:rPr>
            </w:pPr>
          </w:p>
        </w:tc>
      </w:tr>
      <w:tr w:rsidRPr="00A10AC0" w:rsidR="008716C0" w:rsidTr="00A10AC0" w14:paraId="2FD112CB" w14:textId="2F20F47D">
        <w:tc>
          <w:tcPr>
            <w:tcW w:w="568" w:type="dxa"/>
          </w:tcPr>
          <w:p w:rsidRPr="00A10AC0" w:rsidR="008716C0" w:rsidP="00A10AC0" w:rsidRDefault="008716C0" w14:paraId="3F832C51" w14:textId="77777777">
            <w:pPr>
              <w:spacing w:line="276" w:lineRule="auto"/>
              <w:rPr>
                <w:rFonts w:ascii="Verdana" w:hAnsi="Verdana"/>
                <w:b/>
                <w:bCs/>
                <w:sz w:val="18"/>
                <w:szCs w:val="18"/>
              </w:rPr>
            </w:pPr>
            <w:bookmarkStart w:name="_Hlk192676331" w:id="2"/>
            <w:r w:rsidRPr="00A10AC0">
              <w:rPr>
                <w:rFonts w:ascii="Verdana" w:hAnsi="Verdana"/>
                <w:b/>
                <w:bCs/>
                <w:sz w:val="18"/>
                <w:szCs w:val="18"/>
              </w:rPr>
              <w:t>47</w:t>
            </w:r>
          </w:p>
        </w:tc>
        <w:tc>
          <w:tcPr>
            <w:tcW w:w="4677" w:type="dxa"/>
          </w:tcPr>
          <w:p w:rsidRPr="00A10AC0" w:rsidR="008716C0" w:rsidP="00A10AC0" w:rsidRDefault="008716C0" w14:paraId="4D677985" w14:textId="77777777">
            <w:pPr>
              <w:spacing w:line="276" w:lineRule="auto"/>
              <w:rPr>
                <w:rFonts w:ascii="Verdana" w:hAnsi="Verdana"/>
                <w:sz w:val="18"/>
                <w:szCs w:val="18"/>
              </w:rPr>
            </w:pPr>
            <w:r w:rsidRPr="00A10AC0">
              <w:rPr>
                <w:rFonts w:ascii="Verdana" w:hAnsi="Verdana"/>
                <w:sz w:val="18"/>
                <w:szCs w:val="18"/>
              </w:rPr>
              <w:t xml:space="preserve">Kunt u aangeven wat de redenen zijn voor het lager dan de verwachting liggen van het aantal getekende </w:t>
            </w:r>
            <w:proofErr w:type="spellStart"/>
            <w:r w:rsidRPr="00A10AC0">
              <w:rPr>
                <w:rFonts w:ascii="Verdana" w:hAnsi="Verdana"/>
                <w:sz w:val="18"/>
                <w:szCs w:val="18"/>
              </w:rPr>
              <w:t>VSO’s</w:t>
            </w:r>
            <w:proofErr w:type="spellEnd"/>
            <w:r w:rsidRPr="00A10AC0">
              <w:rPr>
                <w:rFonts w:ascii="Verdana" w:hAnsi="Verdana"/>
                <w:sz w:val="18"/>
                <w:szCs w:val="18"/>
              </w:rPr>
              <w:t xml:space="preserve"> in deze periode door SGH?</w:t>
            </w:r>
          </w:p>
          <w:p w:rsidRPr="00A10AC0" w:rsidR="00B91155" w:rsidP="00A10AC0" w:rsidRDefault="00B91155" w14:paraId="2647E962" w14:textId="3CB7C4A2">
            <w:pPr>
              <w:spacing w:line="276" w:lineRule="auto"/>
              <w:rPr>
                <w:rFonts w:ascii="Verdana" w:hAnsi="Verdana"/>
                <w:sz w:val="18"/>
                <w:szCs w:val="18"/>
              </w:rPr>
            </w:pPr>
          </w:p>
        </w:tc>
        <w:tc>
          <w:tcPr>
            <w:tcW w:w="284" w:type="dxa"/>
          </w:tcPr>
          <w:p w:rsidRPr="00A10AC0" w:rsidR="008716C0" w:rsidP="00A10AC0" w:rsidRDefault="008716C0" w14:paraId="4EF1A24A" w14:textId="77777777">
            <w:pPr>
              <w:spacing w:line="276" w:lineRule="auto"/>
              <w:rPr>
                <w:rFonts w:ascii="Verdana" w:hAnsi="Verdana"/>
                <w:sz w:val="18"/>
                <w:szCs w:val="18"/>
              </w:rPr>
            </w:pPr>
          </w:p>
        </w:tc>
        <w:tc>
          <w:tcPr>
            <w:tcW w:w="8930" w:type="dxa"/>
          </w:tcPr>
          <w:p w:rsidRPr="00A10AC0" w:rsidR="008716C0" w:rsidP="00A10AC0" w:rsidRDefault="008716C0" w14:paraId="1E502492" w14:textId="63F73B6C">
            <w:pPr>
              <w:spacing w:line="276" w:lineRule="auto"/>
              <w:rPr>
                <w:rFonts w:ascii="Verdana" w:hAnsi="Verdana"/>
                <w:sz w:val="18"/>
                <w:szCs w:val="18"/>
              </w:rPr>
            </w:pPr>
            <w:r w:rsidRPr="00A10AC0">
              <w:rPr>
                <w:rFonts w:ascii="Verdana" w:hAnsi="Verdana"/>
                <w:sz w:val="18"/>
                <w:szCs w:val="18"/>
              </w:rPr>
              <w:t xml:space="preserve">De redenen voor de lager dan verwachtte productie zijn op dit moment onderwerp van gesprek tussen het ministerie en SGH en nog niet voldoende in beeld om uitsluitsel over te geven. </w:t>
            </w:r>
          </w:p>
        </w:tc>
      </w:tr>
      <w:bookmarkEnd w:id="2"/>
      <w:tr w:rsidRPr="00A10AC0" w:rsidR="008716C0" w:rsidTr="00A10AC0" w14:paraId="03AED0FE" w14:textId="0397C19F">
        <w:tc>
          <w:tcPr>
            <w:tcW w:w="568" w:type="dxa"/>
          </w:tcPr>
          <w:p w:rsidRPr="00A10AC0" w:rsidR="008716C0" w:rsidP="00A10AC0" w:rsidRDefault="008716C0" w14:paraId="02CAC673" w14:textId="77777777">
            <w:pPr>
              <w:spacing w:line="276" w:lineRule="auto"/>
              <w:rPr>
                <w:rFonts w:ascii="Verdana" w:hAnsi="Verdana"/>
                <w:b/>
                <w:bCs/>
                <w:sz w:val="18"/>
                <w:szCs w:val="18"/>
              </w:rPr>
            </w:pPr>
            <w:r w:rsidRPr="00A10AC0">
              <w:rPr>
                <w:rFonts w:ascii="Verdana" w:hAnsi="Verdana"/>
                <w:b/>
                <w:bCs/>
                <w:sz w:val="18"/>
                <w:szCs w:val="18"/>
              </w:rPr>
              <w:t>48</w:t>
            </w:r>
          </w:p>
        </w:tc>
        <w:tc>
          <w:tcPr>
            <w:tcW w:w="4677" w:type="dxa"/>
          </w:tcPr>
          <w:p w:rsidRPr="00A10AC0" w:rsidR="008716C0" w:rsidP="00A10AC0" w:rsidRDefault="008716C0" w14:paraId="382BCEF1" w14:textId="2B2E5783">
            <w:pPr>
              <w:spacing w:line="276" w:lineRule="auto"/>
              <w:rPr>
                <w:rFonts w:ascii="Verdana" w:hAnsi="Verdana"/>
                <w:sz w:val="18"/>
                <w:szCs w:val="18"/>
              </w:rPr>
            </w:pPr>
            <w:r w:rsidRPr="00A10AC0">
              <w:rPr>
                <w:rFonts w:ascii="Verdana" w:hAnsi="Verdana"/>
                <w:sz w:val="18"/>
                <w:szCs w:val="18"/>
              </w:rPr>
              <w:t>Wat zijn de redenen dat ouders kiezen voor CWS in plaats van de regieroute VSO?</w:t>
            </w:r>
          </w:p>
        </w:tc>
        <w:tc>
          <w:tcPr>
            <w:tcW w:w="284" w:type="dxa"/>
          </w:tcPr>
          <w:p w:rsidRPr="00A10AC0" w:rsidR="008716C0" w:rsidP="00A10AC0" w:rsidRDefault="008716C0" w14:paraId="411192C1" w14:textId="77777777">
            <w:pPr>
              <w:spacing w:line="276" w:lineRule="auto"/>
              <w:rPr>
                <w:rFonts w:ascii="Verdana" w:hAnsi="Verdana"/>
                <w:sz w:val="18"/>
                <w:szCs w:val="18"/>
              </w:rPr>
            </w:pPr>
          </w:p>
        </w:tc>
        <w:tc>
          <w:tcPr>
            <w:tcW w:w="8930" w:type="dxa"/>
          </w:tcPr>
          <w:p w:rsidR="008716C0" w:rsidP="00636620" w:rsidRDefault="008716C0" w14:paraId="2B10BB8C" w14:textId="77777777">
            <w:pPr>
              <w:spacing w:line="276" w:lineRule="auto"/>
              <w:rPr>
                <w:rFonts w:ascii="Verdana" w:hAnsi="Verdana"/>
                <w:sz w:val="18"/>
                <w:szCs w:val="18"/>
              </w:rPr>
            </w:pPr>
            <w:r w:rsidRPr="00A10AC0">
              <w:rPr>
                <w:rFonts w:ascii="Verdana" w:hAnsi="Verdana"/>
                <w:sz w:val="18"/>
                <w:szCs w:val="18"/>
              </w:rPr>
              <w:t xml:space="preserve">Hier is (nog) geen onderzoek naar gedaan, maar onderscheidend aan CWS binnen het schadestelsel is de mogelijkheid in bezwaar en beroep te gaan tegen een beschikking. </w:t>
            </w:r>
          </w:p>
          <w:p w:rsidRPr="00A10AC0" w:rsidR="002900BD" w:rsidP="00636620" w:rsidRDefault="002900BD" w14:paraId="6FEB964C" w14:textId="2119A880">
            <w:pPr>
              <w:spacing w:line="276" w:lineRule="auto"/>
              <w:rPr>
                <w:rFonts w:ascii="Verdana" w:hAnsi="Verdana"/>
                <w:sz w:val="18"/>
                <w:szCs w:val="18"/>
              </w:rPr>
            </w:pPr>
          </w:p>
        </w:tc>
      </w:tr>
      <w:tr w:rsidRPr="00A10AC0" w:rsidR="008716C0" w:rsidTr="00A10AC0" w14:paraId="4F3964B8" w14:textId="3BF1E1E3">
        <w:tc>
          <w:tcPr>
            <w:tcW w:w="568" w:type="dxa"/>
          </w:tcPr>
          <w:p w:rsidRPr="00A10AC0" w:rsidR="008716C0" w:rsidP="00A10AC0" w:rsidRDefault="008716C0" w14:paraId="649457CB" w14:textId="77777777">
            <w:pPr>
              <w:spacing w:line="276" w:lineRule="auto"/>
              <w:rPr>
                <w:rFonts w:ascii="Verdana" w:hAnsi="Verdana"/>
                <w:b/>
                <w:bCs/>
                <w:sz w:val="18"/>
                <w:szCs w:val="18"/>
              </w:rPr>
            </w:pPr>
            <w:r w:rsidRPr="00A10AC0">
              <w:rPr>
                <w:rFonts w:ascii="Verdana" w:hAnsi="Verdana"/>
                <w:b/>
                <w:bCs/>
                <w:sz w:val="18"/>
                <w:szCs w:val="18"/>
              </w:rPr>
              <w:lastRenderedPageBreak/>
              <w:t>49</w:t>
            </w:r>
          </w:p>
        </w:tc>
        <w:tc>
          <w:tcPr>
            <w:tcW w:w="4677" w:type="dxa"/>
          </w:tcPr>
          <w:p w:rsidRPr="00A10AC0" w:rsidR="008716C0" w:rsidP="00A10AC0" w:rsidRDefault="008716C0" w14:paraId="29F8F771" w14:textId="158786C4">
            <w:pPr>
              <w:spacing w:line="276" w:lineRule="auto"/>
              <w:rPr>
                <w:rFonts w:ascii="Verdana" w:hAnsi="Verdana"/>
                <w:sz w:val="18"/>
                <w:szCs w:val="18"/>
              </w:rPr>
            </w:pPr>
            <w:r w:rsidRPr="00A10AC0">
              <w:rPr>
                <w:rFonts w:ascii="Verdana" w:hAnsi="Verdana"/>
                <w:sz w:val="18"/>
                <w:szCs w:val="18"/>
              </w:rPr>
              <w:t>Wat is de snelheid van het afronden van een VSO-traject ten opzichte van het afronden van een CWS-traject?</w:t>
            </w:r>
          </w:p>
        </w:tc>
        <w:tc>
          <w:tcPr>
            <w:tcW w:w="284" w:type="dxa"/>
          </w:tcPr>
          <w:p w:rsidRPr="00A10AC0" w:rsidR="008716C0" w:rsidP="00A10AC0" w:rsidRDefault="008716C0" w14:paraId="2BDB022C" w14:textId="77777777">
            <w:pPr>
              <w:spacing w:line="276" w:lineRule="auto"/>
              <w:rPr>
                <w:rFonts w:ascii="Verdana" w:hAnsi="Verdana"/>
                <w:sz w:val="18"/>
                <w:szCs w:val="18"/>
              </w:rPr>
            </w:pPr>
          </w:p>
        </w:tc>
        <w:tc>
          <w:tcPr>
            <w:tcW w:w="8930" w:type="dxa"/>
          </w:tcPr>
          <w:p w:rsidRPr="00A10AC0" w:rsidR="008716C0" w:rsidP="00A10AC0" w:rsidRDefault="008716C0" w14:paraId="455AC717" w14:textId="2ED64BB2">
            <w:pPr>
              <w:spacing w:line="276" w:lineRule="auto"/>
              <w:rPr>
                <w:rFonts w:ascii="Verdana" w:hAnsi="Verdana"/>
                <w:sz w:val="18"/>
                <w:szCs w:val="18"/>
              </w:rPr>
            </w:pPr>
            <w:r w:rsidRPr="00A10AC0">
              <w:rPr>
                <w:rFonts w:ascii="Verdana" w:hAnsi="Verdana"/>
                <w:sz w:val="18"/>
                <w:szCs w:val="18"/>
              </w:rPr>
              <w:t xml:space="preserve">Dat hangt af van welk VSO-traject wordt gekozen. Doorlooptijd binnen de regieroute-VSO is gemiddeld 8 weken. De CWS kent een doorlooptijd van </w:t>
            </w:r>
            <w:r w:rsidRPr="00A10AC0" w:rsidR="00103B0F">
              <w:rPr>
                <w:rFonts w:ascii="Verdana" w:hAnsi="Verdana"/>
                <w:sz w:val="18"/>
                <w:szCs w:val="18"/>
              </w:rPr>
              <w:t xml:space="preserve">ca. </w:t>
            </w:r>
            <w:r w:rsidR="001E3A8C">
              <w:rPr>
                <w:rFonts w:ascii="Verdana" w:hAnsi="Verdana"/>
                <w:sz w:val="18"/>
                <w:szCs w:val="18"/>
              </w:rPr>
              <w:t>26 maanden</w:t>
            </w:r>
            <w:r w:rsidRPr="00A10AC0">
              <w:rPr>
                <w:rFonts w:ascii="Verdana" w:hAnsi="Verdana"/>
                <w:sz w:val="18"/>
                <w:szCs w:val="18"/>
              </w:rPr>
              <w:t xml:space="preserve">. De totale doorlooptijd van SGH – gemeten vanaf 1 oktober 2024 – is ongeveer 30 weken. Daarvan zijn ongeveer 9 weken nodig voor de schadeanalyse door SGH en ongeveer 2 weken voor de externe controle. </w:t>
            </w:r>
          </w:p>
          <w:p w:rsidRPr="00A10AC0" w:rsidR="008716C0" w:rsidP="00A10AC0" w:rsidRDefault="008716C0" w14:paraId="64CCA84D" w14:textId="46949F83">
            <w:pPr>
              <w:spacing w:line="276" w:lineRule="auto"/>
              <w:rPr>
                <w:rFonts w:ascii="Verdana" w:hAnsi="Verdana"/>
                <w:sz w:val="18"/>
                <w:szCs w:val="18"/>
              </w:rPr>
            </w:pPr>
            <w:r w:rsidRPr="00A10AC0">
              <w:rPr>
                <w:rFonts w:ascii="Verdana" w:hAnsi="Verdana"/>
                <w:sz w:val="18"/>
                <w:szCs w:val="18"/>
              </w:rPr>
              <w:t xml:space="preserve">De inmiddels gestopte pilot Digitale Route heeft nog te weinig </w:t>
            </w:r>
            <w:proofErr w:type="spellStart"/>
            <w:r w:rsidRPr="00A10AC0">
              <w:rPr>
                <w:rFonts w:ascii="Verdana" w:hAnsi="Verdana"/>
                <w:sz w:val="18"/>
                <w:szCs w:val="18"/>
              </w:rPr>
              <w:t>VSO’s</w:t>
            </w:r>
            <w:proofErr w:type="spellEnd"/>
            <w:r w:rsidRPr="00A10AC0">
              <w:rPr>
                <w:rFonts w:ascii="Verdana" w:hAnsi="Verdana"/>
                <w:sz w:val="18"/>
                <w:szCs w:val="18"/>
              </w:rPr>
              <w:t xml:space="preserve"> opgeleverd om iets te kunnen concluderen over gemiddelde doorlooptijden.</w:t>
            </w:r>
          </w:p>
          <w:p w:rsidRPr="00A10AC0" w:rsidR="008716C0" w:rsidP="00A10AC0" w:rsidRDefault="008716C0" w14:paraId="49739A1B" w14:textId="77777777">
            <w:pPr>
              <w:spacing w:line="276" w:lineRule="auto"/>
              <w:ind w:right="283"/>
              <w:rPr>
                <w:rFonts w:ascii="Verdana" w:hAnsi="Verdana"/>
                <w:sz w:val="18"/>
                <w:szCs w:val="18"/>
              </w:rPr>
            </w:pPr>
          </w:p>
        </w:tc>
      </w:tr>
      <w:tr w:rsidRPr="00A10AC0" w:rsidR="008716C0" w:rsidTr="00A10AC0" w14:paraId="5A409AB3" w14:textId="72EBD313">
        <w:tc>
          <w:tcPr>
            <w:tcW w:w="568" w:type="dxa"/>
          </w:tcPr>
          <w:p w:rsidRPr="00A10AC0" w:rsidR="008716C0" w:rsidP="00A10AC0" w:rsidRDefault="008716C0" w14:paraId="67D9C94C" w14:textId="77777777">
            <w:pPr>
              <w:spacing w:line="276" w:lineRule="auto"/>
              <w:rPr>
                <w:rFonts w:ascii="Verdana" w:hAnsi="Verdana"/>
                <w:b/>
                <w:bCs/>
                <w:sz w:val="18"/>
                <w:szCs w:val="18"/>
              </w:rPr>
            </w:pPr>
            <w:r w:rsidRPr="00A10AC0">
              <w:rPr>
                <w:rFonts w:ascii="Verdana" w:hAnsi="Verdana"/>
                <w:b/>
                <w:bCs/>
                <w:sz w:val="18"/>
                <w:szCs w:val="18"/>
              </w:rPr>
              <w:t>50</w:t>
            </w:r>
          </w:p>
        </w:tc>
        <w:tc>
          <w:tcPr>
            <w:tcW w:w="4677" w:type="dxa"/>
          </w:tcPr>
          <w:p w:rsidRPr="00A10AC0" w:rsidR="008716C0" w:rsidP="00A10AC0" w:rsidRDefault="008716C0" w14:paraId="63B66610" w14:textId="77777777">
            <w:pPr>
              <w:spacing w:line="276" w:lineRule="auto"/>
              <w:rPr>
                <w:rFonts w:ascii="Verdana" w:hAnsi="Verdana"/>
                <w:sz w:val="18"/>
                <w:szCs w:val="18"/>
              </w:rPr>
            </w:pPr>
            <w:r w:rsidRPr="00A10AC0">
              <w:rPr>
                <w:rFonts w:ascii="Verdana" w:hAnsi="Verdana"/>
                <w:sz w:val="18"/>
                <w:szCs w:val="18"/>
              </w:rPr>
              <w:t>Hoe vaak is het voorgekomen dat de UHT afwijkt van het BAC-advies?</w:t>
            </w:r>
          </w:p>
          <w:p w:rsidRPr="00A10AC0" w:rsidR="008716C0" w:rsidP="00A10AC0" w:rsidRDefault="008716C0" w14:paraId="290C5C60" w14:textId="3CE58024">
            <w:pPr>
              <w:spacing w:line="276" w:lineRule="auto"/>
              <w:rPr>
                <w:rFonts w:ascii="Verdana" w:hAnsi="Verdana"/>
                <w:sz w:val="18"/>
                <w:szCs w:val="18"/>
              </w:rPr>
            </w:pPr>
          </w:p>
        </w:tc>
        <w:tc>
          <w:tcPr>
            <w:tcW w:w="284" w:type="dxa"/>
          </w:tcPr>
          <w:p w:rsidRPr="00A10AC0" w:rsidR="008716C0" w:rsidP="00A10AC0" w:rsidRDefault="008716C0" w14:paraId="71F5495F" w14:textId="77777777">
            <w:pPr>
              <w:spacing w:line="276" w:lineRule="auto"/>
              <w:ind w:right="283"/>
              <w:rPr>
                <w:rFonts w:ascii="Verdana" w:hAnsi="Verdana"/>
                <w:sz w:val="18"/>
                <w:szCs w:val="18"/>
              </w:rPr>
            </w:pPr>
          </w:p>
        </w:tc>
        <w:tc>
          <w:tcPr>
            <w:tcW w:w="8930" w:type="dxa"/>
          </w:tcPr>
          <w:p w:rsidRPr="00A10AC0" w:rsidR="008716C0" w:rsidP="00A10AC0" w:rsidRDefault="008716C0" w14:paraId="5C0D74DD" w14:textId="0BEF2F46">
            <w:pPr>
              <w:spacing w:line="276" w:lineRule="auto"/>
              <w:ind w:right="283"/>
              <w:rPr>
                <w:rFonts w:ascii="Verdana" w:hAnsi="Verdana"/>
                <w:sz w:val="18"/>
                <w:szCs w:val="18"/>
              </w:rPr>
            </w:pPr>
            <w:r w:rsidRPr="00A10AC0">
              <w:rPr>
                <w:rFonts w:ascii="Verdana" w:hAnsi="Verdana"/>
                <w:sz w:val="18"/>
                <w:szCs w:val="18"/>
              </w:rPr>
              <w:t xml:space="preserve">Zie antwoord op vraag 12. </w:t>
            </w:r>
          </w:p>
        </w:tc>
      </w:tr>
      <w:tr w:rsidRPr="00A10AC0" w:rsidR="008716C0" w:rsidTr="00A10AC0" w14:paraId="5755E968" w14:textId="0B4930F5">
        <w:tc>
          <w:tcPr>
            <w:tcW w:w="568" w:type="dxa"/>
          </w:tcPr>
          <w:p w:rsidRPr="00A10AC0" w:rsidR="008716C0" w:rsidP="00A10AC0" w:rsidRDefault="008716C0" w14:paraId="7B7BBE55" w14:textId="77777777">
            <w:pPr>
              <w:spacing w:line="276" w:lineRule="auto"/>
              <w:rPr>
                <w:rFonts w:ascii="Verdana" w:hAnsi="Verdana"/>
                <w:b/>
                <w:bCs/>
                <w:sz w:val="18"/>
                <w:szCs w:val="18"/>
              </w:rPr>
            </w:pPr>
            <w:r w:rsidRPr="00A10AC0">
              <w:rPr>
                <w:rFonts w:ascii="Verdana" w:hAnsi="Verdana"/>
                <w:b/>
                <w:bCs/>
                <w:sz w:val="18"/>
                <w:szCs w:val="18"/>
              </w:rPr>
              <w:t>51</w:t>
            </w:r>
          </w:p>
        </w:tc>
        <w:tc>
          <w:tcPr>
            <w:tcW w:w="4677" w:type="dxa"/>
          </w:tcPr>
          <w:p w:rsidRPr="00A10AC0" w:rsidR="008716C0" w:rsidP="00A10AC0" w:rsidRDefault="008716C0" w14:paraId="5541C601" w14:textId="5688E8CC">
            <w:pPr>
              <w:spacing w:line="276" w:lineRule="auto"/>
              <w:rPr>
                <w:rFonts w:ascii="Verdana" w:hAnsi="Verdana"/>
                <w:sz w:val="18"/>
                <w:szCs w:val="18"/>
              </w:rPr>
            </w:pPr>
            <w:r w:rsidRPr="00A10AC0">
              <w:rPr>
                <w:rFonts w:ascii="Verdana" w:hAnsi="Verdana"/>
                <w:sz w:val="18"/>
                <w:szCs w:val="18"/>
              </w:rPr>
              <w:t>Hoe vaak wordt er gebruik gemaakt van de fysieke locaties in het land van de UHT?</w:t>
            </w:r>
          </w:p>
        </w:tc>
        <w:tc>
          <w:tcPr>
            <w:tcW w:w="284" w:type="dxa"/>
          </w:tcPr>
          <w:p w:rsidRPr="00A10AC0" w:rsidR="008716C0" w:rsidP="00A10AC0" w:rsidRDefault="008716C0" w14:paraId="06B55821" w14:textId="77777777">
            <w:pPr>
              <w:spacing w:line="276" w:lineRule="auto"/>
              <w:rPr>
                <w:rFonts w:ascii="Verdana" w:hAnsi="Verdana"/>
                <w:sz w:val="18"/>
                <w:szCs w:val="18"/>
              </w:rPr>
            </w:pPr>
          </w:p>
        </w:tc>
        <w:tc>
          <w:tcPr>
            <w:tcW w:w="8930" w:type="dxa"/>
          </w:tcPr>
          <w:p w:rsidRPr="00A10AC0" w:rsidR="00A76D4B" w:rsidP="00A10AC0" w:rsidRDefault="00A76D4B" w14:paraId="2AE2B4B4" w14:textId="77777777">
            <w:pPr>
              <w:spacing w:line="276" w:lineRule="auto"/>
              <w:rPr>
                <w:rFonts w:ascii="Verdana" w:hAnsi="Verdana"/>
                <w:sz w:val="18"/>
                <w:szCs w:val="18"/>
              </w:rPr>
            </w:pPr>
            <w:r w:rsidRPr="00A10AC0">
              <w:rPr>
                <w:rFonts w:ascii="Verdana" w:hAnsi="Verdana"/>
                <w:sz w:val="18"/>
                <w:szCs w:val="18"/>
              </w:rPr>
              <w:t xml:space="preserve">Sinds 2024 zijn er bezwarenteams werkzaam in Zwolle en Leeuwarden. Voor hoorzittingen wordt nog nauwelijks van deze locaties gebruik gemaakt. De meeste hoorzittingen worden door de BAC georganiseerd en vinden daarom plaats in Utrecht. De andere </w:t>
            </w:r>
            <w:proofErr w:type="spellStart"/>
            <w:r w:rsidRPr="00A10AC0">
              <w:rPr>
                <w:rFonts w:ascii="Verdana" w:hAnsi="Verdana"/>
                <w:sz w:val="18"/>
                <w:szCs w:val="18"/>
              </w:rPr>
              <w:t>hoorgesprekken</w:t>
            </w:r>
            <w:proofErr w:type="spellEnd"/>
            <w:r w:rsidRPr="00A10AC0">
              <w:rPr>
                <w:rFonts w:ascii="Verdana" w:hAnsi="Verdana"/>
                <w:sz w:val="18"/>
                <w:szCs w:val="18"/>
              </w:rPr>
              <w:t xml:space="preserve"> vinden vooral telefonisch plaats of via videobellen. Ook komt het voor dat de hoorzitting plaatsvindt op een door de ouder of gemachtigde gekozen locatie, zoals op het kantoor van de gemachtigde.</w:t>
            </w:r>
          </w:p>
          <w:p w:rsidRPr="00A10AC0" w:rsidR="008716C0" w:rsidP="00A10AC0" w:rsidRDefault="008716C0" w14:paraId="11E7E559" w14:textId="77777777">
            <w:pPr>
              <w:spacing w:line="276" w:lineRule="auto"/>
              <w:ind w:right="283"/>
              <w:rPr>
                <w:rFonts w:ascii="Verdana" w:hAnsi="Verdana"/>
                <w:sz w:val="18"/>
                <w:szCs w:val="18"/>
              </w:rPr>
            </w:pPr>
          </w:p>
        </w:tc>
      </w:tr>
      <w:tr w:rsidRPr="00A10AC0" w:rsidR="008716C0" w:rsidTr="00A10AC0" w14:paraId="1EBB75A4" w14:textId="08563F9B">
        <w:tc>
          <w:tcPr>
            <w:tcW w:w="568" w:type="dxa"/>
          </w:tcPr>
          <w:p w:rsidRPr="00A10AC0" w:rsidR="008716C0" w:rsidP="00A10AC0" w:rsidRDefault="008716C0" w14:paraId="15E81AD8" w14:textId="77777777">
            <w:pPr>
              <w:spacing w:line="276" w:lineRule="auto"/>
              <w:rPr>
                <w:rFonts w:ascii="Verdana" w:hAnsi="Verdana"/>
                <w:b/>
                <w:bCs/>
                <w:sz w:val="18"/>
                <w:szCs w:val="18"/>
              </w:rPr>
            </w:pPr>
            <w:r w:rsidRPr="00A10AC0">
              <w:rPr>
                <w:rFonts w:ascii="Verdana" w:hAnsi="Verdana"/>
                <w:b/>
                <w:bCs/>
                <w:sz w:val="18"/>
                <w:szCs w:val="18"/>
              </w:rPr>
              <w:t>52</w:t>
            </w:r>
          </w:p>
        </w:tc>
        <w:tc>
          <w:tcPr>
            <w:tcW w:w="4677" w:type="dxa"/>
          </w:tcPr>
          <w:p w:rsidRPr="00A10AC0" w:rsidR="008716C0" w:rsidP="00A10AC0" w:rsidRDefault="008716C0" w14:paraId="045A7EB4" w14:textId="06DC9966">
            <w:pPr>
              <w:spacing w:line="276" w:lineRule="auto"/>
              <w:rPr>
                <w:rFonts w:ascii="Verdana" w:hAnsi="Verdana"/>
                <w:sz w:val="18"/>
                <w:szCs w:val="18"/>
              </w:rPr>
            </w:pPr>
            <w:r w:rsidRPr="00A10AC0">
              <w:rPr>
                <w:rFonts w:ascii="Verdana" w:hAnsi="Verdana"/>
                <w:sz w:val="18"/>
                <w:szCs w:val="18"/>
              </w:rPr>
              <w:t>Kijkt u naar meer mogelijke fysieke locaties in het land van de UHT?</w:t>
            </w:r>
          </w:p>
        </w:tc>
        <w:tc>
          <w:tcPr>
            <w:tcW w:w="284" w:type="dxa"/>
          </w:tcPr>
          <w:p w:rsidRPr="00A10AC0" w:rsidR="008716C0" w:rsidP="00A10AC0" w:rsidRDefault="008716C0" w14:paraId="5B06EAEE" w14:textId="77777777">
            <w:pPr>
              <w:spacing w:line="276" w:lineRule="auto"/>
              <w:rPr>
                <w:rFonts w:ascii="Verdana" w:hAnsi="Verdana"/>
                <w:sz w:val="18"/>
                <w:szCs w:val="18"/>
              </w:rPr>
            </w:pPr>
          </w:p>
        </w:tc>
        <w:tc>
          <w:tcPr>
            <w:tcW w:w="8930" w:type="dxa"/>
          </w:tcPr>
          <w:p w:rsidRPr="00A10AC0" w:rsidR="008716C0" w:rsidP="00A10AC0" w:rsidRDefault="008716C0" w14:paraId="416EB5C8" w14:textId="41EB04AF">
            <w:pPr>
              <w:spacing w:line="276" w:lineRule="auto"/>
              <w:rPr>
                <w:rFonts w:ascii="Verdana" w:hAnsi="Verdana"/>
                <w:sz w:val="18"/>
                <w:szCs w:val="18"/>
              </w:rPr>
            </w:pPr>
            <w:r w:rsidRPr="00A10AC0">
              <w:rPr>
                <w:rFonts w:ascii="Verdana" w:hAnsi="Verdana"/>
                <w:sz w:val="18"/>
                <w:szCs w:val="18"/>
              </w:rPr>
              <w:t xml:space="preserve">Ja. In 2025 worden er meer locaties geopend waar bezwarenteams van UHT aan het werk kunnen, onder andere om beter op de arbeidsmarkt te kunnen inspelen. </w:t>
            </w:r>
          </w:p>
          <w:p w:rsidRPr="00A10AC0" w:rsidR="008716C0" w:rsidP="00A10AC0" w:rsidRDefault="008716C0" w14:paraId="6FD2E097" w14:textId="77777777">
            <w:pPr>
              <w:spacing w:line="276" w:lineRule="auto"/>
              <w:rPr>
                <w:rFonts w:ascii="Verdana" w:hAnsi="Verdana"/>
                <w:sz w:val="18"/>
                <w:szCs w:val="18"/>
              </w:rPr>
            </w:pPr>
          </w:p>
        </w:tc>
      </w:tr>
      <w:tr w:rsidRPr="00A10AC0" w:rsidR="008716C0" w:rsidTr="00A10AC0" w14:paraId="70958170" w14:textId="07FF0568">
        <w:tc>
          <w:tcPr>
            <w:tcW w:w="568" w:type="dxa"/>
          </w:tcPr>
          <w:p w:rsidRPr="00A10AC0" w:rsidR="008716C0" w:rsidP="00A10AC0" w:rsidRDefault="008716C0" w14:paraId="189CDB8A" w14:textId="77777777">
            <w:pPr>
              <w:spacing w:line="276" w:lineRule="auto"/>
              <w:rPr>
                <w:rFonts w:ascii="Verdana" w:hAnsi="Verdana"/>
                <w:b/>
                <w:bCs/>
                <w:sz w:val="18"/>
                <w:szCs w:val="18"/>
              </w:rPr>
            </w:pPr>
            <w:r w:rsidRPr="00A10AC0">
              <w:rPr>
                <w:rFonts w:ascii="Verdana" w:hAnsi="Verdana"/>
                <w:b/>
                <w:bCs/>
                <w:sz w:val="18"/>
                <w:szCs w:val="18"/>
              </w:rPr>
              <w:t>53</w:t>
            </w:r>
          </w:p>
        </w:tc>
        <w:tc>
          <w:tcPr>
            <w:tcW w:w="4677" w:type="dxa"/>
          </w:tcPr>
          <w:p w:rsidRPr="00A10AC0" w:rsidR="008716C0" w:rsidP="00A10AC0" w:rsidRDefault="008716C0" w14:paraId="549EF122" w14:textId="0A004C6E">
            <w:pPr>
              <w:spacing w:line="276" w:lineRule="auto"/>
              <w:rPr>
                <w:rFonts w:ascii="Verdana" w:hAnsi="Verdana"/>
                <w:sz w:val="18"/>
                <w:szCs w:val="18"/>
              </w:rPr>
            </w:pPr>
            <w:proofErr w:type="gramStart"/>
            <w:r w:rsidRPr="00A10AC0">
              <w:rPr>
                <w:rFonts w:ascii="Verdana" w:hAnsi="Verdana"/>
                <w:sz w:val="18"/>
                <w:szCs w:val="18"/>
              </w:rPr>
              <w:t>Hoe lang</w:t>
            </w:r>
            <w:proofErr w:type="gramEnd"/>
            <w:r w:rsidRPr="00A10AC0">
              <w:rPr>
                <w:rFonts w:ascii="Verdana" w:hAnsi="Verdana"/>
                <w:sz w:val="18"/>
                <w:szCs w:val="18"/>
              </w:rPr>
              <w:t xml:space="preserve"> duurt het gemiddeld voordat een ouder een dossier ontvangt? </w:t>
            </w:r>
          </w:p>
        </w:tc>
        <w:tc>
          <w:tcPr>
            <w:tcW w:w="284" w:type="dxa"/>
          </w:tcPr>
          <w:p w:rsidRPr="00A10AC0" w:rsidR="008716C0" w:rsidP="00A10AC0" w:rsidRDefault="008716C0" w14:paraId="5B09AC6A" w14:textId="77777777">
            <w:pPr>
              <w:spacing w:line="276" w:lineRule="auto"/>
              <w:rPr>
                <w:rFonts w:ascii="Verdana" w:hAnsi="Verdana"/>
                <w:sz w:val="18"/>
                <w:szCs w:val="18"/>
              </w:rPr>
            </w:pPr>
          </w:p>
        </w:tc>
        <w:tc>
          <w:tcPr>
            <w:tcW w:w="8930" w:type="dxa"/>
          </w:tcPr>
          <w:p w:rsidRPr="00A10AC0" w:rsidR="008716C0" w:rsidP="00A10AC0" w:rsidRDefault="008716C0" w14:paraId="30BC6933" w14:textId="376464D3">
            <w:pPr>
              <w:spacing w:line="276" w:lineRule="auto"/>
              <w:rPr>
                <w:rFonts w:ascii="Verdana" w:hAnsi="Verdana"/>
                <w:sz w:val="18"/>
                <w:szCs w:val="18"/>
              </w:rPr>
            </w:pPr>
            <w:r w:rsidRPr="00A10AC0">
              <w:rPr>
                <w:rFonts w:ascii="Verdana" w:hAnsi="Verdana"/>
                <w:sz w:val="18"/>
                <w:szCs w:val="18"/>
              </w:rPr>
              <w:t xml:space="preserve">De gemiddelde doorlooptijd bedraagt op dit moment 11 weken. Het uitgangspunt voor ouders die om hun dossier verzoeken tijdens de </w:t>
            </w:r>
            <w:proofErr w:type="gramStart"/>
            <w:r w:rsidRPr="00A10AC0">
              <w:rPr>
                <w:rFonts w:ascii="Verdana" w:hAnsi="Verdana"/>
                <w:sz w:val="18"/>
                <w:szCs w:val="18"/>
              </w:rPr>
              <w:t>IB fase</w:t>
            </w:r>
            <w:proofErr w:type="gramEnd"/>
            <w:r w:rsidRPr="00A10AC0">
              <w:rPr>
                <w:rFonts w:ascii="Verdana" w:hAnsi="Verdana"/>
                <w:sz w:val="18"/>
                <w:szCs w:val="18"/>
              </w:rPr>
              <w:t xml:space="preserve"> is dat het dossier binnen 8 weken wordt verstrekt. Dit lukt niet altijd, omdat prioriteit is gegeven aan ouders die in het kader van het schikkingsvoorstel in bezwaar het ouderdossier </w:t>
            </w:r>
            <w:proofErr w:type="spellStart"/>
            <w:proofErr w:type="gramStart"/>
            <w:r w:rsidRPr="00A10AC0">
              <w:rPr>
                <w:rFonts w:ascii="Verdana" w:hAnsi="Verdana"/>
                <w:sz w:val="18"/>
                <w:szCs w:val="18"/>
              </w:rPr>
              <w:t>ontvangen.In</w:t>
            </w:r>
            <w:proofErr w:type="spellEnd"/>
            <w:proofErr w:type="gramEnd"/>
            <w:r w:rsidRPr="00A10AC0">
              <w:rPr>
                <w:rFonts w:ascii="Verdana" w:hAnsi="Verdana"/>
                <w:sz w:val="18"/>
                <w:szCs w:val="18"/>
              </w:rPr>
              <w:t xml:space="preserve"> geval van reguliere bezwaarafhandeling of aanvullende schade bij CWS wordt het dossier als onderdeel van de procedure verstrekt. Het moment van verstrekking is daarom deels afhankelijk van het tempo van de bezwaarafhandeling of het CWS-verzoek.</w:t>
            </w:r>
          </w:p>
          <w:p w:rsidRPr="00A10AC0" w:rsidR="008716C0" w:rsidP="00A10AC0" w:rsidRDefault="008716C0" w14:paraId="5D7F26B2" w14:textId="77777777">
            <w:pPr>
              <w:spacing w:line="276" w:lineRule="auto"/>
              <w:ind w:right="283"/>
              <w:rPr>
                <w:rFonts w:ascii="Verdana" w:hAnsi="Verdana"/>
                <w:sz w:val="18"/>
                <w:szCs w:val="18"/>
              </w:rPr>
            </w:pPr>
          </w:p>
        </w:tc>
      </w:tr>
      <w:tr w:rsidRPr="00A10AC0" w:rsidR="008716C0" w:rsidTr="00A10AC0" w14:paraId="58CB65A4" w14:textId="71FC522D">
        <w:tc>
          <w:tcPr>
            <w:tcW w:w="568" w:type="dxa"/>
          </w:tcPr>
          <w:p w:rsidRPr="00A10AC0" w:rsidR="008716C0" w:rsidP="00A10AC0" w:rsidRDefault="008716C0" w14:paraId="32938898" w14:textId="77777777">
            <w:pPr>
              <w:spacing w:line="276" w:lineRule="auto"/>
              <w:rPr>
                <w:rFonts w:ascii="Verdana" w:hAnsi="Verdana"/>
                <w:b/>
                <w:bCs/>
                <w:sz w:val="18"/>
                <w:szCs w:val="18"/>
              </w:rPr>
            </w:pPr>
            <w:r w:rsidRPr="00A10AC0">
              <w:rPr>
                <w:rFonts w:ascii="Verdana" w:hAnsi="Verdana"/>
                <w:b/>
                <w:bCs/>
                <w:sz w:val="18"/>
                <w:szCs w:val="18"/>
              </w:rPr>
              <w:t>54</w:t>
            </w:r>
          </w:p>
        </w:tc>
        <w:tc>
          <w:tcPr>
            <w:tcW w:w="4677" w:type="dxa"/>
          </w:tcPr>
          <w:p w:rsidR="008716C0" w:rsidP="00A10AC0" w:rsidRDefault="008716C0" w14:paraId="2C273071" w14:textId="77777777">
            <w:pPr>
              <w:spacing w:line="276" w:lineRule="auto"/>
              <w:rPr>
                <w:rFonts w:ascii="Verdana" w:hAnsi="Verdana"/>
                <w:sz w:val="18"/>
                <w:szCs w:val="18"/>
              </w:rPr>
            </w:pPr>
            <w:proofErr w:type="gramStart"/>
            <w:r w:rsidRPr="00A10AC0">
              <w:rPr>
                <w:rFonts w:ascii="Verdana" w:hAnsi="Verdana"/>
                <w:sz w:val="18"/>
                <w:szCs w:val="18"/>
              </w:rPr>
              <w:t>Hoe lang</w:t>
            </w:r>
            <w:proofErr w:type="gramEnd"/>
            <w:r w:rsidRPr="00A10AC0">
              <w:rPr>
                <w:rFonts w:ascii="Verdana" w:hAnsi="Verdana"/>
                <w:sz w:val="18"/>
                <w:szCs w:val="18"/>
              </w:rPr>
              <w:t xml:space="preserve"> duurt het gemiddeld voor de vijf procent van de ouders die het langst moeten wachten voordat zij een dossier ontvangen deze ontvangen?</w:t>
            </w:r>
          </w:p>
          <w:p w:rsidRPr="00A10AC0" w:rsidR="00033056" w:rsidP="00A10AC0" w:rsidRDefault="00033056" w14:paraId="60EC0011" w14:textId="0A296A9E">
            <w:pPr>
              <w:spacing w:line="276" w:lineRule="auto"/>
              <w:rPr>
                <w:rFonts w:ascii="Verdana" w:hAnsi="Verdana"/>
                <w:sz w:val="18"/>
                <w:szCs w:val="18"/>
              </w:rPr>
            </w:pPr>
          </w:p>
        </w:tc>
        <w:tc>
          <w:tcPr>
            <w:tcW w:w="284" w:type="dxa"/>
          </w:tcPr>
          <w:p w:rsidRPr="00A10AC0" w:rsidR="008716C0" w:rsidP="00A10AC0" w:rsidRDefault="008716C0" w14:paraId="2F1CD0EE" w14:textId="77777777">
            <w:pPr>
              <w:spacing w:line="276" w:lineRule="auto"/>
              <w:rPr>
                <w:rFonts w:ascii="Verdana" w:hAnsi="Verdana"/>
                <w:sz w:val="18"/>
                <w:szCs w:val="18"/>
              </w:rPr>
            </w:pPr>
          </w:p>
        </w:tc>
        <w:tc>
          <w:tcPr>
            <w:tcW w:w="8930" w:type="dxa"/>
          </w:tcPr>
          <w:p w:rsidR="008716C0" w:rsidP="00A10AC0" w:rsidRDefault="00A76D4B" w14:paraId="7AD22318" w14:textId="1BFB6536">
            <w:pPr>
              <w:spacing w:line="276" w:lineRule="auto"/>
              <w:ind w:right="283"/>
              <w:rPr>
                <w:rFonts w:ascii="Verdana" w:hAnsi="Verdana"/>
                <w:sz w:val="18"/>
                <w:szCs w:val="18"/>
              </w:rPr>
            </w:pPr>
            <w:r w:rsidRPr="00A10AC0">
              <w:rPr>
                <w:rFonts w:ascii="Verdana" w:hAnsi="Verdana"/>
                <w:sz w:val="18"/>
                <w:szCs w:val="18"/>
              </w:rPr>
              <w:t xml:space="preserve">Van de 318 ouders die </w:t>
            </w:r>
            <w:r w:rsidR="00A90CEB">
              <w:rPr>
                <w:rFonts w:ascii="Verdana" w:hAnsi="Verdana"/>
                <w:sz w:val="18"/>
                <w:szCs w:val="18"/>
              </w:rPr>
              <w:t xml:space="preserve">op dit moment </w:t>
            </w:r>
            <w:r w:rsidRPr="00A10AC0">
              <w:rPr>
                <w:rFonts w:ascii="Verdana" w:hAnsi="Verdana"/>
                <w:sz w:val="18"/>
                <w:szCs w:val="18"/>
              </w:rPr>
              <w:t xml:space="preserve">hun dossier hebben verzocht in de IB-fase wacht 5% (16 ouders) gemiddeld 28 weken op hun dossier. Dat zijn de langst wachtenden. </w:t>
            </w:r>
          </w:p>
          <w:p w:rsidRPr="00A10AC0" w:rsidR="00AA56C9" w:rsidP="00A10AC0" w:rsidRDefault="00AA56C9" w14:paraId="77E98E8B" w14:textId="77777777">
            <w:pPr>
              <w:spacing w:line="276" w:lineRule="auto"/>
              <w:ind w:right="283"/>
              <w:rPr>
                <w:rFonts w:ascii="Verdana" w:hAnsi="Verdana"/>
                <w:sz w:val="18"/>
                <w:szCs w:val="18"/>
              </w:rPr>
            </w:pPr>
          </w:p>
        </w:tc>
      </w:tr>
      <w:tr w:rsidRPr="00A10AC0" w:rsidR="008716C0" w:rsidTr="00A10AC0" w14:paraId="2EA7C8AA" w14:textId="560E509F">
        <w:tc>
          <w:tcPr>
            <w:tcW w:w="568" w:type="dxa"/>
          </w:tcPr>
          <w:p w:rsidRPr="00A10AC0" w:rsidR="008716C0" w:rsidP="00A10AC0" w:rsidRDefault="008716C0" w14:paraId="0E0719C6" w14:textId="77777777">
            <w:pPr>
              <w:spacing w:line="276" w:lineRule="auto"/>
              <w:rPr>
                <w:rFonts w:ascii="Verdana" w:hAnsi="Verdana"/>
                <w:b/>
                <w:bCs/>
                <w:sz w:val="18"/>
                <w:szCs w:val="18"/>
              </w:rPr>
            </w:pPr>
            <w:r w:rsidRPr="00A10AC0">
              <w:rPr>
                <w:rFonts w:ascii="Verdana" w:hAnsi="Verdana"/>
                <w:b/>
                <w:bCs/>
                <w:sz w:val="18"/>
                <w:szCs w:val="18"/>
              </w:rPr>
              <w:t>55</w:t>
            </w:r>
          </w:p>
        </w:tc>
        <w:tc>
          <w:tcPr>
            <w:tcW w:w="4677" w:type="dxa"/>
          </w:tcPr>
          <w:p w:rsidRPr="00A10AC0" w:rsidR="008716C0" w:rsidP="00A10AC0" w:rsidRDefault="008716C0" w14:paraId="41748890" w14:textId="43D227FD">
            <w:pPr>
              <w:spacing w:line="276" w:lineRule="auto"/>
              <w:rPr>
                <w:rFonts w:ascii="Verdana" w:hAnsi="Verdana"/>
                <w:sz w:val="18"/>
                <w:szCs w:val="18"/>
              </w:rPr>
            </w:pPr>
            <w:r w:rsidRPr="00A10AC0">
              <w:rPr>
                <w:rFonts w:ascii="Verdana" w:hAnsi="Verdana"/>
                <w:sz w:val="18"/>
                <w:szCs w:val="18"/>
              </w:rPr>
              <w:t>Klopt het dat jongeren alleen worden geholpen door gemeenten als hun schulden worden gekwalificeerd als 'problematisch', dus boven een bepaald bedrag uitkomen?</w:t>
            </w:r>
          </w:p>
        </w:tc>
        <w:tc>
          <w:tcPr>
            <w:tcW w:w="284" w:type="dxa"/>
          </w:tcPr>
          <w:p w:rsidRPr="00A10AC0" w:rsidR="008716C0" w:rsidP="00A10AC0" w:rsidRDefault="008716C0" w14:paraId="21D8E726" w14:textId="77777777">
            <w:pPr>
              <w:spacing w:line="276" w:lineRule="auto"/>
              <w:rPr>
                <w:rFonts w:ascii="Verdana" w:hAnsi="Verdana"/>
                <w:sz w:val="18"/>
                <w:szCs w:val="18"/>
              </w:rPr>
            </w:pPr>
          </w:p>
        </w:tc>
        <w:tc>
          <w:tcPr>
            <w:tcW w:w="8930" w:type="dxa"/>
          </w:tcPr>
          <w:p w:rsidRPr="00A10AC0" w:rsidR="004071C3" w:rsidP="00A10AC0" w:rsidRDefault="008716C0" w14:paraId="22883252" w14:textId="50C4E205">
            <w:pPr>
              <w:spacing w:line="276" w:lineRule="auto"/>
              <w:rPr>
                <w:rFonts w:ascii="Verdana" w:hAnsi="Verdana"/>
                <w:sz w:val="18"/>
                <w:szCs w:val="18"/>
              </w:rPr>
            </w:pPr>
            <w:r w:rsidRPr="00A10AC0">
              <w:rPr>
                <w:rFonts w:ascii="Verdana" w:hAnsi="Verdana"/>
                <w:sz w:val="18"/>
                <w:szCs w:val="18"/>
              </w:rPr>
              <w:t xml:space="preserve">Nee, dat klopt niet. </w:t>
            </w:r>
            <w:r w:rsidR="00B177BB">
              <w:rPr>
                <w:rFonts w:ascii="Verdana" w:hAnsi="Verdana"/>
                <w:sz w:val="18"/>
                <w:szCs w:val="18"/>
              </w:rPr>
              <w:t xml:space="preserve">Hoewel er ook een specifiek </w:t>
            </w:r>
            <w:r w:rsidR="004071C3">
              <w:rPr>
                <w:rFonts w:ascii="Verdana" w:hAnsi="Verdana"/>
                <w:sz w:val="18"/>
                <w:szCs w:val="18"/>
              </w:rPr>
              <w:t>schuldhulpverleningsaanbod</w:t>
            </w:r>
            <w:r w:rsidR="00B177BB">
              <w:rPr>
                <w:rFonts w:ascii="Verdana" w:hAnsi="Verdana"/>
                <w:sz w:val="18"/>
                <w:szCs w:val="18"/>
              </w:rPr>
              <w:t xml:space="preserve"> is voor problematische schulden, kunnen j</w:t>
            </w:r>
            <w:r w:rsidRPr="00A10AC0">
              <w:rPr>
                <w:rFonts w:ascii="Verdana" w:hAnsi="Verdana"/>
                <w:sz w:val="18"/>
                <w:szCs w:val="18"/>
              </w:rPr>
              <w:t xml:space="preserve">ongeren ook ondersteuning krijgen bij schulden die niet als problematisch zijn gekwalificeerd. In de Wet hersteloperatie toeslagen is vastgelegd dat jongeren met financiële vragen terechtkunnen bij gemeenten voor hulpverlening vanuit de Brede </w:t>
            </w:r>
            <w:r w:rsidRPr="00A10AC0">
              <w:rPr>
                <w:rFonts w:ascii="Verdana" w:hAnsi="Verdana"/>
                <w:sz w:val="18"/>
                <w:szCs w:val="18"/>
              </w:rPr>
              <w:lastRenderedPageBreak/>
              <w:t>Ondersteuning. De ondersteuning verschilt per gemeente, maar het doel is om jongeren te ondersteunen bij het oplossen en voorkomen van financiële problemen, ongeacht de hoogte van de schuld.</w:t>
            </w:r>
            <w:r w:rsidR="00437493">
              <w:rPr>
                <w:rFonts w:ascii="Verdana" w:hAnsi="Verdana"/>
                <w:sz w:val="18"/>
                <w:szCs w:val="18"/>
              </w:rPr>
              <w:t xml:space="preserve"> Hierbij worden ook diverse lokale en landelijk schuldhulp initiatieven betrokken.</w:t>
            </w:r>
            <w:r w:rsidR="00636620">
              <w:rPr>
                <w:rFonts w:ascii="Verdana" w:hAnsi="Verdana"/>
                <w:sz w:val="18"/>
                <w:szCs w:val="18"/>
              </w:rPr>
              <w:t xml:space="preserve"> </w:t>
            </w:r>
            <w:r w:rsidR="004071C3">
              <w:rPr>
                <w:rFonts w:ascii="Verdana" w:hAnsi="Verdana"/>
                <w:sz w:val="18"/>
                <w:szCs w:val="18"/>
              </w:rPr>
              <w:t>Voor j</w:t>
            </w:r>
            <w:r w:rsidR="00636620">
              <w:rPr>
                <w:rFonts w:ascii="Verdana" w:hAnsi="Verdana"/>
                <w:sz w:val="18"/>
                <w:szCs w:val="18"/>
              </w:rPr>
              <w:t xml:space="preserve">ongeren met </w:t>
            </w:r>
            <w:r w:rsidR="004071C3">
              <w:rPr>
                <w:rFonts w:ascii="Verdana" w:hAnsi="Verdana"/>
                <w:sz w:val="18"/>
                <w:szCs w:val="18"/>
              </w:rPr>
              <w:t>studieleningen zijn mogelijkheden binnen het bestaand beleid van DUO</w:t>
            </w:r>
            <w:r w:rsidR="00636620">
              <w:rPr>
                <w:rFonts w:ascii="Verdana" w:hAnsi="Verdana"/>
                <w:sz w:val="18"/>
                <w:szCs w:val="18"/>
              </w:rPr>
              <w:t xml:space="preserve"> </w:t>
            </w:r>
            <w:r w:rsidR="004071C3">
              <w:rPr>
                <w:rFonts w:ascii="Verdana" w:hAnsi="Verdana"/>
                <w:sz w:val="18"/>
                <w:szCs w:val="18"/>
              </w:rPr>
              <w:t>rondom (problemen bij) het aflossen van hun studielening.</w:t>
            </w:r>
            <w:r w:rsidR="00636620">
              <w:rPr>
                <w:rFonts w:ascii="Verdana" w:hAnsi="Verdana"/>
                <w:sz w:val="18"/>
                <w:szCs w:val="18"/>
              </w:rPr>
              <w:t xml:space="preserve">  </w:t>
            </w:r>
          </w:p>
          <w:p w:rsidRPr="00A10AC0" w:rsidR="008716C0" w:rsidP="00033056" w:rsidRDefault="008716C0" w14:paraId="7E37D3C7" w14:textId="77777777">
            <w:pPr>
              <w:spacing w:line="276" w:lineRule="auto"/>
              <w:rPr>
                <w:rFonts w:ascii="Verdana" w:hAnsi="Verdana"/>
                <w:sz w:val="18"/>
                <w:szCs w:val="18"/>
              </w:rPr>
            </w:pPr>
          </w:p>
        </w:tc>
      </w:tr>
      <w:tr w:rsidRPr="00A10AC0" w:rsidR="008716C0" w:rsidTr="00A10AC0" w14:paraId="633F7DF0" w14:textId="3EC46856">
        <w:tc>
          <w:tcPr>
            <w:tcW w:w="568" w:type="dxa"/>
          </w:tcPr>
          <w:p w:rsidRPr="00A10AC0" w:rsidR="008716C0" w:rsidP="00A10AC0" w:rsidRDefault="008716C0" w14:paraId="75C9FF1E" w14:textId="77777777">
            <w:pPr>
              <w:spacing w:line="276" w:lineRule="auto"/>
              <w:rPr>
                <w:rFonts w:ascii="Verdana" w:hAnsi="Verdana"/>
                <w:b/>
                <w:bCs/>
                <w:sz w:val="18"/>
                <w:szCs w:val="18"/>
              </w:rPr>
            </w:pPr>
            <w:r w:rsidRPr="00A10AC0">
              <w:rPr>
                <w:rFonts w:ascii="Verdana" w:hAnsi="Verdana"/>
                <w:b/>
                <w:bCs/>
                <w:sz w:val="18"/>
                <w:szCs w:val="18"/>
              </w:rPr>
              <w:lastRenderedPageBreak/>
              <w:t>56</w:t>
            </w:r>
          </w:p>
        </w:tc>
        <w:tc>
          <w:tcPr>
            <w:tcW w:w="4677" w:type="dxa"/>
          </w:tcPr>
          <w:p w:rsidR="008716C0" w:rsidP="00A10AC0" w:rsidRDefault="008716C0" w14:paraId="1C859181" w14:textId="77777777">
            <w:pPr>
              <w:spacing w:line="276" w:lineRule="auto"/>
              <w:rPr>
                <w:rFonts w:ascii="Verdana" w:hAnsi="Verdana"/>
                <w:sz w:val="18"/>
                <w:szCs w:val="18"/>
              </w:rPr>
            </w:pPr>
            <w:r w:rsidRPr="00A10AC0">
              <w:rPr>
                <w:rFonts w:ascii="Verdana" w:hAnsi="Verdana"/>
                <w:sz w:val="18"/>
                <w:szCs w:val="18"/>
              </w:rPr>
              <w:t>Is het waar dat jongeren geen VOG krijgen op basis van registraties die samenhang hebben met het toeslagenschandaal? Hoe vaak komt dit voor?</w:t>
            </w:r>
          </w:p>
          <w:p w:rsidRPr="00A10AC0" w:rsidR="00033056" w:rsidP="00A10AC0" w:rsidRDefault="00033056" w14:paraId="614D082D" w14:textId="77777777">
            <w:pPr>
              <w:spacing w:line="276" w:lineRule="auto"/>
              <w:rPr>
                <w:rFonts w:ascii="Verdana" w:hAnsi="Verdana"/>
                <w:sz w:val="18"/>
                <w:szCs w:val="18"/>
              </w:rPr>
            </w:pPr>
          </w:p>
        </w:tc>
        <w:tc>
          <w:tcPr>
            <w:tcW w:w="284" w:type="dxa"/>
          </w:tcPr>
          <w:p w:rsidRPr="00A10AC0" w:rsidR="008716C0" w:rsidP="00A10AC0" w:rsidRDefault="008716C0" w14:paraId="3BDE9D58" w14:textId="77777777">
            <w:pPr>
              <w:spacing w:line="276" w:lineRule="auto"/>
              <w:rPr>
                <w:rFonts w:ascii="Verdana" w:hAnsi="Verdana"/>
                <w:sz w:val="18"/>
                <w:szCs w:val="18"/>
              </w:rPr>
            </w:pPr>
          </w:p>
        </w:tc>
        <w:tc>
          <w:tcPr>
            <w:tcW w:w="8930" w:type="dxa"/>
          </w:tcPr>
          <w:p w:rsidRPr="00A10AC0" w:rsidR="008716C0" w:rsidP="00033056" w:rsidRDefault="008716C0" w14:paraId="0FE38C94" w14:textId="7105E25C">
            <w:pPr>
              <w:spacing w:line="276" w:lineRule="auto"/>
              <w:rPr>
                <w:rFonts w:ascii="Verdana" w:hAnsi="Verdana"/>
                <w:sz w:val="18"/>
                <w:szCs w:val="18"/>
              </w:rPr>
            </w:pPr>
            <w:r w:rsidRPr="00A10AC0">
              <w:rPr>
                <w:rFonts w:ascii="Verdana" w:hAnsi="Verdana"/>
                <w:sz w:val="18"/>
                <w:szCs w:val="18"/>
              </w:rPr>
              <w:t xml:space="preserve">Er zijn geen signalen bekend dat jongeren geen Verklaring Omtrent het Gedrag (VOG) krijgen vanwege registraties die samenhangen met het toeslagenschandaal. </w:t>
            </w:r>
          </w:p>
        </w:tc>
      </w:tr>
      <w:tr w:rsidRPr="00A10AC0" w:rsidR="008716C0" w:rsidTr="00A10AC0" w14:paraId="672ED674" w14:textId="2794BB5F">
        <w:tc>
          <w:tcPr>
            <w:tcW w:w="568" w:type="dxa"/>
          </w:tcPr>
          <w:p w:rsidRPr="00A10AC0" w:rsidR="008716C0" w:rsidP="00A10AC0" w:rsidRDefault="008716C0" w14:paraId="15CF46FE" w14:textId="77777777">
            <w:pPr>
              <w:spacing w:line="276" w:lineRule="auto"/>
              <w:rPr>
                <w:rFonts w:ascii="Verdana" w:hAnsi="Verdana"/>
                <w:b/>
                <w:bCs/>
                <w:sz w:val="18"/>
                <w:szCs w:val="18"/>
              </w:rPr>
            </w:pPr>
            <w:r w:rsidRPr="00A10AC0">
              <w:rPr>
                <w:rFonts w:ascii="Verdana" w:hAnsi="Verdana"/>
                <w:b/>
                <w:bCs/>
                <w:sz w:val="18"/>
                <w:szCs w:val="18"/>
              </w:rPr>
              <w:t>57</w:t>
            </w:r>
          </w:p>
        </w:tc>
        <w:tc>
          <w:tcPr>
            <w:tcW w:w="4677" w:type="dxa"/>
          </w:tcPr>
          <w:p w:rsidRPr="00A10AC0" w:rsidR="008716C0" w:rsidP="00A10AC0" w:rsidRDefault="008716C0" w14:paraId="75AFA10A" w14:textId="77777777">
            <w:pPr>
              <w:spacing w:line="276" w:lineRule="auto"/>
              <w:rPr>
                <w:rFonts w:ascii="Verdana" w:hAnsi="Verdana"/>
                <w:sz w:val="18"/>
                <w:szCs w:val="18"/>
              </w:rPr>
            </w:pPr>
            <w:bookmarkStart w:name="_Hlk192604056" w:id="3"/>
            <w:r w:rsidRPr="00A10AC0">
              <w:rPr>
                <w:rFonts w:ascii="Verdana" w:hAnsi="Verdana"/>
                <w:sz w:val="18"/>
                <w:szCs w:val="18"/>
              </w:rPr>
              <w:t>Wat waren de redenen om aan circa 4.000 kinderen geen tegemoetkoming te betalen?</w:t>
            </w:r>
            <w:bookmarkEnd w:id="3"/>
          </w:p>
          <w:p w:rsidRPr="00A10AC0" w:rsidR="008716C0" w:rsidP="00A10AC0" w:rsidRDefault="008716C0" w14:paraId="4BE339D7" w14:textId="03BB6386">
            <w:pPr>
              <w:spacing w:line="276" w:lineRule="auto"/>
              <w:rPr>
                <w:rFonts w:ascii="Verdana" w:hAnsi="Verdana"/>
                <w:sz w:val="18"/>
                <w:szCs w:val="18"/>
              </w:rPr>
            </w:pPr>
          </w:p>
        </w:tc>
        <w:tc>
          <w:tcPr>
            <w:tcW w:w="284" w:type="dxa"/>
          </w:tcPr>
          <w:p w:rsidRPr="00A10AC0" w:rsidR="008716C0" w:rsidP="00A10AC0" w:rsidRDefault="008716C0" w14:paraId="4F6A23B7" w14:textId="77777777">
            <w:pPr>
              <w:spacing w:line="276" w:lineRule="auto"/>
              <w:ind w:right="283"/>
              <w:rPr>
                <w:rFonts w:ascii="Verdana" w:hAnsi="Verdana"/>
                <w:sz w:val="18"/>
                <w:szCs w:val="18"/>
                <w:highlight w:val="yellow"/>
              </w:rPr>
            </w:pPr>
          </w:p>
        </w:tc>
        <w:tc>
          <w:tcPr>
            <w:tcW w:w="8930" w:type="dxa"/>
          </w:tcPr>
          <w:p w:rsidRPr="00A10AC0" w:rsidR="00A76D4B" w:rsidP="00A10AC0" w:rsidRDefault="00A76D4B" w14:paraId="702699AF" w14:textId="77777777">
            <w:pPr>
              <w:spacing w:line="276" w:lineRule="auto"/>
              <w:rPr>
                <w:rFonts w:ascii="Verdana" w:hAnsi="Verdana"/>
                <w:sz w:val="18"/>
                <w:szCs w:val="18"/>
              </w:rPr>
            </w:pPr>
            <w:r w:rsidRPr="00A10AC0">
              <w:rPr>
                <w:rFonts w:ascii="Verdana" w:hAnsi="Verdana"/>
                <w:sz w:val="18"/>
                <w:szCs w:val="18"/>
              </w:rPr>
              <w:t xml:space="preserve">Het grootste deel van deze 4.000 kinderen heeft geen tegemoetkoming gekregen, omdat ze een afwijzende beschikking hebben ontvangen. Dit gaat om kinderen die zichzelf hebben aangemeld bij UHT, omdat zij denken in aanmerking te komen voor de kindregeling. Uiteindelijk blijkt uit de gegevens van UHT dat zij hier helaas geen recht op hebben, dus stuurt UHT een afwijzende beschikking. </w:t>
            </w:r>
          </w:p>
          <w:p w:rsidRPr="00A10AC0" w:rsidR="008716C0" w:rsidP="00A10AC0" w:rsidRDefault="00A76D4B" w14:paraId="352270EA" w14:textId="4E5E7336">
            <w:pPr>
              <w:spacing w:line="276" w:lineRule="auto"/>
              <w:rPr>
                <w:rFonts w:ascii="Verdana" w:hAnsi="Verdana"/>
                <w:sz w:val="18"/>
                <w:szCs w:val="18"/>
              </w:rPr>
            </w:pPr>
            <w:r w:rsidRPr="00A10AC0">
              <w:rPr>
                <w:rFonts w:ascii="Verdana" w:hAnsi="Verdana"/>
                <w:sz w:val="18"/>
                <w:szCs w:val="18"/>
              </w:rPr>
              <w:t xml:space="preserve">Daarnaast is er nog een kleine groep die wel een toewijzende beschikking heeft ontvangen, maar simpelweg nog niet is uitbetaald. Er zit namelijk tijd tussen de toewijzende beschikking en de betaling. </w:t>
            </w:r>
          </w:p>
          <w:p w:rsidRPr="00A10AC0" w:rsidR="00A76D4B" w:rsidP="00A10AC0" w:rsidRDefault="00A76D4B" w14:paraId="0FE4E86F" w14:textId="13E2B41B">
            <w:pPr>
              <w:spacing w:line="276" w:lineRule="auto"/>
              <w:rPr>
                <w:rFonts w:ascii="Verdana" w:hAnsi="Verdana"/>
                <w:sz w:val="18"/>
                <w:szCs w:val="18"/>
              </w:rPr>
            </w:pPr>
          </w:p>
        </w:tc>
      </w:tr>
      <w:tr w:rsidRPr="00A10AC0" w:rsidR="008716C0" w:rsidTr="00A10AC0" w14:paraId="61AF084C" w14:textId="5BB59149">
        <w:tc>
          <w:tcPr>
            <w:tcW w:w="568" w:type="dxa"/>
          </w:tcPr>
          <w:p w:rsidRPr="00A10AC0" w:rsidR="008716C0" w:rsidP="00A10AC0" w:rsidRDefault="008716C0" w14:paraId="0AE608D2" w14:textId="77777777">
            <w:pPr>
              <w:spacing w:line="276" w:lineRule="auto"/>
              <w:rPr>
                <w:rFonts w:ascii="Verdana" w:hAnsi="Verdana"/>
                <w:b/>
                <w:bCs/>
                <w:sz w:val="18"/>
                <w:szCs w:val="18"/>
              </w:rPr>
            </w:pPr>
            <w:r w:rsidRPr="00A10AC0">
              <w:rPr>
                <w:rFonts w:ascii="Verdana" w:hAnsi="Verdana"/>
                <w:b/>
                <w:bCs/>
                <w:sz w:val="18"/>
                <w:szCs w:val="18"/>
              </w:rPr>
              <w:t>58</w:t>
            </w:r>
          </w:p>
        </w:tc>
        <w:tc>
          <w:tcPr>
            <w:tcW w:w="4677" w:type="dxa"/>
          </w:tcPr>
          <w:p w:rsidRPr="00A10AC0" w:rsidR="008716C0" w:rsidP="00A10AC0" w:rsidRDefault="008716C0" w14:paraId="35ED0A40" w14:textId="74EAA7C6">
            <w:pPr>
              <w:spacing w:line="276" w:lineRule="auto"/>
              <w:rPr>
                <w:rFonts w:ascii="Verdana" w:hAnsi="Verdana"/>
                <w:sz w:val="18"/>
                <w:szCs w:val="18"/>
              </w:rPr>
            </w:pPr>
            <w:r w:rsidRPr="00A10AC0">
              <w:rPr>
                <w:rFonts w:ascii="Verdana" w:hAnsi="Verdana"/>
                <w:sz w:val="18"/>
                <w:szCs w:val="18"/>
              </w:rPr>
              <w:t>Hoe wordt bepaald wie de toeslagenouder is en wie de ex-partner?</w:t>
            </w:r>
          </w:p>
        </w:tc>
        <w:tc>
          <w:tcPr>
            <w:tcW w:w="284" w:type="dxa"/>
          </w:tcPr>
          <w:p w:rsidRPr="00A10AC0" w:rsidR="008716C0" w:rsidP="00A10AC0" w:rsidRDefault="008716C0" w14:paraId="48506D2F" w14:textId="77777777">
            <w:pPr>
              <w:spacing w:line="276" w:lineRule="auto"/>
              <w:rPr>
                <w:rFonts w:ascii="Verdana" w:hAnsi="Verdana"/>
                <w:sz w:val="18"/>
                <w:szCs w:val="18"/>
              </w:rPr>
            </w:pPr>
          </w:p>
        </w:tc>
        <w:tc>
          <w:tcPr>
            <w:tcW w:w="8930" w:type="dxa"/>
          </w:tcPr>
          <w:p w:rsidRPr="00A10AC0" w:rsidR="008716C0" w:rsidP="00A10AC0" w:rsidRDefault="008716C0" w14:paraId="3854B7FF" w14:textId="735AAD5B">
            <w:pPr>
              <w:spacing w:line="276" w:lineRule="auto"/>
              <w:rPr>
                <w:rFonts w:ascii="Verdana" w:hAnsi="Verdana"/>
                <w:sz w:val="18"/>
                <w:szCs w:val="18"/>
              </w:rPr>
            </w:pPr>
            <w:r w:rsidRPr="00A10AC0">
              <w:rPr>
                <w:rFonts w:ascii="Verdana" w:hAnsi="Verdana"/>
                <w:sz w:val="18"/>
                <w:szCs w:val="18"/>
              </w:rPr>
              <w:t xml:space="preserve">De toeslagenouder is de ouder die de aanvraag voor de kinderopvangtoeslag heeft ingediend. </w:t>
            </w:r>
          </w:p>
          <w:p w:rsidRPr="00A10AC0" w:rsidR="008716C0" w:rsidP="00A10AC0" w:rsidRDefault="008716C0" w14:paraId="252371DA" w14:textId="77777777">
            <w:pPr>
              <w:spacing w:line="276" w:lineRule="auto"/>
              <w:rPr>
                <w:rFonts w:ascii="Verdana" w:hAnsi="Verdana"/>
                <w:sz w:val="18"/>
                <w:szCs w:val="18"/>
              </w:rPr>
            </w:pPr>
          </w:p>
          <w:p w:rsidRPr="00A10AC0" w:rsidR="008716C0" w:rsidP="00A10AC0" w:rsidRDefault="008716C0" w14:paraId="5BD38538" w14:textId="77777777">
            <w:pPr>
              <w:spacing w:line="276" w:lineRule="auto"/>
              <w:rPr>
                <w:rFonts w:ascii="Verdana" w:hAnsi="Verdana"/>
                <w:sz w:val="18"/>
                <w:szCs w:val="18"/>
              </w:rPr>
            </w:pPr>
            <w:r w:rsidRPr="00A10AC0">
              <w:rPr>
                <w:rFonts w:ascii="Verdana" w:hAnsi="Verdana"/>
                <w:sz w:val="18"/>
                <w:szCs w:val="18"/>
              </w:rPr>
              <w:t xml:space="preserve">Om in aanmerking te komen voor de ex-partner regeling gelden de volgende criteria: 1) de aanvrager en de ex-partner zijn nu geen toeslagenpartners meer. 2) de ex-partner is nog een jaar lang toeslagpartner geweest vanaf het moment dat de aanvrager de correspondentie heeft ontvangen die hem of haar heeft gedupeerd (het duurcriterium) en/of 3) het eigen (pleeg) kind van de ex-partners is genoemd op de correspondentie die de aanvrager heeft gedupeerd (het kind criterium).  Met deze criteria is beoogd die ex-partners te bereiken van wie redelijkerwijs verwacht kan worden dat zij ook schade hebben geleden. </w:t>
            </w:r>
          </w:p>
          <w:p w:rsidRPr="00A10AC0" w:rsidR="008716C0" w:rsidP="00A10AC0" w:rsidRDefault="008716C0" w14:paraId="5F9388BE" w14:textId="77777777">
            <w:pPr>
              <w:spacing w:line="276" w:lineRule="auto"/>
              <w:ind w:right="283"/>
              <w:rPr>
                <w:rFonts w:ascii="Verdana" w:hAnsi="Verdana"/>
                <w:sz w:val="18"/>
                <w:szCs w:val="18"/>
              </w:rPr>
            </w:pPr>
          </w:p>
        </w:tc>
      </w:tr>
      <w:tr w:rsidRPr="00A10AC0" w:rsidR="008716C0" w:rsidTr="00A10AC0" w14:paraId="7A8A75D9" w14:textId="39F1B817">
        <w:tc>
          <w:tcPr>
            <w:tcW w:w="568" w:type="dxa"/>
          </w:tcPr>
          <w:p w:rsidRPr="00A10AC0" w:rsidR="008716C0" w:rsidP="00A10AC0" w:rsidRDefault="008716C0" w14:paraId="12DE3DA7" w14:textId="77777777">
            <w:pPr>
              <w:spacing w:line="276" w:lineRule="auto"/>
              <w:rPr>
                <w:rFonts w:ascii="Verdana" w:hAnsi="Verdana"/>
                <w:b/>
                <w:bCs/>
                <w:sz w:val="18"/>
                <w:szCs w:val="18"/>
              </w:rPr>
            </w:pPr>
            <w:r w:rsidRPr="00A10AC0">
              <w:rPr>
                <w:rFonts w:ascii="Verdana" w:hAnsi="Verdana"/>
                <w:b/>
                <w:bCs/>
                <w:sz w:val="18"/>
                <w:szCs w:val="18"/>
              </w:rPr>
              <w:t>59</w:t>
            </w:r>
          </w:p>
        </w:tc>
        <w:tc>
          <w:tcPr>
            <w:tcW w:w="4677" w:type="dxa"/>
          </w:tcPr>
          <w:p w:rsidRPr="00A10AC0" w:rsidR="008716C0" w:rsidP="00A10AC0" w:rsidRDefault="008716C0" w14:paraId="67071B17" w14:textId="77777777">
            <w:pPr>
              <w:spacing w:line="276" w:lineRule="auto"/>
              <w:rPr>
                <w:rFonts w:ascii="Verdana" w:hAnsi="Verdana"/>
                <w:sz w:val="18"/>
                <w:szCs w:val="18"/>
              </w:rPr>
            </w:pPr>
            <w:r w:rsidRPr="00A10AC0">
              <w:rPr>
                <w:rFonts w:ascii="Verdana" w:hAnsi="Verdana"/>
                <w:sz w:val="18"/>
                <w:szCs w:val="18"/>
              </w:rPr>
              <w:t>Kunnen ex-partners ook in aanmerking komen voor de route-SGH? En als zij meer schade hebben dan 10.000 euro, hoe wordt daar dan mee omgegaan?</w:t>
            </w:r>
          </w:p>
          <w:p w:rsidRPr="00A10AC0" w:rsidR="005D202B" w:rsidP="00A10AC0" w:rsidRDefault="005D202B" w14:paraId="72EFF4AD" w14:textId="42CCF20B">
            <w:pPr>
              <w:spacing w:line="276" w:lineRule="auto"/>
              <w:rPr>
                <w:rFonts w:ascii="Verdana" w:hAnsi="Verdana"/>
                <w:sz w:val="18"/>
                <w:szCs w:val="18"/>
              </w:rPr>
            </w:pPr>
          </w:p>
        </w:tc>
        <w:tc>
          <w:tcPr>
            <w:tcW w:w="284" w:type="dxa"/>
          </w:tcPr>
          <w:p w:rsidRPr="00A10AC0" w:rsidR="008716C0" w:rsidP="00A10AC0" w:rsidRDefault="008716C0" w14:paraId="5DE0A2B3" w14:textId="77777777">
            <w:pPr>
              <w:autoSpaceDE w:val="0"/>
              <w:autoSpaceDN w:val="0"/>
              <w:adjustRightInd w:val="0"/>
              <w:spacing w:line="276" w:lineRule="auto"/>
              <w:rPr>
                <w:rFonts w:ascii="Verdana" w:hAnsi="Verdana"/>
                <w:color w:val="000000"/>
                <w:sz w:val="18"/>
                <w:szCs w:val="18"/>
              </w:rPr>
            </w:pPr>
          </w:p>
        </w:tc>
        <w:tc>
          <w:tcPr>
            <w:tcW w:w="8930" w:type="dxa"/>
          </w:tcPr>
          <w:p w:rsidRPr="00A10AC0" w:rsidR="008716C0" w:rsidP="00A10AC0" w:rsidRDefault="00CA0C2B" w14:paraId="093026BF" w14:textId="051518AA">
            <w:pPr>
              <w:spacing w:line="276" w:lineRule="auto"/>
              <w:rPr>
                <w:rFonts w:ascii="Verdana" w:hAnsi="Verdana"/>
                <w:sz w:val="18"/>
                <w:szCs w:val="18"/>
              </w:rPr>
            </w:pPr>
            <w:r w:rsidRPr="00A10AC0">
              <w:rPr>
                <w:rFonts w:ascii="Verdana" w:hAnsi="Verdana"/>
                <w:sz w:val="18"/>
                <w:szCs w:val="18"/>
              </w:rPr>
              <w:t>Met SGH wordt momenteel gekeken hoe hun route ook</w:t>
            </w:r>
            <w:r w:rsidRPr="00A10AC0" w:rsidR="00A07758">
              <w:rPr>
                <w:rFonts w:ascii="Verdana" w:hAnsi="Verdana"/>
                <w:sz w:val="18"/>
                <w:szCs w:val="18"/>
              </w:rPr>
              <w:t xml:space="preserve"> andere doelgroepen, waaronder </w:t>
            </w:r>
            <w:r w:rsidRPr="00A10AC0">
              <w:rPr>
                <w:rFonts w:ascii="Verdana" w:hAnsi="Verdana"/>
                <w:sz w:val="18"/>
                <w:szCs w:val="18"/>
              </w:rPr>
              <w:t>ex-partners</w:t>
            </w:r>
            <w:r w:rsidRPr="00A10AC0" w:rsidR="00A07758">
              <w:rPr>
                <w:rFonts w:ascii="Verdana" w:hAnsi="Verdana"/>
                <w:sz w:val="18"/>
                <w:szCs w:val="18"/>
              </w:rPr>
              <w:t>,</w:t>
            </w:r>
            <w:r w:rsidRPr="00A10AC0">
              <w:rPr>
                <w:rFonts w:ascii="Verdana" w:hAnsi="Verdana"/>
                <w:sz w:val="18"/>
                <w:szCs w:val="18"/>
              </w:rPr>
              <w:t xml:space="preserve"> kan gaan bedienen. Dat is geen kwestie van simpel toegang geven, elke groep kent bijzonderheden in de uitvoering. Die werken we in gezamenlijkheid uit</w:t>
            </w:r>
            <w:r w:rsidR="004071C3">
              <w:rPr>
                <w:rFonts w:ascii="Verdana" w:hAnsi="Verdana"/>
                <w:sz w:val="18"/>
                <w:szCs w:val="18"/>
              </w:rPr>
              <w:t xml:space="preserve">, vanuit het </w:t>
            </w:r>
            <w:r w:rsidR="001961B6">
              <w:rPr>
                <w:rFonts w:ascii="Verdana" w:hAnsi="Verdana"/>
                <w:sz w:val="18"/>
                <w:szCs w:val="18"/>
              </w:rPr>
              <w:t>gezichts</w:t>
            </w:r>
            <w:r w:rsidR="004071C3">
              <w:rPr>
                <w:rFonts w:ascii="Verdana" w:hAnsi="Verdana"/>
                <w:sz w:val="18"/>
                <w:szCs w:val="18"/>
              </w:rPr>
              <w:t>punt</w:t>
            </w:r>
            <w:r w:rsidR="001961B6">
              <w:rPr>
                <w:rFonts w:ascii="Verdana" w:hAnsi="Verdana"/>
                <w:sz w:val="18"/>
                <w:szCs w:val="18"/>
              </w:rPr>
              <w:t xml:space="preserve"> dat schade per gezin wordt bekeken</w:t>
            </w:r>
            <w:r w:rsidR="004071C3">
              <w:rPr>
                <w:rFonts w:ascii="Verdana" w:hAnsi="Verdana"/>
                <w:sz w:val="18"/>
                <w:szCs w:val="18"/>
              </w:rPr>
              <w:t>.</w:t>
            </w:r>
            <w:r w:rsidRPr="00A10AC0">
              <w:rPr>
                <w:rFonts w:ascii="Verdana" w:hAnsi="Verdana"/>
                <w:sz w:val="18"/>
                <w:szCs w:val="18"/>
              </w:rPr>
              <w:t xml:space="preserve"> </w:t>
            </w:r>
          </w:p>
        </w:tc>
      </w:tr>
      <w:tr w:rsidRPr="00A10AC0" w:rsidR="008716C0" w:rsidTr="00A10AC0" w14:paraId="78B85F1E" w14:textId="174B1F71">
        <w:tc>
          <w:tcPr>
            <w:tcW w:w="568" w:type="dxa"/>
          </w:tcPr>
          <w:p w:rsidRPr="00A10AC0" w:rsidR="008716C0" w:rsidP="00A10AC0" w:rsidRDefault="008716C0" w14:paraId="2CD80057" w14:textId="77777777">
            <w:pPr>
              <w:spacing w:line="276" w:lineRule="auto"/>
              <w:rPr>
                <w:rFonts w:ascii="Verdana" w:hAnsi="Verdana"/>
                <w:b/>
                <w:bCs/>
                <w:sz w:val="18"/>
                <w:szCs w:val="18"/>
              </w:rPr>
            </w:pPr>
            <w:r w:rsidRPr="00A10AC0">
              <w:rPr>
                <w:rFonts w:ascii="Verdana" w:hAnsi="Verdana"/>
                <w:b/>
                <w:bCs/>
                <w:sz w:val="18"/>
                <w:szCs w:val="18"/>
              </w:rPr>
              <w:t>60</w:t>
            </w:r>
          </w:p>
        </w:tc>
        <w:tc>
          <w:tcPr>
            <w:tcW w:w="4677" w:type="dxa"/>
          </w:tcPr>
          <w:p w:rsidRPr="00A10AC0" w:rsidR="008716C0" w:rsidP="00A10AC0" w:rsidRDefault="008716C0" w14:paraId="7A529C52" w14:textId="77777777">
            <w:pPr>
              <w:spacing w:line="276" w:lineRule="auto"/>
              <w:rPr>
                <w:rFonts w:ascii="Verdana" w:hAnsi="Verdana"/>
                <w:sz w:val="18"/>
                <w:szCs w:val="18"/>
              </w:rPr>
            </w:pPr>
            <w:r w:rsidRPr="00A10AC0">
              <w:rPr>
                <w:rFonts w:ascii="Verdana" w:hAnsi="Verdana"/>
                <w:sz w:val="18"/>
                <w:szCs w:val="18"/>
              </w:rPr>
              <w:t>Waarom komt een ouder niet in aanmerking voor een proceskostenvergoeding?</w:t>
            </w:r>
          </w:p>
          <w:p w:rsidRPr="00A10AC0" w:rsidR="008716C0" w:rsidP="00A10AC0" w:rsidRDefault="008716C0" w14:paraId="41E9DADC" w14:textId="77777777">
            <w:pPr>
              <w:spacing w:line="276" w:lineRule="auto"/>
              <w:ind w:right="283"/>
              <w:rPr>
                <w:rFonts w:ascii="Verdana" w:hAnsi="Verdana"/>
                <w:sz w:val="18"/>
                <w:szCs w:val="18"/>
              </w:rPr>
            </w:pPr>
            <w:r w:rsidRPr="00A10AC0">
              <w:rPr>
                <w:rFonts w:ascii="Verdana" w:hAnsi="Verdana"/>
                <w:sz w:val="18"/>
                <w:szCs w:val="18"/>
              </w:rPr>
              <w:lastRenderedPageBreak/>
              <w:t>(4.2 Stand van zaken beroepsprocedures private schulden)</w:t>
            </w:r>
          </w:p>
          <w:p w:rsidRPr="00A10AC0" w:rsidR="008716C0" w:rsidP="00A10AC0" w:rsidRDefault="008716C0" w14:paraId="7591E2D8" w14:textId="46F727DE">
            <w:pPr>
              <w:spacing w:line="276" w:lineRule="auto"/>
              <w:rPr>
                <w:rFonts w:ascii="Verdana" w:hAnsi="Verdana"/>
                <w:sz w:val="18"/>
                <w:szCs w:val="18"/>
              </w:rPr>
            </w:pPr>
          </w:p>
        </w:tc>
        <w:tc>
          <w:tcPr>
            <w:tcW w:w="284" w:type="dxa"/>
          </w:tcPr>
          <w:p w:rsidRPr="00A10AC0" w:rsidR="008716C0" w:rsidP="00A10AC0" w:rsidRDefault="008716C0" w14:paraId="47B9BD14" w14:textId="77777777">
            <w:pPr>
              <w:spacing w:line="276" w:lineRule="auto"/>
              <w:ind w:right="283"/>
              <w:rPr>
                <w:rFonts w:ascii="Verdana" w:hAnsi="Verdana" w:cs="Verdana"/>
                <w:sz w:val="18"/>
                <w:szCs w:val="18"/>
              </w:rPr>
            </w:pPr>
          </w:p>
        </w:tc>
        <w:tc>
          <w:tcPr>
            <w:tcW w:w="8930" w:type="dxa"/>
          </w:tcPr>
          <w:p w:rsidRPr="00A10AC0" w:rsidR="008716C0" w:rsidP="00A10AC0" w:rsidRDefault="008716C0" w14:paraId="2E6D0BAC" w14:textId="0DCE8B11">
            <w:pPr>
              <w:spacing w:line="276" w:lineRule="auto"/>
              <w:ind w:right="283"/>
              <w:rPr>
                <w:rFonts w:ascii="Verdana" w:hAnsi="Verdana"/>
                <w:sz w:val="18"/>
                <w:szCs w:val="18"/>
              </w:rPr>
            </w:pPr>
            <w:r w:rsidRPr="00A10AC0">
              <w:rPr>
                <w:rFonts w:ascii="Verdana" w:hAnsi="Verdana" w:cs="Verdana"/>
                <w:sz w:val="18"/>
                <w:szCs w:val="18"/>
              </w:rPr>
              <w:t xml:space="preserve">De zaken waarin het beroep gedeeltelijk gegrond werd verklaard zijn veelal ontstaan doordat tijdens de beroepsprocedure aanvullende informatie door de ouder werd aangeleverd, die niet </w:t>
            </w:r>
            <w:r w:rsidRPr="00A10AC0">
              <w:rPr>
                <w:rFonts w:ascii="Verdana" w:hAnsi="Verdana" w:cs="Verdana"/>
                <w:sz w:val="18"/>
                <w:szCs w:val="18"/>
              </w:rPr>
              <w:lastRenderedPageBreak/>
              <w:t xml:space="preserve">bekend was op het moment van de bezwaarprocedure. </w:t>
            </w:r>
            <w:r w:rsidRPr="00A10AC0">
              <w:rPr>
                <w:rFonts w:ascii="Verdana" w:hAnsi="Verdana"/>
                <w:sz w:val="18"/>
                <w:szCs w:val="18"/>
              </w:rPr>
              <w:t>In die situaties, was het niet aan SBN te wijten dat de schuld eerder is afgewezen. De beslissing is dus niet aangepast omdat SBN iets fout gedaan heeft, maar omdat er nieuwe informatie beschikbaar was. In zulke gevallen bestaat er geen recht op een proceskostenvergoeding.</w:t>
            </w:r>
          </w:p>
          <w:p w:rsidRPr="00A10AC0" w:rsidR="008716C0" w:rsidP="00A10AC0" w:rsidRDefault="008716C0" w14:paraId="3801F26A" w14:textId="77777777">
            <w:pPr>
              <w:spacing w:line="276" w:lineRule="auto"/>
              <w:ind w:right="283"/>
              <w:rPr>
                <w:rFonts w:ascii="Verdana" w:hAnsi="Verdana"/>
                <w:sz w:val="18"/>
                <w:szCs w:val="18"/>
              </w:rPr>
            </w:pPr>
          </w:p>
        </w:tc>
      </w:tr>
      <w:tr w:rsidRPr="00A10AC0" w:rsidR="008716C0" w:rsidTr="00A10AC0" w14:paraId="4DBAD578" w14:textId="3DBDA779">
        <w:tc>
          <w:tcPr>
            <w:tcW w:w="568" w:type="dxa"/>
          </w:tcPr>
          <w:p w:rsidRPr="00A10AC0" w:rsidR="008716C0" w:rsidP="00A10AC0" w:rsidRDefault="008716C0" w14:paraId="5425FC68" w14:textId="77777777">
            <w:pPr>
              <w:spacing w:line="276" w:lineRule="auto"/>
              <w:rPr>
                <w:rFonts w:ascii="Verdana" w:hAnsi="Verdana"/>
                <w:b/>
                <w:bCs/>
                <w:sz w:val="18"/>
                <w:szCs w:val="18"/>
              </w:rPr>
            </w:pPr>
            <w:r w:rsidRPr="00A10AC0">
              <w:rPr>
                <w:rFonts w:ascii="Verdana" w:hAnsi="Verdana"/>
                <w:b/>
                <w:bCs/>
                <w:sz w:val="18"/>
                <w:szCs w:val="18"/>
              </w:rPr>
              <w:lastRenderedPageBreak/>
              <w:t>61</w:t>
            </w:r>
          </w:p>
        </w:tc>
        <w:tc>
          <w:tcPr>
            <w:tcW w:w="4677" w:type="dxa"/>
          </w:tcPr>
          <w:p w:rsidRPr="00A10AC0" w:rsidR="008716C0" w:rsidP="00A10AC0" w:rsidRDefault="008716C0" w14:paraId="36959CB7" w14:textId="77777777">
            <w:pPr>
              <w:spacing w:line="276" w:lineRule="auto"/>
              <w:ind w:right="283"/>
              <w:rPr>
                <w:rFonts w:ascii="Verdana" w:hAnsi="Verdana"/>
                <w:sz w:val="18"/>
                <w:szCs w:val="18"/>
              </w:rPr>
            </w:pPr>
            <w:r w:rsidRPr="00A10AC0">
              <w:rPr>
                <w:rFonts w:ascii="Verdana" w:hAnsi="Verdana"/>
                <w:sz w:val="18"/>
                <w:szCs w:val="18"/>
              </w:rPr>
              <w:t>Waar is het bedrag van 116 euro op gebaseerd?</w:t>
            </w:r>
          </w:p>
          <w:p w:rsidRPr="00A10AC0" w:rsidR="008716C0" w:rsidP="00A10AC0" w:rsidRDefault="008716C0" w14:paraId="76AA1DDD" w14:textId="24A9D733">
            <w:pPr>
              <w:spacing w:line="276" w:lineRule="auto"/>
              <w:ind w:right="283"/>
              <w:rPr>
                <w:rFonts w:ascii="Verdana" w:hAnsi="Verdana"/>
                <w:sz w:val="18"/>
                <w:szCs w:val="18"/>
              </w:rPr>
            </w:pPr>
            <w:r w:rsidRPr="00A10AC0">
              <w:rPr>
                <w:rFonts w:ascii="Verdana" w:hAnsi="Verdana"/>
                <w:sz w:val="18"/>
                <w:szCs w:val="18"/>
              </w:rPr>
              <w:t>(5.2 fouten herstelacties)</w:t>
            </w:r>
          </w:p>
          <w:p w:rsidRPr="00A10AC0" w:rsidR="008716C0" w:rsidP="00A10AC0" w:rsidRDefault="008716C0" w14:paraId="5050FB05" w14:textId="7748AD67">
            <w:pPr>
              <w:spacing w:line="276" w:lineRule="auto"/>
              <w:rPr>
                <w:rFonts w:ascii="Verdana" w:hAnsi="Verdana"/>
                <w:sz w:val="18"/>
                <w:szCs w:val="18"/>
              </w:rPr>
            </w:pPr>
          </w:p>
        </w:tc>
        <w:tc>
          <w:tcPr>
            <w:tcW w:w="284" w:type="dxa"/>
          </w:tcPr>
          <w:p w:rsidRPr="00A10AC0" w:rsidR="008716C0" w:rsidP="00A10AC0" w:rsidRDefault="008716C0" w14:paraId="3E3ED94B" w14:textId="77777777">
            <w:pPr>
              <w:spacing w:line="276" w:lineRule="auto"/>
              <w:rPr>
                <w:rFonts w:ascii="Verdana" w:hAnsi="Verdana"/>
                <w:sz w:val="18"/>
                <w:szCs w:val="18"/>
              </w:rPr>
            </w:pPr>
          </w:p>
        </w:tc>
        <w:tc>
          <w:tcPr>
            <w:tcW w:w="8930" w:type="dxa"/>
          </w:tcPr>
          <w:p w:rsidRPr="00A10AC0" w:rsidR="008716C0" w:rsidP="00A10AC0" w:rsidRDefault="008716C0" w14:paraId="240CE8E9" w14:textId="78B97BBC">
            <w:pPr>
              <w:spacing w:line="276" w:lineRule="auto"/>
              <w:rPr>
                <w:rFonts w:ascii="Verdana" w:hAnsi="Verdana"/>
                <w:sz w:val="18"/>
                <w:szCs w:val="18"/>
              </w:rPr>
            </w:pPr>
            <w:r w:rsidRPr="00A10AC0">
              <w:rPr>
                <w:rFonts w:ascii="Verdana" w:hAnsi="Verdana"/>
                <w:sz w:val="18"/>
                <w:szCs w:val="18"/>
              </w:rPr>
              <w:t>Met het bedrag van €116 is aangesloten bij de doelmatigheidsgrens die voor alle terug te betalen toeslagbedragen in 2024 wordt gehanteerd. Terugvorderingen voor toeslagen die in 2024 lager zijn dan €116, hoeven niet te worden terugbetaald.</w:t>
            </w:r>
          </w:p>
          <w:p w:rsidRPr="00A10AC0" w:rsidR="008716C0" w:rsidP="00A10AC0" w:rsidRDefault="008716C0" w14:paraId="2FCE9411" w14:textId="0B33BA3A">
            <w:pPr>
              <w:spacing w:line="276" w:lineRule="auto"/>
              <w:ind w:right="283"/>
              <w:rPr>
                <w:rFonts w:ascii="Verdana" w:hAnsi="Verdana"/>
                <w:sz w:val="18"/>
                <w:szCs w:val="18"/>
              </w:rPr>
            </w:pPr>
          </w:p>
        </w:tc>
      </w:tr>
      <w:tr w:rsidRPr="00A10AC0" w:rsidR="008716C0" w:rsidTr="00A10AC0" w14:paraId="3E07F98E" w14:textId="2313121D">
        <w:tc>
          <w:tcPr>
            <w:tcW w:w="568" w:type="dxa"/>
          </w:tcPr>
          <w:p w:rsidRPr="00A10AC0" w:rsidR="008716C0" w:rsidP="00A10AC0" w:rsidRDefault="008716C0" w14:paraId="139C3097" w14:textId="77777777">
            <w:pPr>
              <w:spacing w:line="276" w:lineRule="auto"/>
              <w:rPr>
                <w:rFonts w:ascii="Verdana" w:hAnsi="Verdana"/>
                <w:b/>
                <w:bCs/>
                <w:sz w:val="18"/>
                <w:szCs w:val="18"/>
              </w:rPr>
            </w:pPr>
            <w:r w:rsidRPr="00A10AC0">
              <w:rPr>
                <w:rFonts w:ascii="Verdana" w:hAnsi="Verdana"/>
                <w:b/>
                <w:bCs/>
                <w:sz w:val="18"/>
                <w:szCs w:val="18"/>
              </w:rPr>
              <w:t>62</w:t>
            </w:r>
          </w:p>
        </w:tc>
        <w:tc>
          <w:tcPr>
            <w:tcW w:w="4677" w:type="dxa"/>
          </w:tcPr>
          <w:p w:rsidRPr="00A10AC0" w:rsidR="008716C0" w:rsidP="00A10AC0" w:rsidRDefault="008716C0" w14:paraId="2649C214" w14:textId="77777777">
            <w:pPr>
              <w:spacing w:line="276" w:lineRule="auto"/>
              <w:rPr>
                <w:rFonts w:ascii="Verdana" w:hAnsi="Verdana"/>
                <w:sz w:val="18"/>
                <w:szCs w:val="18"/>
              </w:rPr>
            </w:pPr>
            <w:r w:rsidRPr="00A10AC0">
              <w:rPr>
                <w:rFonts w:ascii="Verdana" w:hAnsi="Verdana"/>
                <w:sz w:val="18"/>
                <w:szCs w:val="18"/>
              </w:rPr>
              <w:t xml:space="preserve">Wat is de tekst van de brief die is gestuurd naar ouders die meer dan 116 euro </w:t>
            </w:r>
            <w:proofErr w:type="gramStart"/>
            <w:r w:rsidRPr="00A10AC0">
              <w:rPr>
                <w:rFonts w:ascii="Verdana" w:hAnsi="Verdana"/>
                <w:sz w:val="18"/>
                <w:szCs w:val="18"/>
              </w:rPr>
              <w:t>teveel</w:t>
            </w:r>
            <w:proofErr w:type="gramEnd"/>
            <w:r w:rsidRPr="00A10AC0">
              <w:rPr>
                <w:rFonts w:ascii="Verdana" w:hAnsi="Verdana"/>
                <w:sz w:val="18"/>
                <w:szCs w:val="18"/>
              </w:rPr>
              <w:t xml:space="preserve"> hebben uitbetaald gekregen?</w:t>
            </w:r>
          </w:p>
          <w:p w:rsidRPr="00A10AC0" w:rsidR="001F0455" w:rsidP="00A10AC0" w:rsidRDefault="001F0455" w14:paraId="6A00DC15" w14:textId="653B0517">
            <w:pPr>
              <w:spacing w:line="276" w:lineRule="auto"/>
              <w:rPr>
                <w:rFonts w:ascii="Verdana" w:hAnsi="Verdana"/>
                <w:sz w:val="18"/>
                <w:szCs w:val="18"/>
              </w:rPr>
            </w:pPr>
          </w:p>
        </w:tc>
        <w:tc>
          <w:tcPr>
            <w:tcW w:w="284" w:type="dxa"/>
          </w:tcPr>
          <w:p w:rsidRPr="00A10AC0" w:rsidR="008716C0" w:rsidP="00A10AC0" w:rsidRDefault="008716C0" w14:paraId="2FDC7B4A" w14:textId="77777777">
            <w:pPr>
              <w:spacing w:line="276" w:lineRule="auto"/>
              <w:ind w:right="283"/>
              <w:rPr>
                <w:rFonts w:ascii="Verdana" w:hAnsi="Verdana"/>
                <w:sz w:val="18"/>
                <w:szCs w:val="18"/>
                <w:highlight w:val="yellow"/>
              </w:rPr>
            </w:pPr>
          </w:p>
        </w:tc>
        <w:tc>
          <w:tcPr>
            <w:tcW w:w="8930" w:type="dxa"/>
          </w:tcPr>
          <w:p w:rsidRPr="00A10AC0" w:rsidR="008716C0" w:rsidP="00A10AC0" w:rsidRDefault="00C11D2E" w14:paraId="2DAAB662" w14:textId="7BCA5851">
            <w:pPr>
              <w:spacing w:line="276" w:lineRule="auto"/>
              <w:ind w:right="283"/>
              <w:rPr>
                <w:rFonts w:ascii="Verdana" w:hAnsi="Verdana"/>
                <w:sz w:val="18"/>
                <w:szCs w:val="18"/>
                <w:highlight w:val="yellow"/>
              </w:rPr>
            </w:pPr>
            <w:r w:rsidRPr="00A10AC0">
              <w:rPr>
                <w:rFonts w:ascii="Verdana" w:hAnsi="Verdana"/>
                <w:sz w:val="18"/>
                <w:szCs w:val="18"/>
              </w:rPr>
              <w:t xml:space="preserve">De brief is als bijlage bij deze beantwoording gevoegd. </w:t>
            </w:r>
          </w:p>
        </w:tc>
      </w:tr>
      <w:tr w:rsidRPr="00A10AC0" w:rsidR="008716C0" w:rsidTr="00A10AC0" w14:paraId="5C3D7B10" w14:textId="09238AE6">
        <w:tc>
          <w:tcPr>
            <w:tcW w:w="568" w:type="dxa"/>
          </w:tcPr>
          <w:p w:rsidRPr="00A10AC0" w:rsidR="008716C0" w:rsidP="00A10AC0" w:rsidRDefault="008716C0" w14:paraId="52FD93F4" w14:textId="77777777">
            <w:pPr>
              <w:spacing w:line="276" w:lineRule="auto"/>
              <w:rPr>
                <w:rFonts w:ascii="Verdana" w:hAnsi="Verdana"/>
                <w:b/>
                <w:bCs/>
                <w:sz w:val="18"/>
                <w:szCs w:val="18"/>
              </w:rPr>
            </w:pPr>
            <w:r w:rsidRPr="00A10AC0">
              <w:rPr>
                <w:rFonts w:ascii="Verdana" w:hAnsi="Verdana"/>
                <w:b/>
                <w:bCs/>
                <w:sz w:val="18"/>
                <w:szCs w:val="18"/>
              </w:rPr>
              <w:t>63</w:t>
            </w:r>
          </w:p>
        </w:tc>
        <w:tc>
          <w:tcPr>
            <w:tcW w:w="4677" w:type="dxa"/>
          </w:tcPr>
          <w:p w:rsidRPr="00A10AC0" w:rsidR="008716C0" w:rsidP="00A10AC0" w:rsidRDefault="008716C0" w14:paraId="0E7EE196" w14:textId="7BEE9000">
            <w:pPr>
              <w:spacing w:line="276" w:lineRule="auto"/>
              <w:rPr>
                <w:rFonts w:ascii="Verdana" w:hAnsi="Verdana"/>
                <w:sz w:val="18"/>
                <w:szCs w:val="18"/>
              </w:rPr>
            </w:pPr>
            <w:r w:rsidRPr="00A10AC0">
              <w:rPr>
                <w:rFonts w:ascii="Verdana" w:hAnsi="Verdana"/>
                <w:sz w:val="18"/>
                <w:szCs w:val="18"/>
              </w:rPr>
              <w:t xml:space="preserve">Wat is de tekst van de brief die is gestuurd naar ouders die minder dan 116 euro </w:t>
            </w:r>
            <w:proofErr w:type="gramStart"/>
            <w:r w:rsidRPr="00A10AC0">
              <w:rPr>
                <w:rFonts w:ascii="Verdana" w:hAnsi="Verdana"/>
                <w:sz w:val="18"/>
                <w:szCs w:val="18"/>
              </w:rPr>
              <w:t>teveel</w:t>
            </w:r>
            <w:proofErr w:type="gramEnd"/>
            <w:r w:rsidRPr="00A10AC0">
              <w:rPr>
                <w:rFonts w:ascii="Verdana" w:hAnsi="Verdana"/>
                <w:sz w:val="18"/>
                <w:szCs w:val="18"/>
              </w:rPr>
              <w:t xml:space="preserve"> hebben uitbetaald gekregen?</w:t>
            </w:r>
          </w:p>
          <w:p w:rsidRPr="00A10AC0" w:rsidR="008716C0" w:rsidP="00A10AC0" w:rsidRDefault="008716C0" w14:paraId="6521C989" w14:textId="4A07D9C4">
            <w:pPr>
              <w:spacing w:line="276" w:lineRule="auto"/>
              <w:rPr>
                <w:rFonts w:ascii="Verdana" w:hAnsi="Verdana"/>
                <w:sz w:val="18"/>
                <w:szCs w:val="18"/>
              </w:rPr>
            </w:pPr>
          </w:p>
        </w:tc>
        <w:tc>
          <w:tcPr>
            <w:tcW w:w="284" w:type="dxa"/>
          </w:tcPr>
          <w:p w:rsidRPr="00A10AC0" w:rsidR="008716C0" w:rsidP="00A10AC0" w:rsidRDefault="008716C0" w14:paraId="1FED9350" w14:textId="77777777">
            <w:pPr>
              <w:spacing w:line="276" w:lineRule="auto"/>
              <w:ind w:right="283"/>
              <w:rPr>
                <w:rFonts w:ascii="Verdana" w:hAnsi="Verdana"/>
                <w:sz w:val="18"/>
                <w:szCs w:val="18"/>
                <w:highlight w:val="yellow"/>
              </w:rPr>
            </w:pPr>
          </w:p>
        </w:tc>
        <w:tc>
          <w:tcPr>
            <w:tcW w:w="8930" w:type="dxa"/>
          </w:tcPr>
          <w:p w:rsidRPr="00A10AC0" w:rsidR="008716C0" w:rsidP="00A10AC0" w:rsidRDefault="00C11D2E" w14:paraId="33943CFF" w14:textId="71E4151E">
            <w:pPr>
              <w:spacing w:line="276" w:lineRule="auto"/>
              <w:ind w:right="283"/>
              <w:rPr>
                <w:rFonts w:ascii="Verdana" w:hAnsi="Verdana"/>
                <w:sz w:val="18"/>
                <w:szCs w:val="18"/>
                <w:highlight w:val="yellow"/>
              </w:rPr>
            </w:pPr>
            <w:r w:rsidRPr="00A10AC0">
              <w:rPr>
                <w:rFonts w:ascii="Verdana" w:hAnsi="Verdana"/>
                <w:sz w:val="18"/>
                <w:szCs w:val="18"/>
              </w:rPr>
              <w:t>De brief is als bijlage bij deze beantwoording gevoegd.</w:t>
            </w:r>
          </w:p>
        </w:tc>
      </w:tr>
      <w:tr w:rsidRPr="00A10AC0" w:rsidR="008716C0" w:rsidTr="00A10AC0" w14:paraId="027FA402" w14:textId="58F4D941">
        <w:tc>
          <w:tcPr>
            <w:tcW w:w="568" w:type="dxa"/>
          </w:tcPr>
          <w:p w:rsidRPr="00A10AC0" w:rsidR="008716C0" w:rsidP="00A10AC0" w:rsidRDefault="008716C0" w14:paraId="3DA6FD0A" w14:textId="77777777">
            <w:pPr>
              <w:spacing w:line="276" w:lineRule="auto"/>
              <w:rPr>
                <w:rFonts w:ascii="Verdana" w:hAnsi="Verdana"/>
                <w:b/>
                <w:bCs/>
                <w:sz w:val="18"/>
                <w:szCs w:val="18"/>
              </w:rPr>
            </w:pPr>
            <w:r w:rsidRPr="00A10AC0">
              <w:rPr>
                <w:rFonts w:ascii="Verdana" w:hAnsi="Verdana"/>
                <w:b/>
                <w:bCs/>
                <w:sz w:val="18"/>
                <w:szCs w:val="18"/>
              </w:rPr>
              <w:t>64</w:t>
            </w:r>
          </w:p>
        </w:tc>
        <w:tc>
          <w:tcPr>
            <w:tcW w:w="4677" w:type="dxa"/>
          </w:tcPr>
          <w:p w:rsidRPr="00A10AC0" w:rsidR="008716C0" w:rsidP="00A10AC0" w:rsidRDefault="008716C0" w14:paraId="4A463582" w14:textId="48537693">
            <w:pPr>
              <w:spacing w:line="276" w:lineRule="auto"/>
              <w:rPr>
                <w:rFonts w:ascii="Verdana" w:hAnsi="Verdana"/>
                <w:sz w:val="18"/>
                <w:szCs w:val="18"/>
              </w:rPr>
            </w:pPr>
            <w:r w:rsidRPr="00A10AC0">
              <w:rPr>
                <w:rFonts w:ascii="Verdana" w:hAnsi="Verdana"/>
                <w:sz w:val="18"/>
                <w:szCs w:val="18"/>
              </w:rPr>
              <w:t xml:space="preserve">Is de tekst van de brieven die naar ouders die </w:t>
            </w:r>
            <w:proofErr w:type="gramStart"/>
            <w:r w:rsidRPr="00A10AC0">
              <w:rPr>
                <w:rFonts w:ascii="Verdana" w:hAnsi="Verdana"/>
                <w:sz w:val="18"/>
                <w:szCs w:val="18"/>
              </w:rPr>
              <w:t>teveel</w:t>
            </w:r>
            <w:proofErr w:type="gramEnd"/>
            <w:r w:rsidRPr="00A10AC0">
              <w:rPr>
                <w:rFonts w:ascii="Verdana" w:hAnsi="Verdana"/>
                <w:sz w:val="18"/>
                <w:szCs w:val="18"/>
              </w:rPr>
              <w:t xml:space="preserve"> uitbetaald hebben gekregen getoetst met relevante stakeholders zoals de Oudercommissie en anderen? Zo ja, wat kwam </w:t>
            </w:r>
            <w:proofErr w:type="gramStart"/>
            <w:r w:rsidRPr="00A10AC0">
              <w:rPr>
                <w:rFonts w:ascii="Verdana" w:hAnsi="Verdana"/>
                <w:sz w:val="18"/>
                <w:szCs w:val="18"/>
              </w:rPr>
              <w:t>daar uit</w:t>
            </w:r>
            <w:proofErr w:type="gramEnd"/>
            <w:r w:rsidRPr="00A10AC0">
              <w:rPr>
                <w:rFonts w:ascii="Verdana" w:hAnsi="Verdana"/>
                <w:sz w:val="18"/>
                <w:szCs w:val="18"/>
              </w:rPr>
              <w:t>? Zo nee, waarom niet?</w:t>
            </w:r>
          </w:p>
        </w:tc>
        <w:tc>
          <w:tcPr>
            <w:tcW w:w="284" w:type="dxa"/>
          </w:tcPr>
          <w:p w:rsidRPr="00A10AC0" w:rsidR="008716C0" w:rsidP="00A10AC0" w:rsidRDefault="008716C0" w14:paraId="4428B9B3" w14:textId="77777777">
            <w:pPr>
              <w:spacing w:line="276" w:lineRule="auto"/>
              <w:ind w:right="283"/>
              <w:rPr>
                <w:rFonts w:ascii="Verdana" w:hAnsi="Verdana"/>
                <w:sz w:val="18"/>
                <w:szCs w:val="18"/>
                <w:highlight w:val="yellow"/>
              </w:rPr>
            </w:pPr>
          </w:p>
        </w:tc>
        <w:tc>
          <w:tcPr>
            <w:tcW w:w="8930" w:type="dxa"/>
          </w:tcPr>
          <w:p w:rsidRPr="00A10AC0" w:rsidR="00205AD1" w:rsidP="00A10AC0" w:rsidRDefault="00205AD1" w14:paraId="799B0255" w14:textId="7258C962">
            <w:pPr>
              <w:spacing w:line="276" w:lineRule="auto"/>
              <w:ind w:right="283"/>
              <w:rPr>
                <w:rFonts w:ascii="Verdana" w:hAnsi="Verdana"/>
                <w:sz w:val="18"/>
                <w:szCs w:val="18"/>
              </w:rPr>
            </w:pPr>
            <w:r w:rsidRPr="00A10AC0">
              <w:rPr>
                <w:rFonts w:ascii="Verdana" w:hAnsi="Verdana"/>
                <w:sz w:val="18"/>
                <w:szCs w:val="18"/>
              </w:rPr>
              <w:t xml:space="preserve">Ja, de brief is afgestemd met stakeholders zoals de Oudercommissie, </w:t>
            </w:r>
            <w:proofErr w:type="spellStart"/>
            <w:r w:rsidRPr="00A10AC0">
              <w:rPr>
                <w:rFonts w:ascii="Verdana" w:hAnsi="Verdana"/>
                <w:sz w:val="18"/>
                <w:szCs w:val="18"/>
              </w:rPr>
              <w:t>BOin</w:t>
            </w:r>
            <w:r w:rsidR="00903C94">
              <w:rPr>
                <w:rFonts w:ascii="Verdana" w:hAnsi="Verdana"/>
                <w:sz w:val="18"/>
                <w:szCs w:val="18"/>
              </w:rPr>
              <w:t>K</w:t>
            </w:r>
            <w:proofErr w:type="spellEnd"/>
            <w:r w:rsidRPr="00A10AC0">
              <w:rPr>
                <w:rFonts w:ascii="Verdana" w:hAnsi="Verdana"/>
                <w:sz w:val="18"/>
                <w:szCs w:val="18"/>
              </w:rPr>
              <w:t>, Stichting Lezen en Schrijven en Sociale Banken Nederland. Er zijn suggesties gedaan die hebben geleid tot een aantal tekstuele aanpassingen en het toevoegen van excuses. Een enkeling was geen voorstander van het verzenden van de brief, omdat er geen verplichting is om terug te betalen.</w:t>
            </w:r>
          </w:p>
          <w:p w:rsidRPr="00A10AC0" w:rsidR="008716C0" w:rsidP="00A10AC0" w:rsidRDefault="008716C0" w14:paraId="443F6B8E" w14:textId="13AD4775">
            <w:pPr>
              <w:spacing w:line="276" w:lineRule="auto"/>
              <w:ind w:right="283"/>
              <w:rPr>
                <w:rFonts w:ascii="Verdana" w:hAnsi="Verdana"/>
                <w:sz w:val="18"/>
                <w:szCs w:val="18"/>
                <w:highlight w:val="yellow"/>
              </w:rPr>
            </w:pPr>
          </w:p>
        </w:tc>
      </w:tr>
    </w:tbl>
    <w:p w:rsidRPr="00DE37CB" w:rsidR="00E7599D" w:rsidP="00DE37CB" w:rsidRDefault="00E7599D" w14:paraId="7E63417C" w14:textId="77777777">
      <w:pPr>
        <w:spacing w:line="276" w:lineRule="auto"/>
        <w:rPr>
          <w:rFonts w:ascii="Verdana" w:hAnsi="Verdana"/>
          <w:sz w:val="18"/>
          <w:szCs w:val="18"/>
        </w:rPr>
      </w:pPr>
    </w:p>
    <w:sectPr w:rsidRPr="00DE37CB" w:rsidR="00E7599D" w:rsidSect="00E7599D">
      <w:footerReference w:type="default" r:id="rId7"/>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AAB9F" w14:textId="77777777" w:rsidR="00CE0CD1" w:rsidRDefault="00CE0CD1" w:rsidP="008E7E97">
      <w:r>
        <w:separator/>
      </w:r>
    </w:p>
  </w:endnote>
  <w:endnote w:type="continuationSeparator" w:id="0">
    <w:p w14:paraId="60F63FC0" w14:textId="77777777" w:rsidR="00CE0CD1" w:rsidRDefault="00CE0CD1" w:rsidP="008E7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2786"/>
      <w:docPartObj>
        <w:docPartGallery w:val="Page Numbers (Bottom of Page)"/>
        <w:docPartUnique/>
      </w:docPartObj>
    </w:sdtPr>
    <w:sdtEndPr/>
    <w:sdtContent>
      <w:p w14:paraId="25F0ED80" w14:textId="6284116A" w:rsidR="00327FDB" w:rsidRDefault="00327FDB">
        <w:pPr>
          <w:pStyle w:val="Voettekst"/>
          <w:jc w:val="right"/>
        </w:pPr>
        <w:r>
          <w:fldChar w:fldCharType="begin"/>
        </w:r>
        <w:r>
          <w:instrText>PAGE   \* MERGEFORMAT</w:instrText>
        </w:r>
        <w:r>
          <w:fldChar w:fldCharType="separate"/>
        </w:r>
        <w:r>
          <w:t>2</w:t>
        </w:r>
        <w:r>
          <w:fldChar w:fldCharType="end"/>
        </w:r>
      </w:p>
    </w:sdtContent>
  </w:sdt>
  <w:p w14:paraId="0947E2F0" w14:textId="77777777" w:rsidR="00327FDB" w:rsidRDefault="00327F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DE3CA" w14:textId="77777777" w:rsidR="00CE0CD1" w:rsidRDefault="00CE0CD1" w:rsidP="008E7E97">
      <w:r>
        <w:separator/>
      </w:r>
    </w:p>
  </w:footnote>
  <w:footnote w:type="continuationSeparator" w:id="0">
    <w:p w14:paraId="6F79A062" w14:textId="77777777" w:rsidR="00CE0CD1" w:rsidRDefault="00CE0CD1" w:rsidP="008E7E97">
      <w:r>
        <w:continuationSeparator/>
      </w:r>
    </w:p>
  </w:footnote>
  <w:footnote w:id="1">
    <w:p w14:paraId="792238B0" w14:textId="77777777" w:rsidR="00D264C3" w:rsidRPr="00DE6471" w:rsidRDefault="00D264C3" w:rsidP="00D264C3">
      <w:pPr>
        <w:pStyle w:val="Voetnoottekst"/>
        <w:rPr>
          <w:rFonts w:ascii="Verdana" w:hAnsi="Verdana"/>
          <w:sz w:val="13"/>
          <w:szCs w:val="13"/>
        </w:rPr>
      </w:pPr>
      <w:r w:rsidRPr="00DE6471">
        <w:rPr>
          <w:rStyle w:val="Voetnootmarkering"/>
          <w:rFonts w:ascii="Verdana" w:hAnsi="Verdana"/>
          <w:sz w:val="13"/>
          <w:szCs w:val="13"/>
        </w:rPr>
        <w:footnoteRef/>
      </w:r>
      <w:r w:rsidRPr="00DE6471">
        <w:rPr>
          <w:rFonts w:ascii="Verdana" w:hAnsi="Verdana"/>
          <w:sz w:val="13"/>
          <w:szCs w:val="13"/>
        </w:rPr>
        <w:t xml:space="preserve"> Kamerstukken II, 2024/25, 36708-1</w:t>
      </w:r>
    </w:p>
  </w:footnote>
  <w:footnote w:id="2">
    <w:p w14:paraId="16D49D7B" w14:textId="77777777" w:rsidR="00B10497" w:rsidRPr="00A10AC0" w:rsidRDefault="00B10497" w:rsidP="00B10497">
      <w:pPr>
        <w:pStyle w:val="Voetnoottekst"/>
        <w:rPr>
          <w:rFonts w:ascii="Verdana" w:hAnsi="Verdana"/>
          <w:color w:val="000000"/>
          <w:sz w:val="14"/>
          <w:szCs w:val="14"/>
        </w:rPr>
      </w:pPr>
      <w:r w:rsidRPr="00A10AC0">
        <w:rPr>
          <w:rStyle w:val="Voetnootmarkering"/>
          <w:rFonts w:ascii="Verdana" w:hAnsi="Verdana"/>
          <w:color w:val="000000"/>
          <w:sz w:val="14"/>
          <w:szCs w:val="14"/>
        </w:rPr>
        <w:footnoteRef/>
      </w:r>
      <w:r w:rsidRPr="00A10AC0">
        <w:rPr>
          <w:rFonts w:ascii="Verdana" w:hAnsi="Verdana"/>
          <w:color w:val="000000"/>
          <w:sz w:val="14"/>
          <w:szCs w:val="14"/>
        </w:rPr>
        <w:t xml:space="preserve"> </w:t>
      </w:r>
      <w:hyperlink r:id="rId1" w:history="1">
        <w:r w:rsidRPr="00A10AC0">
          <w:rPr>
            <w:rStyle w:val="Hyperlink"/>
            <w:rFonts w:ascii="Verdana" w:hAnsi="Verdana"/>
            <w:color w:val="000000"/>
            <w:sz w:val="14"/>
            <w:szCs w:val="14"/>
          </w:rPr>
          <w:t>https://www.rijksoverheid.nl/onderwerpen/rijksoverheid/documenten/publicaties/2024/10/25/documenten-bij-besluit-op-woo-verzoek-over-rapport-ministerie-van-financien-en-nationale-schuld-ix</w:t>
        </w:r>
      </w:hyperlink>
      <w:r w:rsidRPr="00A10AC0">
        <w:rPr>
          <w:rFonts w:ascii="Verdana" w:hAnsi="Verdana"/>
          <w:color w:val="000000"/>
          <w:sz w:val="14"/>
          <w:szCs w:val="14"/>
        </w:rPr>
        <w:t xml:space="preserve">. Document Afwegingskader Wet DBA, documentnummer: 2075517. </w:t>
      </w:r>
    </w:p>
    <w:p w14:paraId="1EA1323D" w14:textId="77777777" w:rsidR="00B10497" w:rsidRPr="00B10497" w:rsidRDefault="00B10497" w:rsidP="00B10497">
      <w:pPr>
        <w:pStyle w:val="Voetnoottekst"/>
        <w:rPr>
          <w:rFonts w:ascii="Verdana" w:hAnsi="Verdana"/>
          <w:color w:val="000000"/>
          <w:sz w:val="13"/>
          <w:szCs w:val="13"/>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59B8"/>
    <w:multiLevelType w:val="hybridMultilevel"/>
    <w:tmpl w:val="99829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43750C"/>
    <w:multiLevelType w:val="hybridMultilevel"/>
    <w:tmpl w:val="746CE9DE"/>
    <w:lvl w:ilvl="0" w:tplc="FDFA0594">
      <w:numFmt w:val="bullet"/>
      <w:lvlText w:val="•"/>
      <w:lvlJc w:val="left"/>
      <w:pPr>
        <w:ind w:left="1410" w:hanging="69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42C0711A"/>
    <w:multiLevelType w:val="hybridMultilevel"/>
    <w:tmpl w:val="917E2AE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3400760"/>
    <w:multiLevelType w:val="hybridMultilevel"/>
    <w:tmpl w:val="335813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B4F0A06"/>
    <w:multiLevelType w:val="hybridMultilevel"/>
    <w:tmpl w:val="75D875C2"/>
    <w:lvl w:ilvl="0" w:tplc="192ACF5E">
      <w:start w:val="1"/>
      <w:numFmt w:val="bullet"/>
      <w:lvlText w:val=""/>
      <w:lvlJc w:val="left"/>
      <w:pPr>
        <w:ind w:left="720" w:hanging="360"/>
      </w:pPr>
      <w:rPr>
        <w:rFonts w:ascii="Symbol" w:hAnsi="Symbol" w:hint="default"/>
      </w:rPr>
    </w:lvl>
    <w:lvl w:ilvl="1" w:tplc="D4DEDCA4">
      <w:start w:val="1"/>
      <w:numFmt w:val="bullet"/>
      <w:lvlText w:val="o"/>
      <w:lvlJc w:val="left"/>
      <w:pPr>
        <w:ind w:left="1440" w:hanging="360"/>
      </w:pPr>
      <w:rPr>
        <w:rFonts w:ascii="Courier New" w:hAnsi="Courier New" w:hint="default"/>
      </w:rPr>
    </w:lvl>
    <w:lvl w:ilvl="2" w:tplc="2DF8F446">
      <w:start w:val="1"/>
      <w:numFmt w:val="bullet"/>
      <w:lvlText w:val=""/>
      <w:lvlJc w:val="left"/>
      <w:pPr>
        <w:ind w:left="2160" w:hanging="360"/>
      </w:pPr>
      <w:rPr>
        <w:rFonts w:ascii="Wingdings" w:hAnsi="Wingdings" w:hint="default"/>
      </w:rPr>
    </w:lvl>
    <w:lvl w:ilvl="3" w:tplc="AE8A74AC">
      <w:start w:val="1"/>
      <w:numFmt w:val="bullet"/>
      <w:lvlText w:val=""/>
      <w:lvlJc w:val="left"/>
      <w:pPr>
        <w:ind w:left="2880" w:hanging="360"/>
      </w:pPr>
      <w:rPr>
        <w:rFonts w:ascii="Symbol" w:hAnsi="Symbol" w:hint="default"/>
      </w:rPr>
    </w:lvl>
    <w:lvl w:ilvl="4" w:tplc="83DC2584">
      <w:start w:val="1"/>
      <w:numFmt w:val="bullet"/>
      <w:lvlText w:val="o"/>
      <w:lvlJc w:val="left"/>
      <w:pPr>
        <w:ind w:left="3600" w:hanging="360"/>
      </w:pPr>
      <w:rPr>
        <w:rFonts w:ascii="Courier New" w:hAnsi="Courier New" w:hint="default"/>
      </w:rPr>
    </w:lvl>
    <w:lvl w:ilvl="5" w:tplc="AFDACB84">
      <w:start w:val="1"/>
      <w:numFmt w:val="bullet"/>
      <w:lvlText w:val=""/>
      <w:lvlJc w:val="left"/>
      <w:pPr>
        <w:ind w:left="4320" w:hanging="360"/>
      </w:pPr>
      <w:rPr>
        <w:rFonts w:ascii="Wingdings" w:hAnsi="Wingdings" w:hint="default"/>
      </w:rPr>
    </w:lvl>
    <w:lvl w:ilvl="6" w:tplc="3962B20C">
      <w:start w:val="1"/>
      <w:numFmt w:val="bullet"/>
      <w:lvlText w:val=""/>
      <w:lvlJc w:val="left"/>
      <w:pPr>
        <w:ind w:left="5040" w:hanging="360"/>
      </w:pPr>
      <w:rPr>
        <w:rFonts w:ascii="Symbol" w:hAnsi="Symbol" w:hint="default"/>
      </w:rPr>
    </w:lvl>
    <w:lvl w:ilvl="7" w:tplc="E3F00B26">
      <w:start w:val="1"/>
      <w:numFmt w:val="bullet"/>
      <w:lvlText w:val="o"/>
      <w:lvlJc w:val="left"/>
      <w:pPr>
        <w:ind w:left="5760" w:hanging="360"/>
      </w:pPr>
      <w:rPr>
        <w:rFonts w:ascii="Courier New" w:hAnsi="Courier New" w:hint="default"/>
      </w:rPr>
    </w:lvl>
    <w:lvl w:ilvl="8" w:tplc="2A822446">
      <w:start w:val="1"/>
      <w:numFmt w:val="bullet"/>
      <w:lvlText w:val=""/>
      <w:lvlJc w:val="left"/>
      <w:pPr>
        <w:ind w:left="6480" w:hanging="360"/>
      </w:pPr>
      <w:rPr>
        <w:rFonts w:ascii="Wingdings" w:hAnsi="Wingdings" w:hint="default"/>
      </w:rPr>
    </w:lvl>
  </w:abstractNum>
  <w:abstractNum w:abstractNumId="5" w15:restartNumberingAfterBreak="0">
    <w:nsid w:val="76F61EE9"/>
    <w:multiLevelType w:val="hybridMultilevel"/>
    <w:tmpl w:val="8A9E6A22"/>
    <w:lvl w:ilvl="0" w:tplc="192ACF5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954565A"/>
    <w:multiLevelType w:val="hybridMultilevel"/>
    <w:tmpl w:val="3800C402"/>
    <w:lvl w:ilvl="0" w:tplc="064836F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4942871">
    <w:abstractNumId w:val="4"/>
  </w:num>
  <w:num w:numId="2" w16cid:durableId="1576623642">
    <w:abstractNumId w:val="3"/>
  </w:num>
  <w:num w:numId="3" w16cid:durableId="347372006">
    <w:abstractNumId w:val="5"/>
  </w:num>
  <w:num w:numId="4" w16cid:durableId="146868587">
    <w:abstractNumId w:val="1"/>
  </w:num>
  <w:num w:numId="5" w16cid:durableId="1570001952">
    <w:abstractNumId w:val="0"/>
  </w:num>
  <w:num w:numId="6" w16cid:durableId="1116558273">
    <w:abstractNumId w:val="2"/>
  </w:num>
  <w:num w:numId="7" w16cid:durableId="487017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7B9"/>
    <w:rsid w:val="00010E9B"/>
    <w:rsid w:val="00033056"/>
    <w:rsid w:val="00040AC3"/>
    <w:rsid w:val="00071BBE"/>
    <w:rsid w:val="000C0805"/>
    <w:rsid w:val="000E14C3"/>
    <w:rsid w:val="000F5298"/>
    <w:rsid w:val="00103B0F"/>
    <w:rsid w:val="001168DB"/>
    <w:rsid w:val="00126C2D"/>
    <w:rsid w:val="0016029F"/>
    <w:rsid w:val="00164C2C"/>
    <w:rsid w:val="001656DB"/>
    <w:rsid w:val="001961B6"/>
    <w:rsid w:val="001E3A8C"/>
    <w:rsid w:val="001F0455"/>
    <w:rsid w:val="00205AD1"/>
    <w:rsid w:val="002251BD"/>
    <w:rsid w:val="00226BA9"/>
    <w:rsid w:val="002300C4"/>
    <w:rsid w:val="00241DB7"/>
    <w:rsid w:val="002453C3"/>
    <w:rsid w:val="00255B1C"/>
    <w:rsid w:val="002900BD"/>
    <w:rsid w:val="002A278C"/>
    <w:rsid w:val="002B1E2D"/>
    <w:rsid w:val="002E0B2E"/>
    <w:rsid w:val="00327D23"/>
    <w:rsid w:val="00327FDB"/>
    <w:rsid w:val="003427AD"/>
    <w:rsid w:val="00360419"/>
    <w:rsid w:val="003670DD"/>
    <w:rsid w:val="00375879"/>
    <w:rsid w:val="00377966"/>
    <w:rsid w:val="003A6525"/>
    <w:rsid w:val="003D3CCD"/>
    <w:rsid w:val="003E6E1C"/>
    <w:rsid w:val="004071C3"/>
    <w:rsid w:val="00420D08"/>
    <w:rsid w:val="00423E7F"/>
    <w:rsid w:val="00431749"/>
    <w:rsid w:val="00437493"/>
    <w:rsid w:val="00473F2C"/>
    <w:rsid w:val="00497458"/>
    <w:rsid w:val="004B27C9"/>
    <w:rsid w:val="004B355E"/>
    <w:rsid w:val="004C4C3C"/>
    <w:rsid w:val="00537C13"/>
    <w:rsid w:val="00541D30"/>
    <w:rsid w:val="00586306"/>
    <w:rsid w:val="00593BD7"/>
    <w:rsid w:val="0059600D"/>
    <w:rsid w:val="005A194A"/>
    <w:rsid w:val="005C243B"/>
    <w:rsid w:val="005D131C"/>
    <w:rsid w:val="005D202B"/>
    <w:rsid w:val="005F09E3"/>
    <w:rsid w:val="00606902"/>
    <w:rsid w:val="00616ADA"/>
    <w:rsid w:val="0063193E"/>
    <w:rsid w:val="00636138"/>
    <w:rsid w:val="00636620"/>
    <w:rsid w:val="00655665"/>
    <w:rsid w:val="006D38A1"/>
    <w:rsid w:val="006D3A46"/>
    <w:rsid w:val="00732125"/>
    <w:rsid w:val="00751698"/>
    <w:rsid w:val="00754255"/>
    <w:rsid w:val="0078682F"/>
    <w:rsid w:val="00794CCB"/>
    <w:rsid w:val="007E57FB"/>
    <w:rsid w:val="00834035"/>
    <w:rsid w:val="0083758B"/>
    <w:rsid w:val="00863C03"/>
    <w:rsid w:val="008716C0"/>
    <w:rsid w:val="008A7F9A"/>
    <w:rsid w:val="008E7E97"/>
    <w:rsid w:val="00903C94"/>
    <w:rsid w:val="00911BF3"/>
    <w:rsid w:val="00926CFD"/>
    <w:rsid w:val="00993020"/>
    <w:rsid w:val="009C5E9F"/>
    <w:rsid w:val="009D29B3"/>
    <w:rsid w:val="009D7CCD"/>
    <w:rsid w:val="009F1E33"/>
    <w:rsid w:val="00A07758"/>
    <w:rsid w:val="00A10AC0"/>
    <w:rsid w:val="00A130E2"/>
    <w:rsid w:val="00A4351D"/>
    <w:rsid w:val="00A71DB6"/>
    <w:rsid w:val="00A76D4B"/>
    <w:rsid w:val="00A90CEB"/>
    <w:rsid w:val="00AA56C9"/>
    <w:rsid w:val="00AC4AD1"/>
    <w:rsid w:val="00B10497"/>
    <w:rsid w:val="00B1699C"/>
    <w:rsid w:val="00B177BB"/>
    <w:rsid w:val="00B74E7D"/>
    <w:rsid w:val="00B85468"/>
    <w:rsid w:val="00B85F2D"/>
    <w:rsid w:val="00B91155"/>
    <w:rsid w:val="00BB69AB"/>
    <w:rsid w:val="00BD054E"/>
    <w:rsid w:val="00BD23AB"/>
    <w:rsid w:val="00BD5D65"/>
    <w:rsid w:val="00BE55D6"/>
    <w:rsid w:val="00BF2C45"/>
    <w:rsid w:val="00C06B0D"/>
    <w:rsid w:val="00C11D2E"/>
    <w:rsid w:val="00C33E12"/>
    <w:rsid w:val="00C47F2E"/>
    <w:rsid w:val="00C576EF"/>
    <w:rsid w:val="00CA0C2B"/>
    <w:rsid w:val="00CA3E7B"/>
    <w:rsid w:val="00CC3A4C"/>
    <w:rsid w:val="00CC7B9B"/>
    <w:rsid w:val="00CE0CD1"/>
    <w:rsid w:val="00D11D20"/>
    <w:rsid w:val="00D144FE"/>
    <w:rsid w:val="00D23ACF"/>
    <w:rsid w:val="00D264C3"/>
    <w:rsid w:val="00D2679D"/>
    <w:rsid w:val="00D40CF1"/>
    <w:rsid w:val="00D671FA"/>
    <w:rsid w:val="00DB5B47"/>
    <w:rsid w:val="00DE37CB"/>
    <w:rsid w:val="00E05635"/>
    <w:rsid w:val="00E301F7"/>
    <w:rsid w:val="00E40903"/>
    <w:rsid w:val="00E7599D"/>
    <w:rsid w:val="00EE27AD"/>
    <w:rsid w:val="00EF6AF4"/>
    <w:rsid w:val="00F253AD"/>
    <w:rsid w:val="00F26FA9"/>
    <w:rsid w:val="00F50E44"/>
    <w:rsid w:val="00FA705F"/>
    <w:rsid w:val="00FC07B9"/>
    <w:rsid w:val="00FD5053"/>
    <w:rsid w:val="00FE0922"/>
    <w:rsid w:val="00FF65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750D6"/>
  <w15:chartTrackingRefBased/>
  <w15:docId w15:val="{27BBB82B-8A1F-461D-984D-700F95F9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09E3"/>
    <w:pPr>
      <w:spacing w:after="0" w:line="240" w:lineRule="auto"/>
    </w:pPr>
    <w:rPr>
      <w:rFonts w:ascii="Times New Roman" w:eastAsia="Times New Roman" w:hAnsi="Times New Roman" w:cs="Times New Roman"/>
      <w:kern w:val="0"/>
      <w:szCs w:val="20"/>
      <w:lang w:eastAsia="nl-NL"/>
    </w:rPr>
  </w:style>
  <w:style w:type="paragraph" w:styleId="Kop1">
    <w:name w:val="heading 1"/>
    <w:basedOn w:val="Standaard"/>
    <w:next w:val="Standaard"/>
    <w:link w:val="Kop1Char"/>
    <w:uiPriority w:val="9"/>
    <w:qFormat/>
    <w:rsid w:val="00FC07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07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07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07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07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07B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07B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07B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07B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07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07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07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07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07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07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07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07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07B9"/>
    <w:rPr>
      <w:rFonts w:eastAsiaTheme="majorEastAsia" w:cstheme="majorBidi"/>
      <w:color w:val="272727" w:themeColor="text1" w:themeTint="D8"/>
    </w:rPr>
  </w:style>
  <w:style w:type="paragraph" w:styleId="Titel">
    <w:name w:val="Title"/>
    <w:basedOn w:val="Standaard"/>
    <w:next w:val="Standaard"/>
    <w:link w:val="TitelChar"/>
    <w:uiPriority w:val="10"/>
    <w:qFormat/>
    <w:rsid w:val="00FC07B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07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07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07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07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07B9"/>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FC07B9"/>
    <w:pPr>
      <w:ind w:left="720"/>
      <w:contextualSpacing/>
    </w:pPr>
  </w:style>
  <w:style w:type="character" w:styleId="Intensievebenadrukking">
    <w:name w:val="Intense Emphasis"/>
    <w:basedOn w:val="Standaardalinea-lettertype"/>
    <w:uiPriority w:val="21"/>
    <w:qFormat/>
    <w:rsid w:val="00FC07B9"/>
    <w:rPr>
      <w:i/>
      <w:iCs/>
      <w:color w:val="0F4761" w:themeColor="accent1" w:themeShade="BF"/>
    </w:rPr>
  </w:style>
  <w:style w:type="paragraph" w:styleId="Duidelijkcitaat">
    <w:name w:val="Intense Quote"/>
    <w:basedOn w:val="Standaard"/>
    <w:next w:val="Standaard"/>
    <w:link w:val="DuidelijkcitaatChar"/>
    <w:uiPriority w:val="30"/>
    <w:qFormat/>
    <w:rsid w:val="00FC07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07B9"/>
    <w:rPr>
      <w:i/>
      <w:iCs/>
      <w:color w:val="0F4761" w:themeColor="accent1" w:themeShade="BF"/>
    </w:rPr>
  </w:style>
  <w:style w:type="character" w:styleId="Intensieveverwijzing">
    <w:name w:val="Intense Reference"/>
    <w:basedOn w:val="Standaardalinea-lettertype"/>
    <w:uiPriority w:val="32"/>
    <w:qFormat/>
    <w:rsid w:val="00FC07B9"/>
    <w:rPr>
      <w:b/>
      <w:bCs/>
      <w:smallCaps/>
      <w:color w:val="0F4761" w:themeColor="accent1" w:themeShade="BF"/>
      <w:spacing w:val="5"/>
    </w:rPr>
  </w:style>
  <w:style w:type="table" w:styleId="Rastertabel1licht-Accent1">
    <w:name w:val="Grid Table 1 Light Accent 1"/>
    <w:basedOn w:val="Standaardtabel"/>
    <w:uiPriority w:val="46"/>
    <w:rsid w:val="00732125"/>
    <w:pPr>
      <w:spacing w:after="0" w:line="240" w:lineRule="auto"/>
    </w:pPr>
    <w:rPr>
      <w:rFonts w:ascii="Times New Roman" w:eastAsia="Times New Roman" w:hAnsi="Times New Roman" w:cs="Times New Roman"/>
      <w:kern w:val="0"/>
      <w:sz w:val="20"/>
      <w:szCs w:val="20"/>
      <w:lang w:eastAsia="ja-JP"/>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Verwijzingopmerking">
    <w:name w:val="annotation reference"/>
    <w:basedOn w:val="Standaardalinea-lettertype"/>
    <w:uiPriority w:val="99"/>
    <w:rsid w:val="00732125"/>
    <w:rPr>
      <w:sz w:val="16"/>
      <w:szCs w:val="16"/>
    </w:rPr>
  </w:style>
  <w:style w:type="paragraph" w:styleId="Tekstopmerking">
    <w:name w:val="annotation text"/>
    <w:basedOn w:val="Standaard"/>
    <w:link w:val="TekstopmerkingChar"/>
    <w:uiPriority w:val="99"/>
    <w:rsid w:val="00732125"/>
    <w:rPr>
      <w:sz w:val="20"/>
    </w:rPr>
  </w:style>
  <w:style w:type="character" w:customStyle="1" w:styleId="TekstopmerkingChar">
    <w:name w:val="Tekst opmerking Char"/>
    <w:basedOn w:val="Standaardalinea-lettertype"/>
    <w:link w:val="Tekstopmerking"/>
    <w:uiPriority w:val="99"/>
    <w:rsid w:val="00732125"/>
    <w:rPr>
      <w:rFonts w:ascii="Times New Roman" w:eastAsia="Times New Roman" w:hAnsi="Times New Roman" w:cs="Times New Roman"/>
      <w:kern w:val="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32125"/>
    <w:rPr>
      <w:b/>
      <w:bCs/>
    </w:rPr>
  </w:style>
  <w:style w:type="character" w:customStyle="1" w:styleId="OnderwerpvanopmerkingChar">
    <w:name w:val="Onderwerp van opmerking Char"/>
    <w:basedOn w:val="TekstopmerkingChar"/>
    <w:link w:val="Onderwerpvanopmerking"/>
    <w:uiPriority w:val="99"/>
    <w:semiHidden/>
    <w:rsid w:val="00732125"/>
    <w:rPr>
      <w:rFonts w:ascii="Times New Roman" w:eastAsia="Times New Roman" w:hAnsi="Times New Roman" w:cs="Times New Roman"/>
      <w:b/>
      <w:bCs/>
      <w:kern w:val="0"/>
      <w:sz w:val="20"/>
      <w:szCs w:val="20"/>
      <w:lang w:eastAsia="nl-NL"/>
    </w:rPr>
  </w:style>
  <w:style w:type="paragraph" w:styleId="Voetnoottekst">
    <w:name w:val="footnote text"/>
    <w:basedOn w:val="Standaard"/>
    <w:link w:val="VoetnoottekstChar"/>
    <w:uiPriority w:val="99"/>
    <w:semiHidden/>
    <w:unhideWhenUsed/>
    <w:rsid w:val="008E7E97"/>
    <w:rPr>
      <w:rFonts w:asciiTheme="minorHAnsi" w:eastAsiaTheme="minorHAnsi" w:hAnsiTheme="minorHAnsi" w:cstheme="minorBidi"/>
      <w:kern w:val="2"/>
      <w:sz w:val="20"/>
      <w:lang w:eastAsia="en-US"/>
    </w:rPr>
  </w:style>
  <w:style w:type="character" w:customStyle="1" w:styleId="VoetnoottekstChar">
    <w:name w:val="Voetnoottekst Char"/>
    <w:basedOn w:val="Standaardalinea-lettertype"/>
    <w:link w:val="Voetnoottekst"/>
    <w:uiPriority w:val="99"/>
    <w:semiHidden/>
    <w:rsid w:val="008E7E97"/>
    <w:rPr>
      <w:sz w:val="20"/>
      <w:szCs w:val="20"/>
    </w:rPr>
  </w:style>
  <w:style w:type="character" w:styleId="Voetnootmarkering">
    <w:name w:val="footnote reference"/>
    <w:basedOn w:val="Standaardalinea-lettertype"/>
    <w:uiPriority w:val="99"/>
    <w:semiHidden/>
    <w:unhideWhenUsed/>
    <w:rsid w:val="008E7E97"/>
    <w:rPr>
      <w:vertAlign w:val="superscript"/>
    </w:rPr>
  </w:style>
  <w:style w:type="paragraph" w:styleId="Geenafstand">
    <w:name w:val="No Spacing"/>
    <w:uiPriority w:val="1"/>
    <w:qFormat/>
    <w:rsid w:val="00497458"/>
    <w:pPr>
      <w:spacing w:after="0" w:line="240" w:lineRule="auto"/>
    </w:pPr>
    <w:rPr>
      <w:rFonts w:ascii="Verdana" w:hAnsi="Verdana"/>
      <w:kern w:val="0"/>
      <w:sz w:val="18"/>
    </w:rPr>
  </w:style>
  <w:style w:type="character" w:styleId="Hyperlink">
    <w:name w:val="Hyperlink"/>
    <w:basedOn w:val="Standaardalinea-lettertype"/>
    <w:uiPriority w:val="99"/>
    <w:unhideWhenUsed/>
    <w:rsid w:val="00497458"/>
    <w:rPr>
      <w:color w:val="467886" w:themeColor="hyperlink"/>
      <w:u w:val="single"/>
    </w:rPr>
  </w:style>
  <w:style w:type="table" w:styleId="Tabelraster">
    <w:name w:val="Table Grid"/>
    <w:basedOn w:val="Standaardtabel"/>
    <w:uiPriority w:val="59"/>
    <w:rsid w:val="0075169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27FDB"/>
    <w:pPr>
      <w:tabs>
        <w:tab w:val="center" w:pos="4536"/>
        <w:tab w:val="right" w:pos="9072"/>
      </w:tabs>
    </w:pPr>
  </w:style>
  <w:style w:type="character" w:customStyle="1" w:styleId="KoptekstChar">
    <w:name w:val="Koptekst Char"/>
    <w:basedOn w:val="Standaardalinea-lettertype"/>
    <w:link w:val="Koptekst"/>
    <w:uiPriority w:val="99"/>
    <w:rsid w:val="00327FDB"/>
    <w:rPr>
      <w:rFonts w:ascii="Times New Roman" w:eastAsia="Times New Roman" w:hAnsi="Times New Roman" w:cs="Times New Roman"/>
      <w:kern w:val="0"/>
      <w:szCs w:val="20"/>
      <w:lang w:eastAsia="nl-NL"/>
    </w:rPr>
  </w:style>
  <w:style w:type="paragraph" w:styleId="Voettekst">
    <w:name w:val="footer"/>
    <w:basedOn w:val="Standaard"/>
    <w:link w:val="VoettekstChar"/>
    <w:uiPriority w:val="99"/>
    <w:unhideWhenUsed/>
    <w:rsid w:val="00327FDB"/>
    <w:pPr>
      <w:tabs>
        <w:tab w:val="center" w:pos="4536"/>
        <w:tab w:val="right" w:pos="9072"/>
      </w:tabs>
    </w:pPr>
  </w:style>
  <w:style w:type="character" w:customStyle="1" w:styleId="VoettekstChar">
    <w:name w:val="Voettekst Char"/>
    <w:basedOn w:val="Standaardalinea-lettertype"/>
    <w:link w:val="Voettekst"/>
    <w:uiPriority w:val="99"/>
    <w:rsid w:val="00327FDB"/>
    <w:rPr>
      <w:rFonts w:ascii="Times New Roman" w:eastAsia="Times New Roman" w:hAnsi="Times New Roman" w:cs="Times New Roman"/>
      <w:kern w:val="0"/>
      <w:szCs w:val="20"/>
      <w:lang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CA0C2B"/>
    <w:rPr>
      <w:rFonts w:ascii="Times New Roman" w:eastAsia="Times New Roman" w:hAnsi="Times New Roman" w:cs="Times New Roman"/>
      <w:kern w:val="0"/>
      <w:szCs w:val="20"/>
      <w:lang w:eastAsia="nl-NL"/>
    </w:rPr>
  </w:style>
  <w:style w:type="paragraph" w:styleId="Revisie">
    <w:name w:val="Revision"/>
    <w:hidden/>
    <w:uiPriority w:val="99"/>
    <w:semiHidden/>
    <w:rsid w:val="00226BA9"/>
    <w:pPr>
      <w:spacing w:after="0" w:line="240" w:lineRule="auto"/>
    </w:pPr>
    <w:rPr>
      <w:rFonts w:ascii="Times New Roman" w:eastAsia="Times New Roman" w:hAnsi="Times New Roman" w:cs="Times New Roman"/>
      <w:kern w:val="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2080">
      <w:bodyDiv w:val="1"/>
      <w:marLeft w:val="0"/>
      <w:marRight w:val="0"/>
      <w:marTop w:val="0"/>
      <w:marBottom w:val="0"/>
      <w:divBdr>
        <w:top w:val="none" w:sz="0" w:space="0" w:color="auto"/>
        <w:left w:val="none" w:sz="0" w:space="0" w:color="auto"/>
        <w:bottom w:val="none" w:sz="0" w:space="0" w:color="auto"/>
        <w:right w:val="none" w:sz="0" w:space="0" w:color="auto"/>
      </w:divBdr>
    </w:div>
    <w:div w:id="288244776">
      <w:bodyDiv w:val="1"/>
      <w:marLeft w:val="0"/>
      <w:marRight w:val="0"/>
      <w:marTop w:val="0"/>
      <w:marBottom w:val="0"/>
      <w:divBdr>
        <w:top w:val="none" w:sz="0" w:space="0" w:color="auto"/>
        <w:left w:val="none" w:sz="0" w:space="0" w:color="auto"/>
        <w:bottom w:val="none" w:sz="0" w:space="0" w:color="auto"/>
        <w:right w:val="none" w:sz="0" w:space="0" w:color="auto"/>
      </w:divBdr>
    </w:div>
    <w:div w:id="389959463">
      <w:bodyDiv w:val="1"/>
      <w:marLeft w:val="0"/>
      <w:marRight w:val="0"/>
      <w:marTop w:val="0"/>
      <w:marBottom w:val="0"/>
      <w:divBdr>
        <w:top w:val="none" w:sz="0" w:space="0" w:color="auto"/>
        <w:left w:val="none" w:sz="0" w:space="0" w:color="auto"/>
        <w:bottom w:val="none" w:sz="0" w:space="0" w:color="auto"/>
        <w:right w:val="none" w:sz="0" w:space="0" w:color="auto"/>
      </w:divBdr>
    </w:div>
    <w:div w:id="1085079613">
      <w:bodyDiv w:val="1"/>
      <w:marLeft w:val="0"/>
      <w:marRight w:val="0"/>
      <w:marTop w:val="0"/>
      <w:marBottom w:val="0"/>
      <w:divBdr>
        <w:top w:val="none" w:sz="0" w:space="0" w:color="auto"/>
        <w:left w:val="none" w:sz="0" w:space="0" w:color="auto"/>
        <w:bottom w:val="none" w:sz="0" w:space="0" w:color="auto"/>
        <w:right w:val="none" w:sz="0" w:space="0" w:color="auto"/>
      </w:divBdr>
    </w:div>
    <w:div w:id="1132406761">
      <w:bodyDiv w:val="1"/>
      <w:marLeft w:val="0"/>
      <w:marRight w:val="0"/>
      <w:marTop w:val="0"/>
      <w:marBottom w:val="0"/>
      <w:divBdr>
        <w:top w:val="none" w:sz="0" w:space="0" w:color="auto"/>
        <w:left w:val="none" w:sz="0" w:space="0" w:color="auto"/>
        <w:bottom w:val="none" w:sz="0" w:space="0" w:color="auto"/>
        <w:right w:val="none" w:sz="0" w:space="0" w:color="auto"/>
      </w:divBdr>
    </w:div>
    <w:div w:id="1165707888">
      <w:bodyDiv w:val="1"/>
      <w:marLeft w:val="0"/>
      <w:marRight w:val="0"/>
      <w:marTop w:val="0"/>
      <w:marBottom w:val="0"/>
      <w:divBdr>
        <w:top w:val="none" w:sz="0" w:space="0" w:color="auto"/>
        <w:left w:val="none" w:sz="0" w:space="0" w:color="auto"/>
        <w:bottom w:val="none" w:sz="0" w:space="0" w:color="auto"/>
        <w:right w:val="none" w:sz="0" w:space="0" w:color="auto"/>
      </w:divBdr>
    </w:div>
    <w:div w:id="1257859258">
      <w:bodyDiv w:val="1"/>
      <w:marLeft w:val="0"/>
      <w:marRight w:val="0"/>
      <w:marTop w:val="0"/>
      <w:marBottom w:val="0"/>
      <w:divBdr>
        <w:top w:val="none" w:sz="0" w:space="0" w:color="auto"/>
        <w:left w:val="none" w:sz="0" w:space="0" w:color="auto"/>
        <w:bottom w:val="none" w:sz="0" w:space="0" w:color="auto"/>
        <w:right w:val="none" w:sz="0" w:space="0" w:color="auto"/>
      </w:divBdr>
    </w:div>
    <w:div w:id="1331788660">
      <w:bodyDiv w:val="1"/>
      <w:marLeft w:val="0"/>
      <w:marRight w:val="0"/>
      <w:marTop w:val="0"/>
      <w:marBottom w:val="0"/>
      <w:divBdr>
        <w:top w:val="none" w:sz="0" w:space="0" w:color="auto"/>
        <w:left w:val="none" w:sz="0" w:space="0" w:color="auto"/>
        <w:bottom w:val="none" w:sz="0" w:space="0" w:color="auto"/>
        <w:right w:val="none" w:sz="0" w:space="0" w:color="auto"/>
      </w:divBdr>
    </w:div>
    <w:div w:id="1831366210">
      <w:bodyDiv w:val="1"/>
      <w:marLeft w:val="0"/>
      <w:marRight w:val="0"/>
      <w:marTop w:val="0"/>
      <w:marBottom w:val="0"/>
      <w:divBdr>
        <w:top w:val="none" w:sz="0" w:space="0" w:color="auto"/>
        <w:left w:val="none" w:sz="0" w:space="0" w:color="auto"/>
        <w:bottom w:val="none" w:sz="0" w:space="0" w:color="auto"/>
        <w:right w:val="none" w:sz="0" w:space="0" w:color="auto"/>
      </w:divBdr>
    </w:div>
    <w:div w:id="1844315242">
      <w:bodyDiv w:val="1"/>
      <w:marLeft w:val="0"/>
      <w:marRight w:val="0"/>
      <w:marTop w:val="0"/>
      <w:marBottom w:val="0"/>
      <w:divBdr>
        <w:top w:val="none" w:sz="0" w:space="0" w:color="auto"/>
        <w:left w:val="none" w:sz="0" w:space="0" w:color="auto"/>
        <w:bottom w:val="none" w:sz="0" w:space="0" w:color="auto"/>
        <w:right w:val="none" w:sz="0" w:space="0" w:color="auto"/>
      </w:divBdr>
    </w:div>
    <w:div w:id="2074545687">
      <w:bodyDiv w:val="1"/>
      <w:marLeft w:val="0"/>
      <w:marRight w:val="0"/>
      <w:marTop w:val="0"/>
      <w:marBottom w:val="0"/>
      <w:divBdr>
        <w:top w:val="none" w:sz="0" w:space="0" w:color="auto"/>
        <w:left w:val="none" w:sz="0" w:space="0" w:color="auto"/>
        <w:bottom w:val="none" w:sz="0" w:space="0" w:color="auto"/>
        <w:right w:val="none" w:sz="0" w:space="0" w:color="auto"/>
      </w:divBdr>
    </w:div>
    <w:div w:id="212896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rijksoverheid/documenten/publicaties/2024/10/25/documenten-bij-besluit-op-woo-verzoek-over-rapport-ministerie-van-financien-en-nationale-schuld-i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6228</ap:Words>
  <ap:Characters>34254</ap:Characters>
  <ap:DocSecurity>0</ap:DocSecurity>
  <ap:Lines>285</ap:Lines>
  <ap:Paragraphs>80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2025-03-18T13:54:00.0000000Z</dcterms:created>
  <dcterms:modified xsi:type="dcterms:W3CDTF">2025-03-18T13:54:00.0000000Z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2025-03-11T12:55:25Z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b36c00ab-c5ae-4e60-8039-24489a6269db</vt:lpwstr>
  </property>
  <property fmtid="{D5CDD505-2E9C-101B-9397-08002B2CF9AE}" pid="8" name="MSIP_Label_e00462cb-1b47-485e-830d-87ca0cc9766d_ContentBits">
    <vt:lpwstr>0</vt:lpwstr>
  </property>
</Properties>
</file>