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62F2" w:rsidR="00936786" w:rsidP="00FF18F1" w:rsidRDefault="00936786" w14:paraId="6A7798C7" w14:textId="77777777">
      <w:pPr>
        <w:rPr>
          <w:szCs w:val="18"/>
        </w:rPr>
      </w:pPr>
      <w:r w:rsidRPr="001E62F2">
        <w:rPr>
          <w:szCs w:val="18"/>
        </w:rPr>
        <w:t xml:space="preserve">Geachte Voorzitter, </w:t>
      </w:r>
    </w:p>
    <w:p w:rsidR="00936786" w:rsidP="00FF18F1" w:rsidRDefault="00936786" w14:paraId="22FD4D39" w14:textId="77777777">
      <w:pPr>
        <w:rPr>
          <w:szCs w:val="18"/>
        </w:rPr>
      </w:pPr>
    </w:p>
    <w:p w:rsidRPr="001E62F2" w:rsidR="00936786" w:rsidP="00FF18F1" w:rsidRDefault="00936786" w14:paraId="092CF119" w14:textId="2B0AE584">
      <w:pPr>
        <w:rPr>
          <w:szCs w:val="18"/>
        </w:rPr>
      </w:pPr>
      <w:r w:rsidRPr="001E62F2">
        <w:rPr>
          <w:szCs w:val="18"/>
        </w:rPr>
        <w:t>In 2021, 2022 en 2023 bent u over de uitslagen van de drie rondes van het Nationaal Groeifonds geïnformeerd.</w:t>
      </w:r>
      <w:r w:rsidRPr="001E62F2">
        <w:rPr>
          <w:rStyle w:val="Voetnootmarkering"/>
        </w:rPr>
        <w:footnoteReference w:id="1"/>
      </w:r>
      <w:r w:rsidRPr="001E62F2">
        <w:rPr>
          <w:szCs w:val="18"/>
        </w:rPr>
        <w:t xml:space="preserve"> Over vier projecten uit deze rondes heeft de Adviescommissie Nationaal Groeifonds (hierna: de adviescommissie) een aanvullend advies uitgebracht. Het betreft de projecten </w:t>
      </w:r>
      <w:r w:rsidR="00236BBE">
        <w:rPr>
          <w:szCs w:val="18"/>
        </w:rPr>
        <w:t xml:space="preserve">LLO </w:t>
      </w:r>
      <w:r w:rsidRPr="001E62F2">
        <w:rPr>
          <w:szCs w:val="18"/>
        </w:rPr>
        <w:t>Collectief Laagopgeleiden en Laaggeletterden, Luchtvaart in Transitie, GroenvermogenNL en QuantumDeltaNL.</w:t>
      </w:r>
    </w:p>
    <w:p w:rsidR="00936786" w:rsidP="00FF18F1" w:rsidRDefault="00936786" w14:paraId="5D0A9958" w14:textId="77777777">
      <w:pPr>
        <w:rPr>
          <w:szCs w:val="18"/>
        </w:rPr>
      </w:pPr>
    </w:p>
    <w:p w:rsidRPr="001E62F2" w:rsidR="00936786" w:rsidP="00FF18F1" w:rsidRDefault="00936786" w14:paraId="1C2A07A7" w14:textId="7533BDF0">
      <w:pPr>
        <w:rPr>
          <w:szCs w:val="18"/>
        </w:rPr>
      </w:pPr>
      <w:r w:rsidRPr="001E62F2">
        <w:rPr>
          <w:szCs w:val="18"/>
        </w:rPr>
        <w:t xml:space="preserve">In deze brief licht ik u, mede namens de minister van Financiën, dit advies en de reactie van het kabinet toe. </w:t>
      </w:r>
    </w:p>
    <w:p w:rsidR="00936786" w:rsidP="00FF18F1" w:rsidRDefault="00936786" w14:paraId="20C54F52" w14:textId="77777777">
      <w:pPr>
        <w:rPr>
          <w:b/>
          <w:bCs/>
          <w:szCs w:val="18"/>
        </w:rPr>
      </w:pPr>
    </w:p>
    <w:p w:rsidRPr="001E62F2" w:rsidR="00936786" w:rsidP="00FF18F1" w:rsidRDefault="00936786" w14:paraId="137454A8" w14:textId="64A172FD">
      <w:pPr>
        <w:rPr>
          <w:szCs w:val="18"/>
        </w:rPr>
      </w:pPr>
      <w:r w:rsidRPr="001E62F2">
        <w:rPr>
          <w:b/>
          <w:bCs/>
          <w:szCs w:val="18"/>
        </w:rPr>
        <w:t xml:space="preserve">Achtergrond aanvullend advies </w:t>
      </w:r>
    </w:p>
    <w:p w:rsidRPr="001E62F2" w:rsidR="00936786" w:rsidP="00FF18F1" w:rsidRDefault="00936786" w14:paraId="70E07357" w14:textId="77777777">
      <w:pPr>
        <w:rPr>
          <w:szCs w:val="18"/>
        </w:rPr>
      </w:pPr>
      <w:r w:rsidRPr="42F16190">
        <w:rPr>
          <w:szCs w:val="18"/>
        </w:rPr>
        <w:t xml:space="preserve">Het Nationaal Groeifonds investeert in 50 grootschalige projecten die bijdragen aan het duurzaam verdienvermogen van Nederland. Het betreft onder meer projecten op het gebied van groene waterstof, de verduurzaming van de landbouw, het bestrijden van laaggeletterdheid en sleuteltechnologieën als quantum en kunstmatige intelligentie. Daarmee is een bedrag van € 11,2 miljard gemoeid. </w:t>
      </w:r>
    </w:p>
    <w:p w:rsidR="00936786" w:rsidP="00FF18F1" w:rsidRDefault="00936786" w14:paraId="533C9E0A" w14:textId="77777777">
      <w:pPr>
        <w:rPr>
          <w:szCs w:val="18"/>
        </w:rPr>
      </w:pPr>
    </w:p>
    <w:p w:rsidRPr="001E62F2" w:rsidR="00936786" w:rsidP="00FF18F1" w:rsidRDefault="00936786" w14:paraId="6DB5C74A" w14:textId="27D86236">
      <w:pPr>
        <w:rPr>
          <w:szCs w:val="18"/>
        </w:rPr>
      </w:pPr>
      <w:r w:rsidRPr="42F16190">
        <w:rPr>
          <w:szCs w:val="18"/>
        </w:rPr>
        <w:t xml:space="preserve">De </w:t>
      </w:r>
      <w:bookmarkStart w:name="_Hlk190783021" w:id="0"/>
      <w:r w:rsidRPr="42F16190">
        <w:rPr>
          <w:szCs w:val="18"/>
        </w:rPr>
        <w:t xml:space="preserve">projecten </w:t>
      </w:r>
      <w:r w:rsidR="00236BBE">
        <w:rPr>
          <w:szCs w:val="18"/>
        </w:rPr>
        <w:t xml:space="preserve">LLO </w:t>
      </w:r>
      <w:r w:rsidRPr="42F16190">
        <w:rPr>
          <w:szCs w:val="18"/>
        </w:rPr>
        <w:t xml:space="preserve">Collectief Laagopgeleiden en Laaggeletterden, Luchtvaart in Transitie en GroenvermogenNL </w:t>
      </w:r>
      <w:bookmarkEnd w:id="0"/>
      <w:r w:rsidRPr="42F16190">
        <w:rPr>
          <w:szCs w:val="18"/>
        </w:rPr>
        <w:t>hebben destijds, op advies van de adviescommissie, gefaseerde financiering gekregen. Een deel van deze financiering is nog in de vorm van een voorwaardelijke toekenning. Dit betekent dat deze projecten aan nadere voorwaarden moeten voldoen om de middelen uit het Nationaal Groeifonds definitief toegekend te krijgen. Voor deze projecten zijn er aangepaste projectvoorstellen ingediend om de voorwaardelijke toekenning omgezet te krijgen in een definitieve toekenning. De adviescommissie heeft hierover deels positief geadviseerd en daarbij enkele aanbevelingen en aandachtspunten opgenomen. Voor de projecten Luchtvaart in Transitie en GroenvermogenNL geldt dat de omzetting gedeeltelijk is: er blijft nog een deel voorwaardelijk toegekend.</w:t>
      </w:r>
    </w:p>
    <w:p w:rsidRPr="001E62F2" w:rsidR="00936786" w:rsidP="00FF18F1" w:rsidRDefault="00936786" w14:paraId="71AB574B" w14:textId="77777777">
      <w:pPr>
        <w:rPr>
          <w:szCs w:val="18"/>
        </w:rPr>
      </w:pPr>
      <w:r w:rsidRPr="001E62F2">
        <w:rPr>
          <w:szCs w:val="18"/>
        </w:rPr>
        <w:lastRenderedPageBreak/>
        <w:t>Het project QuantumDeltaNL heeft daarnaast een voorstel voor een significante wijziging gedaan, waarbij er meer focus is aangebracht in het project. Ook hierover heeft de adviescommissie positief geadviseerd.</w:t>
      </w:r>
    </w:p>
    <w:p w:rsidR="00936786" w:rsidP="00FF18F1" w:rsidRDefault="00936786" w14:paraId="3B221C67" w14:textId="77777777">
      <w:pPr>
        <w:rPr>
          <w:szCs w:val="18"/>
        </w:rPr>
      </w:pPr>
    </w:p>
    <w:p w:rsidRPr="001E62F2" w:rsidR="00936786" w:rsidP="00FF18F1" w:rsidRDefault="00936786" w14:paraId="5540CA5C" w14:textId="16C91472">
      <w:pPr>
        <w:rPr>
          <w:szCs w:val="18"/>
        </w:rPr>
      </w:pPr>
      <w:r w:rsidRPr="001E62F2">
        <w:rPr>
          <w:szCs w:val="18"/>
        </w:rPr>
        <w:t xml:space="preserve">In </w:t>
      </w:r>
      <w:r w:rsidRPr="001E62F2">
        <w:rPr>
          <w:i/>
          <w:iCs/>
          <w:szCs w:val="18"/>
        </w:rPr>
        <w:t xml:space="preserve">bijlage 1 </w:t>
      </w:r>
      <w:r w:rsidRPr="001E62F2">
        <w:rPr>
          <w:szCs w:val="18"/>
        </w:rPr>
        <w:t xml:space="preserve">worden de projecten en de adviezen verder toegelicht. Het volledige advies van de adviescommissie is bijgevoegd in </w:t>
      </w:r>
      <w:r w:rsidRPr="001E62F2">
        <w:rPr>
          <w:i/>
          <w:iCs/>
          <w:szCs w:val="18"/>
        </w:rPr>
        <w:t>bijlage 2</w:t>
      </w:r>
      <w:r w:rsidRPr="001E62F2">
        <w:rPr>
          <w:szCs w:val="18"/>
        </w:rPr>
        <w:t>.</w:t>
      </w:r>
    </w:p>
    <w:p w:rsidRPr="001E62F2" w:rsidR="00936786" w:rsidP="00FF18F1" w:rsidRDefault="00936786" w14:paraId="31A01DD7" w14:textId="77777777">
      <w:pPr>
        <w:pStyle w:val="Default"/>
        <w:spacing w:line="240" w:lineRule="atLeast"/>
        <w:rPr>
          <w:b/>
          <w:bCs/>
          <w:sz w:val="18"/>
          <w:szCs w:val="18"/>
        </w:rPr>
      </w:pPr>
    </w:p>
    <w:p w:rsidRPr="001E62F2" w:rsidR="00936786" w:rsidP="00FF18F1" w:rsidRDefault="00936786" w14:paraId="66A58297" w14:textId="77777777">
      <w:pPr>
        <w:pStyle w:val="Default"/>
        <w:spacing w:line="240" w:lineRule="atLeast"/>
        <w:rPr>
          <w:sz w:val="18"/>
          <w:szCs w:val="18"/>
        </w:rPr>
      </w:pPr>
      <w:r w:rsidRPr="001E62F2">
        <w:rPr>
          <w:b/>
          <w:bCs/>
          <w:sz w:val="18"/>
          <w:szCs w:val="18"/>
        </w:rPr>
        <w:t xml:space="preserve">Reactie kabinet en vervolg </w:t>
      </w:r>
    </w:p>
    <w:p w:rsidRPr="001E62F2" w:rsidR="00936786" w:rsidP="00FF18F1" w:rsidRDefault="00936786" w14:paraId="768FD19D" w14:textId="7DC8772E">
      <w:pPr>
        <w:pStyle w:val="Default"/>
        <w:spacing w:line="240" w:lineRule="atLeast"/>
        <w:rPr>
          <w:sz w:val="18"/>
          <w:szCs w:val="18"/>
        </w:rPr>
      </w:pPr>
      <w:r w:rsidRPr="42F16190">
        <w:rPr>
          <w:sz w:val="18"/>
          <w:szCs w:val="18"/>
        </w:rPr>
        <w:t xml:space="preserve">Het kabinet neemt het advies van de adviescommissie volledig over. Het kabinet besluit positief over de voorgestelde wijziging van QuantumDeltaNL. Daarnaast wordt aan de drie projecten </w:t>
      </w:r>
      <w:r w:rsidR="00236BBE">
        <w:rPr>
          <w:sz w:val="18"/>
          <w:szCs w:val="18"/>
        </w:rPr>
        <w:t xml:space="preserve">LLO </w:t>
      </w:r>
      <w:r w:rsidRPr="42F16190">
        <w:rPr>
          <w:sz w:val="18"/>
          <w:szCs w:val="18"/>
        </w:rPr>
        <w:t>Collectief Laagopgeleiden en Laaggeletterden, Luchtvaart in Transitie en GroenvermogenNL in totaal € 182,2 miljoen definitief toegekend. Voor Luchtvaart in Transitie blijft € 11,4 miljoen voorwaardelijk toegekend en voor GroenvermogenNL blijft € 42,0 miljoen voorwaardelijk toegekend. Zie het financieel overzicht hieronder.</w:t>
      </w:r>
    </w:p>
    <w:p w:rsidRPr="001E62F2" w:rsidR="00936786" w:rsidP="00FF18F1" w:rsidRDefault="00936786" w14:paraId="0669706C" w14:textId="77777777">
      <w:pPr>
        <w:pStyle w:val="Default"/>
        <w:spacing w:line="240" w:lineRule="atLeast"/>
        <w:rPr>
          <w:sz w:val="18"/>
          <w:szCs w:val="18"/>
        </w:rPr>
      </w:pPr>
    </w:p>
    <w:p w:rsidRPr="001E62F2" w:rsidR="00936786" w:rsidP="00FF18F1" w:rsidRDefault="00936786" w14:paraId="160A806E" w14:textId="77777777">
      <w:pPr>
        <w:pStyle w:val="Default"/>
        <w:spacing w:line="240" w:lineRule="atLeast"/>
        <w:rPr>
          <w:i/>
          <w:iCs/>
          <w:sz w:val="18"/>
          <w:szCs w:val="18"/>
        </w:rPr>
      </w:pPr>
      <w:r w:rsidRPr="42F16190">
        <w:rPr>
          <w:i/>
          <w:iCs/>
          <w:sz w:val="18"/>
          <w:szCs w:val="18"/>
        </w:rPr>
        <w:t xml:space="preserve">Tabel financieel overzicht aanvullend besluit NGF-projecten (bedragen x € 1 mln) </w:t>
      </w:r>
    </w:p>
    <w:p w:rsidRPr="001E62F2" w:rsidR="00936786" w:rsidP="00FF18F1" w:rsidRDefault="00936786" w14:paraId="2BEDC159" w14:textId="77777777">
      <w:pPr>
        <w:pStyle w:val="Default"/>
        <w:spacing w:line="240" w:lineRule="atLeast"/>
        <w:rPr>
          <w:sz w:val="18"/>
          <w:szCs w:val="18"/>
        </w:rPr>
      </w:pPr>
    </w:p>
    <w:tbl>
      <w:tblPr>
        <w:tblW w:w="8505" w:type="dxa"/>
        <w:tblInd w:w="10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000" w:firstRow="0" w:lastRow="0" w:firstColumn="0" w:lastColumn="0" w:noHBand="0" w:noVBand="0"/>
      </w:tblPr>
      <w:tblGrid>
        <w:gridCol w:w="1874"/>
        <w:gridCol w:w="854"/>
        <w:gridCol w:w="2126"/>
        <w:gridCol w:w="1892"/>
        <w:gridCol w:w="1759"/>
      </w:tblGrid>
      <w:tr w:rsidRPr="001E62F2" w:rsidR="00936786" w:rsidTr="00936786" w14:paraId="557D8D6F" w14:textId="77777777">
        <w:trPr>
          <w:trHeight w:val="300"/>
        </w:trPr>
        <w:tc>
          <w:tcPr>
            <w:tcW w:w="2037" w:type="dxa"/>
          </w:tcPr>
          <w:p w:rsidRPr="001E62F2" w:rsidR="00936786" w:rsidP="00FF18F1" w:rsidRDefault="00936786" w14:paraId="5B1F2E73" w14:textId="77777777">
            <w:pPr>
              <w:pStyle w:val="Default"/>
              <w:spacing w:line="240" w:lineRule="atLeast"/>
              <w:rPr>
                <w:i/>
                <w:iCs/>
                <w:sz w:val="18"/>
                <w:szCs w:val="18"/>
              </w:rPr>
            </w:pPr>
          </w:p>
          <w:p w:rsidRPr="001E62F2" w:rsidR="00936786" w:rsidP="00FF18F1" w:rsidRDefault="00936786" w14:paraId="5645D7AE" w14:textId="77777777">
            <w:pPr>
              <w:pStyle w:val="Default"/>
              <w:spacing w:line="240" w:lineRule="atLeast"/>
              <w:rPr>
                <w:sz w:val="18"/>
                <w:szCs w:val="18"/>
              </w:rPr>
            </w:pPr>
            <w:r w:rsidRPr="001E62F2">
              <w:rPr>
                <w:b/>
                <w:bCs/>
                <w:sz w:val="18"/>
                <w:szCs w:val="18"/>
              </w:rPr>
              <w:t xml:space="preserve">Project </w:t>
            </w:r>
          </w:p>
        </w:tc>
        <w:tc>
          <w:tcPr>
            <w:tcW w:w="854" w:type="dxa"/>
          </w:tcPr>
          <w:p w:rsidRPr="001E62F2" w:rsidR="00936786" w:rsidP="00FF18F1" w:rsidRDefault="00936786" w14:paraId="50700940" w14:textId="77777777">
            <w:pPr>
              <w:pStyle w:val="Default"/>
              <w:spacing w:line="240" w:lineRule="atLeast"/>
              <w:rPr>
                <w:sz w:val="18"/>
                <w:szCs w:val="18"/>
              </w:rPr>
            </w:pPr>
            <w:r w:rsidRPr="001E62F2">
              <w:rPr>
                <w:b/>
                <w:bCs/>
                <w:sz w:val="18"/>
                <w:szCs w:val="18"/>
              </w:rPr>
              <w:t xml:space="preserve">Ronde </w:t>
            </w:r>
          </w:p>
        </w:tc>
        <w:tc>
          <w:tcPr>
            <w:tcW w:w="2352" w:type="dxa"/>
          </w:tcPr>
          <w:p w:rsidRPr="001E62F2" w:rsidR="00936786" w:rsidP="00FF18F1" w:rsidRDefault="00936786" w14:paraId="751FAA53" w14:textId="77777777">
            <w:pPr>
              <w:pStyle w:val="Default"/>
              <w:spacing w:line="240" w:lineRule="atLeast"/>
              <w:rPr>
                <w:sz w:val="18"/>
                <w:szCs w:val="18"/>
              </w:rPr>
            </w:pPr>
            <w:r w:rsidRPr="001E62F2">
              <w:rPr>
                <w:b/>
                <w:bCs/>
                <w:sz w:val="18"/>
                <w:szCs w:val="18"/>
              </w:rPr>
              <w:t>Voorstel voor omzetting van een voorwaardelijke toekenning voor een bedrag van:</w:t>
            </w:r>
          </w:p>
        </w:tc>
        <w:tc>
          <w:tcPr>
            <w:tcW w:w="2262" w:type="dxa"/>
          </w:tcPr>
          <w:p w:rsidRPr="001E62F2" w:rsidR="00936786" w:rsidP="00FF18F1" w:rsidRDefault="00936786" w14:paraId="5AD61655" w14:textId="77777777">
            <w:pPr>
              <w:pStyle w:val="Default"/>
              <w:spacing w:line="240" w:lineRule="atLeast"/>
              <w:rPr>
                <w:b/>
                <w:bCs/>
                <w:sz w:val="18"/>
                <w:szCs w:val="18"/>
              </w:rPr>
            </w:pPr>
            <w:r w:rsidRPr="001E62F2">
              <w:rPr>
                <w:b/>
                <w:bCs/>
                <w:sz w:val="18"/>
                <w:szCs w:val="18"/>
              </w:rPr>
              <w:t>Besluit kabinet (definitieve toekenning)</w:t>
            </w:r>
          </w:p>
          <w:p w:rsidRPr="001E62F2" w:rsidR="00936786" w:rsidP="00FF18F1" w:rsidRDefault="00936786" w14:paraId="62238F2C" w14:textId="77777777">
            <w:pPr>
              <w:pStyle w:val="Default"/>
              <w:spacing w:line="240" w:lineRule="atLeast"/>
              <w:rPr>
                <w:b/>
                <w:bCs/>
                <w:sz w:val="18"/>
                <w:szCs w:val="18"/>
              </w:rPr>
            </w:pPr>
          </w:p>
        </w:tc>
        <w:tc>
          <w:tcPr>
            <w:tcW w:w="1000" w:type="dxa"/>
          </w:tcPr>
          <w:p w:rsidRPr="001E62F2" w:rsidR="00936786" w:rsidP="00FF18F1" w:rsidRDefault="00936786" w14:paraId="09387217" w14:textId="77777777">
            <w:pPr>
              <w:pStyle w:val="Default"/>
              <w:spacing w:line="240" w:lineRule="atLeast"/>
              <w:rPr>
                <w:sz w:val="18"/>
                <w:szCs w:val="18"/>
              </w:rPr>
            </w:pPr>
            <w:r w:rsidRPr="42F16190">
              <w:rPr>
                <w:b/>
                <w:bCs/>
                <w:sz w:val="18"/>
                <w:szCs w:val="18"/>
              </w:rPr>
              <w:t>Voorwaardelijk resterend na besluit</w:t>
            </w:r>
          </w:p>
        </w:tc>
      </w:tr>
      <w:tr w:rsidRPr="001E62F2" w:rsidR="00936786" w:rsidTr="00936786" w14:paraId="1D041F42" w14:textId="77777777">
        <w:trPr>
          <w:trHeight w:val="300"/>
        </w:trPr>
        <w:tc>
          <w:tcPr>
            <w:tcW w:w="2037" w:type="dxa"/>
          </w:tcPr>
          <w:p w:rsidRPr="001E62F2" w:rsidR="00936786" w:rsidP="00FF18F1" w:rsidRDefault="00236BBE" w14:paraId="4CA7B430" w14:textId="092F1B2C">
            <w:pPr>
              <w:pStyle w:val="Default"/>
              <w:spacing w:line="240" w:lineRule="atLeast"/>
              <w:rPr>
                <w:sz w:val="18"/>
                <w:szCs w:val="18"/>
              </w:rPr>
            </w:pPr>
            <w:r>
              <w:rPr>
                <w:sz w:val="18"/>
                <w:szCs w:val="18"/>
              </w:rPr>
              <w:t xml:space="preserve">LLO </w:t>
            </w:r>
            <w:r w:rsidRPr="001E62F2" w:rsidR="00936786">
              <w:rPr>
                <w:sz w:val="18"/>
                <w:szCs w:val="18"/>
              </w:rPr>
              <w:t>Collectief Laagopgeleiden en Laaggeletterden</w:t>
            </w:r>
          </w:p>
        </w:tc>
        <w:tc>
          <w:tcPr>
            <w:tcW w:w="854" w:type="dxa"/>
          </w:tcPr>
          <w:p w:rsidRPr="001E62F2" w:rsidR="00936786" w:rsidP="00FF18F1" w:rsidRDefault="00936786" w14:paraId="58B87F9C" w14:textId="77777777">
            <w:pPr>
              <w:pStyle w:val="Default"/>
              <w:spacing w:line="240" w:lineRule="atLeast"/>
              <w:rPr>
                <w:sz w:val="18"/>
                <w:szCs w:val="18"/>
              </w:rPr>
            </w:pPr>
            <w:r w:rsidRPr="001E62F2">
              <w:rPr>
                <w:sz w:val="18"/>
                <w:szCs w:val="18"/>
              </w:rPr>
              <w:t>2</w:t>
            </w:r>
          </w:p>
        </w:tc>
        <w:tc>
          <w:tcPr>
            <w:tcW w:w="2352" w:type="dxa"/>
          </w:tcPr>
          <w:p w:rsidRPr="001E62F2" w:rsidR="00936786" w:rsidP="00FF18F1" w:rsidRDefault="00936786" w14:paraId="39046C46" w14:textId="77777777">
            <w:pPr>
              <w:pStyle w:val="Default"/>
              <w:spacing w:line="240" w:lineRule="atLeast"/>
              <w:jc w:val="right"/>
              <w:rPr>
                <w:sz w:val="18"/>
                <w:szCs w:val="18"/>
              </w:rPr>
            </w:pPr>
            <w:r w:rsidRPr="42F16190">
              <w:rPr>
                <w:sz w:val="18"/>
                <w:szCs w:val="18"/>
              </w:rPr>
              <w:t>42,9</w:t>
            </w:r>
          </w:p>
        </w:tc>
        <w:tc>
          <w:tcPr>
            <w:tcW w:w="2262" w:type="dxa"/>
          </w:tcPr>
          <w:p w:rsidRPr="001E62F2" w:rsidR="00936786" w:rsidP="00FF18F1" w:rsidRDefault="00936786" w14:paraId="79BA82C8" w14:textId="77777777">
            <w:pPr>
              <w:pStyle w:val="Default"/>
              <w:spacing w:line="240" w:lineRule="atLeast"/>
              <w:jc w:val="right"/>
              <w:rPr>
                <w:sz w:val="18"/>
                <w:szCs w:val="18"/>
              </w:rPr>
            </w:pPr>
            <w:r w:rsidRPr="42F16190">
              <w:rPr>
                <w:sz w:val="18"/>
                <w:szCs w:val="18"/>
              </w:rPr>
              <w:t>42,9</w:t>
            </w:r>
          </w:p>
        </w:tc>
        <w:tc>
          <w:tcPr>
            <w:tcW w:w="1000" w:type="dxa"/>
          </w:tcPr>
          <w:p w:rsidRPr="001E62F2" w:rsidR="00936786" w:rsidP="00FF18F1" w:rsidRDefault="00936786" w14:paraId="03382C32" w14:textId="77777777">
            <w:pPr>
              <w:pStyle w:val="Default"/>
              <w:spacing w:line="240" w:lineRule="atLeast"/>
              <w:jc w:val="right"/>
              <w:rPr>
                <w:sz w:val="18"/>
                <w:szCs w:val="18"/>
              </w:rPr>
            </w:pPr>
            <w:r w:rsidRPr="42F16190">
              <w:rPr>
                <w:sz w:val="18"/>
                <w:szCs w:val="18"/>
              </w:rPr>
              <w:t>0</w:t>
            </w:r>
          </w:p>
        </w:tc>
      </w:tr>
      <w:tr w:rsidRPr="001E62F2" w:rsidR="00936786" w:rsidTr="00936786" w14:paraId="25B08B33" w14:textId="77777777">
        <w:trPr>
          <w:trHeight w:val="300"/>
        </w:trPr>
        <w:tc>
          <w:tcPr>
            <w:tcW w:w="2037" w:type="dxa"/>
          </w:tcPr>
          <w:p w:rsidRPr="001E62F2" w:rsidR="00936786" w:rsidP="00FF18F1" w:rsidRDefault="00936786" w14:paraId="422FD715" w14:textId="77777777">
            <w:pPr>
              <w:pStyle w:val="Default"/>
              <w:spacing w:line="240" w:lineRule="atLeast"/>
              <w:rPr>
                <w:sz w:val="18"/>
                <w:szCs w:val="18"/>
              </w:rPr>
            </w:pPr>
            <w:r w:rsidRPr="001E62F2">
              <w:rPr>
                <w:sz w:val="18"/>
                <w:szCs w:val="18"/>
              </w:rPr>
              <w:t>Luchtvaart in Transitie</w:t>
            </w:r>
          </w:p>
        </w:tc>
        <w:tc>
          <w:tcPr>
            <w:tcW w:w="854" w:type="dxa"/>
          </w:tcPr>
          <w:p w:rsidRPr="001E62F2" w:rsidR="00936786" w:rsidP="00FF18F1" w:rsidRDefault="00936786" w14:paraId="405B22A3" w14:textId="77777777">
            <w:pPr>
              <w:pStyle w:val="Default"/>
              <w:spacing w:line="240" w:lineRule="atLeast"/>
              <w:rPr>
                <w:sz w:val="18"/>
                <w:szCs w:val="18"/>
              </w:rPr>
            </w:pPr>
            <w:r w:rsidRPr="001E62F2">
              <w:rPr>
                <w:sz w:val="18"/>
                <w:szCs w:val="18"/>
              </w:rPr>
              <w:t xml:space="preserve"> 2</w:t>
            </w:r>
          </w:p>
        </w:tc>
        <w:tc>
          <w:tcPr>
            <w:tcW w:w="2352" w:type="dxa"/>
          </w:tcPr>
          <w:p w:rsidRPr="001E62F2" w:rsidR="00936786" w:rsidP="00FF18F1" w:rsidRDefault="00936786" w14:paraId="034C912C" w14:textId="77777777">
            <w:pPr>
              <w:pStyle w:val="Default"/>
              <w:spacing w:line="240" w:lineRule="atLeast"/>
              <w:jc w:val="right"/>
              <w:rPr>
                <w:sz w:val="18"/>
                <w:szCs w:val="18"/>
              </w:rPr>
            </w:pPr>
            <w:r w:rsidRPr="001E62F2">
              <w:rPr>
                <w:sz w:val="18"/>
                <w:szCs w:val="18"/>
              </w:rPr>
              <w:t>45,7</w:t>
            </w:r>
          </w:p>
        </w:tc>
        <w:tc>
          <w:tcPr>
            <w:tcW w:w="2262" w:type="dxa"/>
          </w:tcPr>
          <w:p w:rsidRPr="001E62F2" w:rsidR="00936786" w:rsidP="00FF18F1" w:rsidRDefault="00936786" w14:paraId="2B6A032D" w14:textId="77777777">
            <w:pPr>
              <w:pStyle w:val="Default"/>
              <w:spacing w:line="240" w:lineRule="atLeast"/>
              <w:jc w:val="right"/>
              <w:rPr>
                <w:sz w:val="18"/>
                <w:szCs w:val="18"/>
              </w:rPr>
            </w:pPr>
            <w:r w:rsidRPr="001E62F2">
              <w:rPr>
                <w:sz w:val="18"/>
                <w:szCs w:val="18"/>
              </w:rPr>
              <w:t>34,3</w:t>
            </w:r>
          </w:p>
          <w:p w:rsidRPr="001E62F2" w:rsidR="00936786" w:rsidP="00FF18F1" w:rsidRDefault="00936786" w14:paraId="1D08A60D" w14:textId="77777777">
            <w:pPr>
              <w:pStyle w:val="Default"/>
              <w:spacing w:line="240" w:lineRule="atLeast"/>
              <w:jc w:val="right"/>
              <w:rPr>
                <w:sz w:val="18"/>
                <w:szCs w:val="18"/>
              </w:rPr>
            </w:pPr>
          </w:p>
        </w:tc>
        <w:tc>
          <w:tcPr>
            <w:tcW w:w="1000" w:type="dxa"/>
          </w:tcPr>
          <w:p w:rsidRPr="001E62F2" w:rsidR="00936786" w:rsidP="00FF18F1" w:rsidRDefault="00936786" w14:paraId="6FD6FCE3" w14:textId="77777777">
            <w:pPr>
              <w:pStyle w:val="Default"/>
              <w:spacing w:line="240" w:lineRule="atLeast"/>
              <w:jc w:val="right"/>
              <w:rPr>
                <w:sz w:val="18"/>
                <w:szCs w:val="18"/>
              </w:rPr>
            </w:pPr>
            <w:r w:rsidRPr="001E62F2">
              <w:rPr>
                <w:sz w:val="18"/>
                <w:szCs w:val="18"/>
              </w:rPr>
              <w:t>11,4</w:t>
            </w:r>
          </w:p>
        </w:tc>
      </w:tr>
      <w:tr w:rsidRPr="001E62F2" w:rsidR="00936786" w:rsidTr="00936786" w14:paraId="6F84187A" w14:textId="77777777">
        <w:trPr>
          <w:trHeight w:val="300"/>
        </w:trPr>
        <w:tc>
          <w:tcPr>
            <w:tcW w:w="2037" w:type="dxa"/>
          </w:tcPr>
          <w:p w:rsidRPr="001E62F2" w:rsidR="00936786" w:rsidP="00FF18F1" w:rsidRDefault="00936786" w14:paraId="00D8EB63" w14:textId="77777777">
            <w:pPr>
              <w:pStyle w:val="Default"/>
              <w:spacing w:line="240" w:lineRule="atLeast"/>
              <w:rPr>
                <w:sz w:val="18"/>
                <w:szCs w:val="18"/>
              </w:rPr>
            </w:pPr>
            <w:r w:rsidRPr="001E62F2">
              <w:rPr>
                <w:sz w:val="18"/>
                <w:szCs w:val="18"/>
              </w:rPr>
              <w:t xml:space="preserve">Groenvermogen NL </w:t>
            </w:r>
          </w:p>
        </w:tc>
        <w:tc>
          <w:tcPr>
            <w:tcW w:w="854" w:type="dxa"/>
          </w:tcPr>
          <w:p w:rsidRPr="001E62F2" w:rsidR="00936786" w:rsidP="00FF18F1" w:rsidRDefault="00936786" w14:paraId="1CCAEFDC" w14:textId="77777777">
            <w:pPr>
              <w:pStyle w:val="Default"/>
              <w:spacing w:line="240" w:lineRule="atLeast"/>
              <w:rPr>
                <w:sz w:val="18"/>
                <w:szCs w:val="18"/>
              </w:rPr>
            </w:pPr>
            <w:r w:rsidRPr="001E62F2">
              <w:rPr>
                <w:sz w:val="18"/>
                <w:szCs w:val="18"/>
              </w:rPr>
              <w:t xml:space="preserve"> 1,2</w:t>
            </w:r>
          </w:p>
        </w:tc>
        <w:tc>
          <w:tcPr>
            <w:tcW w:w="2352" w:type="dxa"/>
          </w:tcPr>
          <w:p w:rsidRPr="001E62F2" w:rsidR="00936786" w:rsidP="00FF18F1" w:rsidRDefault="00936786" w14:paraId="30609BEC" w14:textId="77777777">
            <w:pPr>
              <w:pStyle w:val="Default"/>
              <w:spacing w:line="240" w:lineRule="atLeast"/>
              <w:jc w:val="right"/>
              <w:rPr>
                <w:sz w:val="18"/>
                <w:szCs w:val="18"/>
              </w:rPr>
            </w:pPr>
            <w:r w:rsidRPr="42F16190">
              <w:rPr>
                <w:sz w:val="18"/>
                <w:szCs w:val="18"/>
              </w:rPr>
              <w:t>147,0</w:t>
            </w:r>
          </w:p>
        </w:tc>
        <w:tc>
          <w:tcPr>
            <w:tcW w:w="2262" w:type="dxa"/>
          </w:tcPr>
          <w:p w:rsidRPr="001E62F2" w:rsidR="00936786" w:rsidP="00FF18F1" w:rsidRDefault="00936786" w14:paraId="054A7947" w14:textId="77777777">
            <w:pPr>
              <w:pStyle w:val="Default"/>
              <w:spacing w:line="240" w:lineRule="atLeast"/>
              <w:jc w:val="right"/>
              <w:rPr>
                <w:sz w:val="18"/>
                <w:szCs w:val="18"/>
              </w:rPr>
            </w:pPr>
            <w:r w:rsidRPr="42F16190">
              <w:rPr>
                <w:sz w:val="18"/>
                <w:szCs w:val="18"/>
              </w:rPr>
              <w:t>105,0</w:t>
            </w:r>
          </w:p>
          <w:p w:rsidRPr="001E62F2" w:rsidR="00936786" w:rsidP="00FF18F1" w:rsidRDefault="00936786" w14:paraId="151B4E08" w14:textId="77777777">
            <w:pPr>
              <w:pStyle w:val="Default"/>
              <w:spacing w:line="240" w:lineRule="atLeast"/>
              <w:jc w:val="right"/>
              <w:rPr>
                <w:sz w:val="18"/>
                <w:szCs w:val="18"/>
              </w:rPr>
            </w:pPr>
          </w:p>
        </w:tc>
        <w:tc>
          <w:tcPr>
            <w:tcW w:w="1000" w:type="dxa"/>
          </w:tcPr>
          <w:p w:rsidRPr="001E62F2" w:rsidR="00936786" w:rsidP="00FF18F1" w:rsidRDefault="00936786" w14:paraId="538D51B3" w14:textId="77777777">
            <w:pPr>
              <w:pStyle w:val="Default"/>
              <w:spacing w:line="240" w:lineRule="atLeast"/>
              <w:jc w:val="right"/>
              <w:rPr>
                <w:sz w:val="18"/>
                <w:szCs w:val="18"/>
              </w:rPr>
            </w:pPr>
            <w:r w:rsidRPr="42F16190">
              <w:rPr>
                <w:sz w:val="18"/>
                <w:szCs w:val="18"/>
              </w:rPr>
              <w:t>42,0</w:t>
            </w:r>
          </w:p>
        </w:tc>
      </w:tr>
      <w:tr w:rsidRPr="001E62F2" w:rsidR="00936786" w:rsidTr="00936786" w14:paraId="6276B56D" w14:textId="77777777">
        <w:trPr>
          <w:trHeight w:val="300"/>
        </w:trPr>
        <w:tc>
          <w:tcPr>
            <w:tcW w:w="2037" w:type="dxa"/>
          </w:tcPr>
          <w:p w:rsidRPr="001E62F2" w:rsidR="00936786" w:rsidP="00FF18F1" w:rsidRDefault="00936786" w14:paraId="39ABFDC0" w14:textId="77777777">
            <w:pPr>
              <w:pStyle w:val="Default"/>
              <w:spacing w:line="240" w:lineRule="atLeast"/>
              <w:rPr>
                <w:b/>
                <w:bCs/>
                <w:sz w:val="18"/>
                <w:szCs w:val="18"/>
              </w:rPr>
            </w:pPr>
            <w:r w:rsidRPr="001E62F2">
              <w:rPr>
                <w:b/>
                <w:bCs/>
                <w:sz w:val="18"/>
                <w:szCs w:val="18"/>
              </w:rPr>
              <w:t>Totaal</w:t>
            </w:r>
          </w:p>
        </w:tc>
        <w:tc>
          <w:tcPr>
            <w:tcW w:w="854" w:type="dxa"/>
          </w:tcPr>
          <w:p w:rsidRPr="001E62F2" w:rsidR="00936786" w:rsidP="00FF18F1" w:rsidRDefault="00936786" w14:paraId="16328B4A" w14:textId="77777777">
            <w:pPr>
              <w:pStyle w:val="Default"/>
              <w:spacing w:line="240" w:lineRule="atLeast"/>
              <w:rPr>
                <w:sz w:val="18"/>
                <w:szCs w:val="18"/>
              </w:rPr>
            </w:pPr>
            <w:r w:rsidRPr="001E62F2">
              <w:rPr>
                <w:sz w:val="18"/>
                <w:szCs w:val="18"/>
              </w:rPr>
              <w:t xml:space="preserve"> </w:t>
            </w:r>
          </w:p>
        </w:tc>
        <w:tc>
          <w:tcPr>
            <w:tcW w:w="2352" w:type="dxa"/>
          </w:tcPr>
          <w:p w:rsidRPr="001E62F2" w:rsidR="00936786" w:rsidP="00FF18F1" w:rsidRDefault="00936786" w14:paraId="2C1655E0" w14:textId="77777777">
            <w:pPr>
              <w:pStyle w:val="Default"/>
              <w:spacing w:line="240" w:lineRule="atLeast"/>
              <w:jc w:val="right"/>
              <w:rPr>
                <w:b/>
                <w:bCs/>
                <w:sz w:val="18"/>
                <w:szCs w:val="18"/>
              </w:rPr>
            </w:pPr>
            <w:r w:rsidRPr="001E62F2">
              <w:rPr>
                <w:b/>
                <w:bCs/>
                <w:sz w:val="18"/>
                <w:szCs w:val="18"/>
              </w:rPr>
              <w:t>235,6</w:t>
            </w:r>
          </w:p>
        </w:tc>
        <w:tc>
          <w:tcPr>
            <w:tcW w:w="2262" w:type="dxa"/>
          </w:tcPr>
          <w:p w:rsidRPr="001E62F2" w:rsidR="00936786" w:rsidP="00FF18F1" w:rsidRDefault="00936786" w14:paraId="6FE92A7E" w14:textId="77777777">
            <w:pPr>
              <w:pStyle w:val="Default"/>
              <w:spacing w:line="240" w:lineRule="atLeast"/>
              <w:jc w:val="right"/>
              <w:rPr>
                <w:b/>
                <w:bCs/>
                <w:sz w:val="18"/>
                <w:szCs w:val="18"/>
              </w:rPr>
            </w:pPr>
            <w:r w:rsidRPr="001E62F2">
              <w:rPr>
                <w:b/>
                <w:bCs/>
                <w:sz w:val="18"/>
                <w:szCs w:val="18"/>
              </w:rPr>
              <w:t>182,2</w:t>
            </w:r>
          </w:p>
          <w:p w:rsidRPr="001E62F2" w:rsidR="00936786" w:rsidP="00FF18F1" w:rsidRDefault="00936786" w14:paraId="5F1025D9" w14:textId="77777777">
            <w:pPr>
              <w:pStyle w:val="Default"/>
              <w:spacing w:line="240" w:lineRule="atLeast"/>
              <w:jc w:val="right"/>
              <w:rPr>
                <w:b/>
                <w:bCs/>
                <w:sz w:val="18"/>
                <w:szCs w:val="18"/>
              </w:rPr>
            </w:pPr>
          </w:p>
        </w:tc>
        <w:tc>
          <w:tcPr>
            <w:tcW w:w="1000" w:type="dxa"/>
          </w:tcPr>
          <w:p w:rsidRPr="001E62F2" w:rsidR="00936786" w:rsidP="00FF18F1" w:rsidRDefault="00936786" w14:paraId="0988DC43" w14:textId="77777777">
            <w:pPr>
              <w:pStyle w:val="Default"/>
              <w:spacing w:line="240" w:lineRule="atLeast"/>
              <w:jc w:val="right"/>
              <w:rPr>
                <w:b/>
                <w:bCs/>
                <w:sz w:val="18"/>
                <w:szCs w:val="18"/>
              </w:rPr>
            </w:pPr>
            <w:r w:rsidRPr="42F16190">
              <w:rPr>
                <w:b/>
                <w:bCs/>
                <w:sz w:val="18"/>
                <w:szCs w:val="18"/>
              </w:rPr>
              <w:t>53,4</w:t>
            </w:r>
          </w:p>
        </w:tc>
      </w:tr>
    </w:tbl>
    <w:p w:rsidRPr="001E62F2" w:rsidR="00936786" w:rsidP="00FF18F1" w:rsidRDefault="00936786" w14:paraId="7F1B148C" w14:textId="77777777">
      <w:pPr>
        <w:pStyle w:val="Default"/>
        <w:spacing w:line="240" w:lineRule="atLeast"/>
        <w:rPr>
          <w:sz w:val="18"/>
          <w:szCs w:val="18"/>
        </w:rPr>
      </w:pPr>
    </w:p>
    <w:p w:rsidRPr="001E62F2" w:rsidR="00936786" w:rsidP="00FF18F1" w:rsidRDefault="00936786" w14:paraId="4CF04C06" w14:textId="77777777">
      <w:pPr>
        <w:pStyle w:val="Default"/>
        <w:spacing w:line="240" w:lineRule="atLeast"/>
        <w:rPr>
          <w:sz w:val="18"/>
          <w:szCs w:val="18"/>
        </w:rPr>
      </w:pPr>
      <w:r w:rsidRPr="42F16190">
        <w:rPr>
          <w:sz w:val="18"/>
          <w:szCs w:val="18"/>
        </w:rPr>
        <w:t>De budgettaire verwerking van deze besluitvorming vindt plaats bij Voorjaarsnota 2025. De toekenningen zijn definitief na autorisatie van de 1e suppletoire begroting door beide Kamers. Daarna kunnen de middelen besteed worden aan de projecten en kunnen de volgende fases daarvan worden uitgevoerd.</w:t>
      </w:r>
    </w:p>
    <w:p w:rsidR="00936786" w:rsidP="00FF18F1" w:rsidRDefault="00936786" w14:paraId="39A1641D" w14:textId="77777777">
      <w:pPr>
        <w:pStyle w:val="Default"/>
        <w:spacing w:line="240" w:lineRule="atLeast"/>
        <w:rPr>
          <w:sz w:val="18"/>
          <w:szCs w:val="18"/>
        </w:rPr>
      </w:pPr>
    </w:p>
    <w:p w:rsidR="00936786" w:rsidP="00FF18F1" w:rsidRDefault="00936786" w14:paraId="57A9772F" w14:textId="77777777">
      <w:pPr>
        <w:pStyle w:val="Default"/>
        <w:spacing w:line="240" w:lineRule="atLeast"/>
        <w:rPr>
          <w:sz w:val="18"/>
          <w:szCs w:val="18"/>
        </w:rPr>
      </w:pPr>
    </w:p>
    <w:p w:rsidR="00936786" w:rsidP="00FF18F1" w:rsidRDefault="00936786" w14:paraId="32588BA0" w14:textId="77777777">
      <w:pPr>
        <w:pStyle w:val="Default"/>
        <w:spacing w:line="240" w:lineRule="atLeast"/>
        <w:rPr>
          <w:sz w:val="18"/>
          <w:szCs w:val="18"/>
        </w:rPr>
      </w:pPr>
    </w:p>
    <w:p w:rsidR="002836CA" w:rsidP="00FF18F1" w:rsidRDefault="002836CA" w14:paraId="62EECC73" w14:textId="77777777">
      <w:pPr>
        <w:pStyle w:val="Default"/>
        <w:spacing w:line="240" w:lineRule="atLeast"/>
        <w:rPr>
          <w:sz w:val="18"/>
          <w:szCs w:val="18"/>
        </w:rPr>
      </w:pPr>
    </w:p>
    <w:p w:rsidRPr="001E62F2" w:rsidR="002836CA" w:rsidP="00FF18F1" w:rsidRDefault="002836CA" w14:paraId="5EAF2442" w14:textId="77777777">
      <w:pPr>
        <w:pStyle w:val="Default"/>
        <w:spacing w:line="240" w:lineRule="atLeast"/>
        <w:rPr>
          <w:sz w:val="18"/>
          <w:szCs w:val="18"/>
        </w:rPr>
      </w:pPr>
    </w:p>
    <w:p w:rsidRPr="001E62F2" w:rsidR="00936786" w:rsidP="00FF18F1" w:rsidRDefault="00936786" w14:paraId="7F8A6F84" w14:textId="77777777">
      <w:pPr>
        <w:pStyle w:val="Default"/>
        <w:spacing w:line="240" w:lineRule="atLeast"/>
        <w:rPr>
          <w:sz w:val="18"/>
          <w:szCs w:val="18"/>
        </w:rPr>
      </w:pPr>
      <w:r w:rsidRPr="001E62F2">
        <w:rPr>
          <w:sz w:val="18"/>
          <w:szCs w:val="18"/>
        </w:rPr>
        <w:t xml:space="preserve">Dirk Beljaarts </w:t>
      </w:r>
    </w:p>
    <w:p w:rsidRPr="001E62F2" w:rsidR="00936786" w:rsidP="00FF18F1" w:rsidRDefault="00936786" w14:paraId="7CE529FD" w14:textId="77777777">
      <w:pPr>
        <w:rPr>
          <w:szCs w:val="18"/>
        </w:rPr>
      </w:pPr>
      <w:r w:rsidRPr="001E62F2">
        <w:rPr>
          <w:szCs w:val="18"/>
        </w:rPr>
        <w:t>Minister van Economische Zaken</w:t>
      </w:r>
    </w:p>
    <w:p w:rsidRPr="001E62F2" w:rsidR="00936786" w:rsidP="00FF18F1" w:rsidRDefault="00936786" w14:paraId="7E88C5AB" w14:textId="77777777">
      <w:pPr>
        <w:rPr>
          <w:szCs w:val="18"/>
        </w:rPr>
      </w:pPr>
      <w:r w:rsidRPr="001E62F2">
        <w:rPr>
          <w:szCs w:val="18"/>
        </w:rPr>
        <w:br w:type="page"/>
      </w:r>
    </w:p>
    <w:p w:rsidRPr="001E62F2" w:rsidR="00936786" w:rsidP="00FF18F1" w:rsidRDefault="00936786" w14:paraId="60142D93" w14:textId="77777777">
      <w:pPr>
        <w:rPr>
          <w:b/>
          <w:bCs/>
          <w:szCs w:val="18"/>
        </w:rPr>
      </w:pPr>
      <w:r w:rsidRPr="001E62F2">
        <w:rPr>
          <w:b/>
          <w:bCs/>
          <w:szCs w:val="18"/>
        </w:rPr>
        <w:t>Bijlage 1</w:t>
      </w:r>
      <w:r w:rsidRPr="001E62F2">
        <w:rPr>
          <w:b/>
          <w:bCs/>
          <w:szCs w:val="18"/>
        </w:rPr>
        <w:tab/>
        <w:t>Toelichting advies adviescommissie per project</w:t>
      </w:r>
    </w:p>
    <w:p w:rsidR="00936786" w:rsidP="00FF18F1" w:rsidRDefault="00936786" w14:paraId="5F5094DC" w14:textId="77777777">
      <w:pPr>
        <w:rPr>
          <w:szCs w:val="18"/>
          <w:u w:val="single"/>
        </w:rPr>
      </w:pPr>
    </w:p>
    <w:p w:rsidRPr="001E62F2" w:rsidR="00936786" w:rsidP="00FF18F1" w:rsidRDefault="00236BBE" w14:paraId="0125555F" w14:textId="42BCAF84">
      <w:pPr>
        <w:rPr>
          <w:szCs w:val="18"/>
        </w:rPr>
      </w:pPr>
      <w:r>
        <w:rPr>
          <w:szCs w:val="18"/>
          <w:u w:val="single"/>
        </w:rPr>
        <w:t xml:space="preserve">LLO </w:t>
      </w:r>
      <w:r w:rsidRPr="001E62F2" w:rsidR="00936786">
        <w:rPr>
          <w:szCs w:val="18"/>
          <w:u w:val="single"/>
        </w:rPr>
        <w:t>Collectief Laagopgeleiden en Laaggeletterden</w:t>
      </w:r>
    </w:p>
    <w:p w:rsidRPr="001E62F2" w:rsidR="00936786" w:rsidP="00FF18F1" w:rsidRDefault="00936786" w14:paraId="1048BF62" w14:textId="6C57FDC6">
      <w:pPr>
        <w:rPr>
          <w:szCs w:val="18"/>
        </w:rPr>
      </w:pPr>
      <w:r w:rsidRPr="001E62F2">
        <w:rPr>
          <w:rFonts w:eastAsia="Verdana" w:cs="Verdana"/>
          <w:szCs w:val="18"/>
        </w:rPr>
        <w:t xml:space="preserve">Het </w:t>
      </w:r>
      <w:r w:rsidR="00236BBE">
        <w:rPr>
          <w:rFonts w:eastAsia="Verdana" w:cs="Verdana"/>
          <w:szCs w:val="18"/>
        </w:rPr>
        <w:t xml:space="preserve">LLO </w:t>
      </w:r>
      <w:r w:rsidRPr="001E62F2">
        <w:rPr>
          <w:rFonts w:eastAsia="Verdana" w:cs="Verdana"/>
          <w:szCs w:val="18"/>
        </w:rPr>
        <w:t>Collectief Laagopgeleiden en Laaggeletterden heeft als doel om laagopgeleiden en laaggeletterden meer te laten participeren in de arbeidsmarkt en maatschappij. Daarvoor ontwikkelt het programma een nieuw wervingsmechanisme en regionaal scholingsaanbod waarmee de groep kan doorstromen naar beroepsonderwijs of de arbeidsmarkt. De combinatie van scholing in basisvaardigheden en een beroepsopleiding is uniek voor deze doelgroep en staat centraal. Hiervoor werken UWV, gemeenten, opleiders en werkgevers samen.</w:t>
      </w:r>
    </w:p>
    <w:p w:rsidRPr="001E62F2" w:rsidR="00936786" w:rsidP="00FF18F1" w:rsidRDefault="00936786" w14:paraId="51E2C9F9" w14:textId="77777777">
      <w:pPr>
        <w:rPr>
          <w:szCs w:val="18"/>
        </w:rPr>
      </w:pPr>
      <w:r w:rsidRPr="42F16190">
        <w:rPr>
          <w:rFonts w:eastAsia="Verdana" w:cs="Verdana"/>
          <w:szCs w:val="18"/>
        </w:rPr>
        <w:t>Het project heeft in de tweede beoordelingsronde € 7,6 miljoen toegekend gekregen en € 42,9 miljoen voorwaardelijk toegekend gekregen. Daarmee is een programma in twee pilotregio’s gestart. De adviescommissie adviseert het kabinet om de volledige voorwaardelijke toekenning van € 42,9 miljoen om te zetten in een definitieve toekenning. De adviescommissie ziet voldoende voortgang in de twee pilotregio’s om opschaling naar achttien nieuwe regio’s te rechtvaardigen. De adviescommissie benadrukt in haar advies het belang van de betrokkenheid van werkgevers bij de regionale aansturing en governance. Dit is essentieel voor het slagen van het project.</w:t>
      </w:r>
    </w:p>
    <w:p w:rsidR="00936786" w:rsidP="00FF18F1" w:rsidRDefault="00936786" w14:paraId="37688F36" w14:textId="77777777">
      <w:pPr>
        <w:rPr>
          <w:szCs w:val="18"/>
          <w:u w:val="single"/>
        </w:rPr>
      </w:pPr>
    </w:p>
    <w:p w:rsidRPr="001E62F2" w:rsidR="00936786" w:rsidP="00FF18F1" w:rsidRDefault="00936786" w14:paraId="046B43B8" w14:textId="3FC6599C">
      <w:pPr>
        <w:rPr>
          <w:szCs w:val="18"/>
          <w:u w:val="single"/>
        </w:rPr>
      </w:pPr>
      <w:r w:rsidRPr="001E62F2">
        <w:rPr>
          <w:szCs w:val="18"/>
          <w:u w:val="single"/>
        </w:rPr>
        <w:t>Luchtvaart in Transitie</w:t>
      </w:r>
    </w:p>
    <w:p w:rsidRPr="001E62F2" w:rsidR="00936786" w:rsidP="00FF18F1" w:rsidRDefault="00936786" w14:paraId="22119501" w14:textId="77777777">
      <w:pPr>
        <w:rPr>
          <w:szCs w:val="18"/>
        </w:rPr>
      </w:pPr>
      <w:r w:rsidRPr="42F16190">
        <w:rPr>
          <w:rFonts w:eastAsia="Verdana" w:cs="Verdana"/>
          <w:szCs w:val="18"/>
        </w:rPr>
        <w:t xml:space="preserve">Luchtvaart in Transitie (LiT) richt zich op het verduurzamen van de Nederlandse luchtvaartsector, met als doel een klimaatneutrale luchtvaart in 2050. Daarnaast stimuleert LiT de ontwikkeling van baanbrekende technologieën voor ultra-efficiënte vliegtuigen, door het doen van lange termijn onderzoek. In de tweede ronde is € 263,9 miljoen direct toegekend en € 119,5 miljoen voorwaardelijk voor drie deelprojecten. In december 2023 is € 73,3 miljoen van het voorwaardelijke toegekende bedrag omgezet voor het deelproject Hydrogen Aircraft Powertrain and Storage systems (HAPPS). </w:t>
      </w:r>
    </w:p>
    <w:p w:rsidRPr="001E62F2" w:rsidR="00936786" w:rsidP="00FF18F1" w:rsidRDefault="00936786" w14:paraId="178E12D2" w14:textId="77777777">
      <w:pPr>
        <w:rPr>
          <w:szCs w:val="18"/>
        </w:rPr>
      </w:pPr>
      <w:r w:rsidRPr="001E62F2">
        <w:rPr>
          <w:rFonts w:eastAsia="Verdana" w:cs="Verdana"/>
          <w:szCs w:val="18"/>
        </w:rPr>
        <w:t xml:space="preserve"> </w:t>
      </w:r>
    </w:p>
    <w:p w:rsidRPr="001E62F2" w:rsidR="00936786" w:rsidP="00FF18F1" w:rsidRDefault="00936786" w14:paraId="4074B265" w14:textId="1C12E2CC">
      <w:pPr>
        <w:rPr>
          <w:szCs w:val="18"/>
        </w:rPr>
      </w:pPr>
      <w:r w:rsidRPr="42F16190">
        <w:rPr>
          <w:rFonts w:eastAsia="Verdana" w:cs="Verdana"/>
          <w:szCs w:val="18"/>
        </w:rPr>
        <w:t xml:space="preserve">De adviescommissie heeft thans geadviseerd over de omzetting van voorwaardelijke toekenning van de overige twee deelprojecten: € 16,6 miljoen voor </w:t>
      </w:r>
      <w:r w:rsidRPr="42F16190">
        <w:rPr>
          <w:rFonts w:eastAsia="Verdana" w:cs="Verdana"/>
          <w:color w:val="211D1E"/>
          <w:szCs w:val="18"/>
        </w:rPr>
        <w:t xml:space="preserve">Hydrogen Optimization &amp; Testing (HOT, voorheen Hydrogen Ombouw Turbofan) en € 29,1 miljoen voor ICEFlight (Innovative Cryogenic Electric Flight, voorheen deelproject Embraer). </w:t>
      </w:r>
      <w:r w:rsidRPr="42F16190">
        <w:rPr>
          <w:rFonts w:eastAsia="Verdana" w:cs="Verdana"/>
          <w:szCs w:val="18"/>
        </w:rPr>
        <w:t xml:space="preserve">De adviescommissie adviseert om de € 16,6 miljoen voor HOT volledig toe te kennen. Er is voor dit deelproject aan de gestelde voorwaarden voldaan. Voor ICEFlight adviseert de adviescommissie een gedeeltelijke omzetting van € 17,7 miljoen. Er resteert dan nog een voorwaardelijke toekenning € 11,4 miljoen voor het deelproject ICEFlight. De adviescommissie adviseert om voor dit deel in 2027 een aanvullende voorwaarde vast te leggen die verband houdt met het go/no-go-moment in dit deelproject: de </w:t>
      </w:r>
      <w:r w:rsidR="00FC3E4B">
        <w:rPr>
          <w:rFonts w:eastAsia="Verdana" w:cs="Verdana"/>
          <w:szCs w:val="18"/>
        </w:rPr>
        <w:t xml:space="preserve">voorbereiding voor de </w:t>
      </w:r>
      <w:r w:rsidRPr="42F16190">
        <w:rPr>
          <w:rFonts w:eastAsia="Verdana" w:cs="Verdana"/>
          <w:szCs w:val="18"/>
        </w:rPr>
        <w:t xml:space="preserve">testvlucht die wordt </w:t>
      </w:r>
      <w:r w:rsidR="00FC3E4B">
        <w:rPr>
          <w:rFonts w:eastAsia="Verdana" w:cs="Verdana"/>
          <w:szCs w:val="18"/>
        </w:rPr>
        <w:t>beoogd</w:t>
      </w:r>
      <w:r w:rsidRPr="42F16190">
        <w:rPr>
          <w:rFonts w:eastAsia="Verdana" w:cs="Verdana"/>
          <w:szCs w:val="18"/>
        </w:rPr>
        <w:t xml:space="preserve"> van een vliegtuig met waterstofaandrijving. Hiermee is er meer zekerheid over de voortgang van het project, voordat de laatste financiering beschikbaar wordt gesteld. </w:t>
      </w:r>
    </w:p>
    <w:p w:rsidR="00936786" w:rsidP="00FF18F1" w:rsidRDefault="00936786" w14:paraId="2B96340A" w14:textId="77777777">
      <w:pPr>
        <w:rPr>
          <w:szCs w:val="18"/>
          <w:u w:val="single"/>
        </w:rPr>
      </w:pPr>
      <w:r>
        <w:rPr>
          <w:szCs w:val="18"/>
          <w:u w:val="single"/>
        </w:rPr>
        <w:br w:type="page"/>
      </w:r>
    </w:p>
    <w:p w:rsidRPr="001E62F2" w:rsidR="00936786" w:rsidP="00FF18F1" w:rsidRDefault="00936786" w14:paraId="57EC97B2" w14:textId="2DD3A60E">
      <w:pPr>
        <w:rPr>
          <w:szCs w:val="18"/>
          <w:u w:val="single"/>
        </w:rPr>
      </w:pPr>
      <w:r w:rsidRPr="001E62F2">
        <w:rPr>
          <w:szCs w:val="18"/>
          <w:u w:val="single"/>
        </w:rPr>
        <w:t>GroenvermogenNL</w:t>
      </w:r>
    </w:p>
    <w:p w:rsidRPr="001E62F2" w:rsidR="00936786" w:rsidP="00FF18F1" w:rsidRDefault="00936786" w14:paraId="3297CF4E" w14:textId="2CACF89B">
      <w:pPr>
        <w:rPr>
          <w:rFonts w:eastAsia="Verdana" w:cs="Verdana"/>
          <w:szCs w:val="18"/>
        </w:rPr>
      </w:pPr>
      <w:r w:rsidRPr="42F16190">
        <w:rPr>
          <w:rFonts w:eastAsia="Verdana" w:cs="Verdana"/>
          <w:szCs w:val="18"/>
        </w:rPr>
        <w:t xml:space="preserve">Het doel van GroenvermogenNL (GVNL) is om de transitie naar grootschalig gebruik van groene waterstof in de Nederlandse industrie te ondersteunen en te versnellen. Dat doet het project met een integraal programma van Research, Development &amp; Innovation, kostenreductie, opschaling van groene waterstoftoepassingen en opbouw van </w:t>
      </w:r>
      <w:r w:rsidRPr="42F16190">
        <w:rPr>
          <w:rFonts w:eastAsia="Verdana" w:cs="Verdana"/>
          <w:i/>
          <w:iCs/>
          <w:szCs w:val="18"/>
        </w:rPr>
        <w:t>human capital</w:t>
      </w:r>
      <w:r w:rsidRPr="42F16190">
        <w:rPr>
          <w:rFonts w:eastAsia="Verdana" w:cs="Verdana"/>
          <w:szCs w:val="18"/>
        </w:rPr>
        <w:t xml:space="preserve">. De adviescommissie heeft het integrale programma van GVNL in de eerste en tweede beoordelingsronde beoordeeld op basis van twee afzonderlijke investeringsvoorstellen. De toekenningen uit deze rondes vormen de totale bijdrage uit het Nationaal Groeifonds en inmiddels wordt GVNL als één integraal project beschouwd. Er is in totaal € 541,0 miljoen toegekend en € 297,0 miljoen voorwaardelijk toegekend. Er wordt nu verzocht om een gedeeltelijke omzetting van € 147,0 miljoen. </w:t>
      </w:r>
    </w:p>
    <w:p w:rsidRPr="001E62F2" w:rsidR="00936786" w:rsidP="00FF18F1" w:rsidRDefault="00936786" w14:paraId="04F8B41D" w14:textId="77777777">
      <w:pPr>
        <w:rPr>
          <w:rFonts w:eastAsia="Verdana" w:cs="Verdana"/>
          <w:szCs w:val="18"/>
        </w:rPr>
      </w:pPr>
      <w:r w:rsidRPr="42F16190">
        <w:rPr>
          <w:rFonts w:eastAsia="Verdana" w:cs="Verdana"/>
          <w:szCs w:val="18"/>
        </w:rPr>
        <w:t xml:space="preserve">  </w:t>
      </w:r>
    </w:p>
    <w:p w:rsidRPr="001E62F2" w:rsidR="00936786" w:rsidP="00FF18F1" w:rsidRDefault="00936786" w14:paraId="542268AB" w14:textId="77777777">
      <w:pPr>
        <w:rPr>
          <w:rFonts w:eastAsia="Verdana" w:cs="Verdana"/>
          <w:szCs w:val="18"/>
        </w:rPr>
      </w:pPr>
      <w:r w:rsidRPr="42F16190">
        <w:rPr>
          <w:rFonts w:eastAsia="Verdana" w:cs="Verdana"/>
          <w:szCs w:val="18"/>
        </w:rPr>
        <w:t xml:space="preserve">De adviescommissie adviseert om hiervan € 105,0 miljoen om te zetten in een definitieve toekenning. Een bedrag van € 42,0 miljoen blijft voorwaardelijk toegekend. </w:t>
      </w:r>
      <w:r w:rsidRPr="42F16190">
        <w:rPr>
          <w:rFonts w:eastAsia="Verdana" w:cs="Verdana"/>
          <w:color w:val="211D1E"/>
          <w:szCs w:val="18"/>
        </w:rPr>
        <w:t xml:space="preserve">Het advies is om € 38,0 miljoen voor </w:t>
      </w:r>
      <w:r w:rsidRPr="42F16190">
        <w:rPr>
          <w:rFonts w:eastAsia="Verdana" w:cs="Verdana"/>
          <w:szCs w:val="18"/>
        </w:rPr>
        <w:t>pilots en kleine innovatieve demonstratieprojecten (demo’s) toe te kennen. Op dit terrein zijn al succesvolle projecten gestart en met deze toekenning kunnen nieuwe initiatieven van marktpartijen worden gestart. Daarnaast wordt geadviseerd € 67,0 miljoen voor opschalingsprojecten, bijvoorbeeld in de vorm van een energiehub met kleinschalige groene waterstofproductie, toe te kennen. Als deze opschalingsprojecten succesvol zijn, kan dit aanleiding zijn om het resterende bedrag van voorwaardelijke toekenning om te zetten.</w:t>
      </w:r>
    </w:p>
    <w:p w:rsidRPr="001E62F2" w:rsidR="00936786" w:rsidP="00FF18F1" w:rsidRDefault="00936786" w14:paraId="4716416F" w14:textId="77777777">
      <w:pPr>
        <w:rPr>
          <w:szCs w:val="18"/>
          <w:u w:val="single"/>
        </w:rPr>
      </w:pPr>
    </w:p>
    <w:p w:rsidRPr="001E62F2" w:rsidR="00936786" w:rsidP="00FF18F1" w:rsidRDefault="00936786" w14:paraId="3BD92CF2" w14:textId="77777777">
      <w:pPr>
        <w:rPr>
          <w:b/>
          <w:bCs/>
          <w:szCs w:val="18"/>
          <w:u w:val="single"/>
        </w:rPr>
      </w:pPr>
      <w:r w:rsidRPr="001E62F2">
        <w:rPr>
          <w:szCs w:val="18"/>
          <w:u w:val="single"/>
        </w:rPr>
        <w:t>QuantumDeltaNL</w:t>
      </w:r>
    </w:p>
    <w:p w:rsidRPr="001E62F2" w:rsidR="00936786" w:rsidP="00FF18F1" w:rsidRDefault="00936786" w14:paraId="159E0FCA" w14:textId="77777777">
      <w:pPr>
        <w:rPr>
          <w:szCs w:val="18"/>
        </w:rPr>
      </w:pPr>
      <w:r w:rsidRPr="42F16190">
        <w:rPr>
          <w:rFonts w:eastAsia="Verdana" w:cs="Verdana"/>
          <w:szCs w:val="18"/>
        </w:rPr>
        <w:t xml:space="preserve">Het project Quantumdelta Nederland (QDNL) is gericht op de ontwikkeling en toepassing van quantumtechnologie in Nederland. Quantumtechnologie is een sleuteltechnologie die radicaal nieuwe producten en diensten mogelijk maakt en nieuwe verdienmodellen en oplossingen voor maatschappelijke problemen tot stand kan brengen. Daarbij wordt er onder andere geïnvesteerd in onderzoek en innovatie, ecosysteemontwikkeling, talent en maatschappelijke impact. Aan het project is een bedrag van € 614,9 miljoen toegekend. </w:t>
      </w:r>
    </w:p>
    <w:p w:rsidR="00936786" w:rsidP="00FF18F1" w:rsidRDefault="00936786" w14:paraId="64812052" w14:textId="77777777">
      <w:pPr>
        <w:rPr>
          <w:rFonts w:eastAsia="Verdana" w:cs="Verdana"/>
          <w:szCs w:val="18"/>
        </w:rPr>
      </w:pPr>
    </w:p>
    <w:p w:rsidRPr="00E078BC" w:rsidR="00936786" w:rsidP="00FF18F1" w:rsidRDefault="00765F5B" w14:paraId="6BD083FC" w14:textId="11595A45">
      <w:pPr>
        <w:rPr>
          <w:szCs w:val="18"/>
        </w:rPr>
      </w:pPr>
      <w:r w:rsidRPr="42F16190">
        <w:rPr>
          <w:rFonts w:eastAsia="Verdana" w:cs="Verdana"/>
          <w:szCs w:val="18"/>
        </w:rPr>
        <w:t>In juli 2024 is het laatste deel van de toekenning</w:t>
      </w:r>
      <w:r>
        <w:rPr>
          <w:rFonts w:eastAsia="Verdana" w:cs="Verdana"/>
          <w:szCs w:val="18"/>
        </w:rPr>
        <w:t>, de gereserveerde middelen,</w:t>
      </w:r>
      <w:r w:rsidRPr="42F16190">
        <w:rPr>
          <w:rFonts w:eastAsia="Verdana" w:cs="Verdana"/>
          <w:szCs w:val="18"/>
        </w:rPr>
        <w:t xml:space="preserve"> definitief toegekend aan het project QDNL. </w:t>
      </w:r>
      <w:r w:rsidRPr="42F16190" w:rsidR="00936786">
        <w:rPr>
          <w:rFonts w:eastAsia="Verdana" w:cs="Verdana"/>
          <w:szCs w:val="18"/>
        </w:rPr>
        <w:t>De adviescommissie heeft toen de aanbeveling gedaan om een focus aan te brengen in het programma van QDNL en onderdelen te herprioriteren. Ook zijn professionalisering van het monitorings- en evaluatiesysteem (waaronder aanpassing van de Key Performance Indicators, KPI’s), herstructureren van de governance en het aantrekken van investeerders als belangrijkste aandachtspunten meegegeven. Dit heeft geleid tot aanpassingen van het programma. De fondsbeheerders hebben deze als significante wijziging van het project QDNL voorgelegd aan de adviescommissie voor advies. De adviescommissie vindt de aanpassingen en de daaraan ten grondslag liggende keuzes voldoende onderbouwd en adviseert in te stemmen met de significante wijziging en daarmee met de herziene programmering en de aangepaste KPIs van het project QDNL.</w:t>
      </w:r>
    </w:p>
    <w:p w:rsidRPr="006D7929" w:rsidR="00936786" w:rsidP="00FF18F1" w:rsidRDefault="00936786" w14:paraId="39643EF4" w14:textId="77777777">
      <w:pPr>
        <w:rPr>
          <w:b/>
          <w:bCs/>
          <w:szCs w:val="18"/>
        </w:rPr>
      </w:pPr>
    </w:p>
    <w:p w:rsidRPr="00936786" w:rsidR="004425CC" w:rsidP="00FF18F1" w:rsidRDefault="004425CC" w14:paraId="37A9BB29" w14:textId="2A76B874"/>
    <w:sectPr w:rsidRPr="00936786" w:rsidR="004425C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E15B8" w14:textId="77777777" w:rsidR="00AA38F4" w:rsidRDefault="00AA38F4">
      <w:r>
        <w:separator/>
      </w:r>
    </w:p>
    <w:p w14:paraId="19943386" w14:textId="77777777" w:rsidR="00AA38F4" w:rsidRDefault="00AA38F4"/>
  </w:endnote>
  <w:endnote w:type="continuationSeparator" w:id="0">
    <w:p w14:paraId="62A5610F" w14:textId="77777777" w:rsidR="00AA38F4" w:rsidRDefault="00AA38F4">
      <w:r>
        <w:continuationSeparator/>
      </w:r>
    </w:p>
    <w:p w14:paraId="7D896E69" w14:textId="77777777" w:rsidR="00AA38F4" w:rsidRDefault="00AA3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E501" w14:textId="77777777" w:rsidR="00025824" w:rsidRDefault="000258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537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648FC" w14:paraId="19EAD696" w14:textId="77777777" w:rsidTr="00CA6A25">
      <w:trPr>
        <w:trHeight w:hRule="exact" w:val="240"/>
      </w:trPr>
      <w:tc>
        <w:tcPr>
          <w:tcW w:w="7601" w:type="dxa"/>
          <w:shd w:val="clear" w:color="auto" w:fill="auto"/>
        </w:tcPr>
        <w:p w14:paraId="58DD375F" w14:textId="77777777" w:rsidR="00527BD4" w:rsidRDefault="00527BD4" w:rsidP="003F1F6B">
          <w:pPr>
            <w:pStyle w:val="Huisstijl-Rubricering"/>
          </w:pPr>
        </w:p>
      </w:tc>
      <w:tc>
        <w:tcPr>
          <w:tcW w:w="2156" w:type="dxa"/>
        </w:tcPr>
        <w:p w14:paraId="39A21420" w14:textId="550EB128" w:rsidR="00527BD4" w:rsidRPr="00645414" w:rsidRDefault="0002582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2F7D0A">
              <w:t>4</w:t>
            </w:r>
          </w:fldSimple>
        </w:p>
      </w:tc>
    </w:tr>
  </w:tbl>
  <w:p w14:paraId="6136EC7E"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648FC" w14:paraId="5BA61641" w14:textId="77777777" w:rsidTr="00CA6A25">
      <w:trPr>
        <w:trHeight w:hRule="exact" w:val="240"/>
      </w:trPr>
      <w:tc>
        <w:tcPr>
          <w:tcW w:w="7601" w:type="dxa"/>
          <w:shd w:val="clear" w:color="auto" w:fill="auto"/>
        </w:tcPr>
        <w:p w14:paraId="3B96BC8E" w14:textId="77777777" w:rsidR="00527BD4" w:rsidRDefault="00527BD4" w:rsidP="008C356D">
          <w:pPr>
            <w:pStyle w:val="Huisstijl-Rubricering"/>
          </w:pPr>
        </w:p>
      </w:tc>
      <w:tc>
        <w:tcPr>
          <w:tcW w:w="2170" w:type="dxa"/>
        </w:tcPr>
        <w:p w14:paraId="20CC60B0" w14:textId="5CCE63BC" w:rsidR="00527BD4" w:rsidRPr="00ED539E" w:rsidRDefault="0002582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AA38F4">
              <w:t>1</w:t>
            </w:r>
          </w:fldSimple>
        </w:p>
      </w:tc>
    </w:tr>
  </w:tbl>
  <w:p w14:paraId="0DB09F0C" w14:textId="77777777" w:rsidR="00527BD4" w:rsidRPr="00BC3B53" w:rsidRDefault="00527BD4" w:rsidP="008C356D">
    <w:pPr>
      <w:pStyle w:val="Voettekst"/>
      <w:spacing w:line="240" w:lineRule="auto"/>
      <w:rPr>
        <w:sz w:val="2"/>
        <w:szCs w:val="2"/>
      </w:rPr>
    </w:pPr>
  </w:p>
  <w:p w14:paraId="4BD2444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720F" w14:textId="77777777" w:rsidR="00AA38F4" w:rsidRDefault="00AA38F4">
      <w:r>
        <w:separator/>
      </w:r>
    </w:p>
    <w:p w14:paraId="119C7FEB" w14:textId="77777777" w:rsidR="00AA38F4" w:rsidRDefault="00AA38F4"/>
  </w:footnote>
  <w:footnote w:type="continuationSeparator" w:id="0">
    <w:p w14:paraId="3A7AA6E5" w14:textId="77777777" w:rsidR="00AA38F4" w:rsidRDefault="00AA38F4">
      <w:r>
        <w:continuationSeparator/>
      </w:r>
    </w:p>
    <w:p w14:paraId="0E6182ED" w14:textId="77777777" w:rsidR="00AA38F4" w:rsidRDefault="00AA38F4"/>
  </w:footnote>
  <w:footnote w:id="1">
    <w:p w14:paraId="55CFD967" w14:textId="77777777" w:rsidR="00936786" w:rsidRPr="00FF18F1" w:rsidRDefault="00936786" w:rsidP="00936786">
      <w:pPr>
        <w:pStyle w:val="Voetnoottekst"/>
        <w:rPr>
          <w:szCs w:val="13"/>
        </w:rPr>
      </w:pPr>
      <w:r w:rsidRPr="00FF18F1">
        <w:rPr>
          <w:rStyle w:val="Voetnootmarkering"/>
          <w:szCs w:val="13"/>
        </w:rPr>
        <w:footnoteRef/>
      </w:r>
      <w:r w:rsidRPr="00FF18F1">
        <w:rPr>
          <w:szCs w:val="13"/>
        </w:rPr>
        <w:t xml:space="preserve"> Kamerstuk 35570-XIX nr. 28, Kamerstuk35925, XIX, nr. 12 &amp; Kamerstuk 36200, nr. 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DEA6" w14:textId="77777777" w:rsidR="00025824" w:rsidRDefault="000258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648FC" w14:paraId="1BC6473F" w14:textId="77777777" w:rsidTr="00A50CF6">
      <w:tc>
        <w:tcPr>
          <w:tcW w:w="2156" w:type="dxa"/>
          <w:shd w:val="clear" w:color="auto" w:fill="auto"/>
        </w:tcPr>
        <w:p w14:paraId="56C341F5" w14:textId="77777777" w:rsidR="00527BD4" w:rsidRPr="005819CE" w:rsidRDefault="00025824" w:rsidP="00A50CF6">
          <w:pPr>
            <w:pStyle w:val="Huisstijl-Adres"/>
            <w:rPr>
              <w:b/>
            </w:rPr>
          </w:pPr>
          <w:r>
            <w:rPr>
              <w:b/>
            </w:rPr>
            <w:t>Directoraat-generaal Economie en Digitalisering</w:t>
          </w:r>
          <w:r w:rsidRPr="005819CE">
            <w:rPr>
              <w:b/>
            </w:rPr>
            <w:br/>
          </w:r>
          <w:r>
            <w:t>Directie Algemene Economische Politiek</w:t>
          </w:r>
        </w:p>
      </w:tc>
    </w:tr>
    <w:tr w:rsidR="005648FC" w14:paraId="67AD3C66" w14:textId="77777777" w:rsidTr="00A50CF6">
      <w:trPr>
        <w:trHeight w:hRule="exact" w:val="200"/>
      </w:trPr>
      <w:tc>
        <w:tcPr>
          <w:tcW w:w="2156" w:type="dxa"/>
          <w:shd w:val="clear" w:color="auto" w:fill="auto"/>
        </w:tcPr>
        <w:p w14:paraId="20A7FD4D" w14:textId="77777777" w:rsidR="00527BD4" w:rsidRPr="005819CE" w:rsidRDefault="00527BD4" w:rsidP="00A50CF6"/>
      </w:tc>
    </w:tr>
    <w:tr w:rsidR="005648FC" w14:paraId="7DB99F67" w14:textId="77777777" w:rsidTr="00502512">
      <w:trPr>
        <w:trHeight w:hRule="exact" w:val="774"/>
      </w:trPr>
      <w:tc>
        <w:tcPr>
          <w:tcW w:w="2156" w:type="dxa"/>
          <w:shd w:val="clear" w:color="auto" w:fill="auto"/>
        </w:tcPr>
        <w:p w14:paraId="7BF3158E" w14:textId="77777777" w:rsidR="00527BD4" w:rsidRDefault="00025824" w:rsidP="003A5290">
          <w:pPr>
            <w:pStyle w:val="Huisstijl-Kopje"/>
          </w:pPr>
          <w:r>
            <w:t>Ons kenmerk</w:t>
          </w:r>
        </w:p>
        <w:p w14:paraId="378ED622" w14:textId="77777777" w:rsidR="00527BD4" w:rsidRPr="005819CE" w:rsidRDefault="00025824" w:rsidP="004425CC">
          <w:pPr>
            <w:pStyle w:val="Huisstijl-Kopje"/>
          </w:pPr>
          <w:r>
            <w:rPr>
              <w:b w:val="0"/>
            </w:rPr>
            <w:t>DGED-AEP</w:t>
          </w:r>
          <w:r w:rsidRPr="00502512">
            <w:rPr>
              <w:b w:val="0"/>
            </w:rPr>
            <w:t xml:space="preserve"> / </w:t>
          </w:r>
          <w:r>
            <w:rPr>
              <w:b w:val="0"/>
            </w:rPr>
            <w:t>97548296</w:t>
          </w:r>
        </w:p>
      </w:tc>
    </w:tr>
  </w:tbl>
  <w:p w14:paraId="55253671" w14:textId="77777777" w:rsidR="00527BD4" w:rsidRDefault="00527BD4" w:rsidP="008C356D">
    <w:pPr>
      <w:pStyle w:val="Koptekst"/>
      <w:rPr>
        <w:rFonts w:cs="Verdana-Bold"/>
        <w:b/>
        <w:bCs/>
        <w:smallCaps/>
        <w:szCs w:val="18"/>
      </w:rPr>
    </w:pPr>
  </w:p>
  <w:p w14:paraId="0FA668FE" w14:textId="77777777" w:rsidR="00527BD4" w:rsidRDefault="00527BD4" w:rsidP="008C356D"/>
  <w:p w14:paraId="7E1686E0" w14:textId="77777777" w:rsidR="00527BD4" w:rsidRPr="00740712" w:rsidRDefault="00527BD4" w:rsidP="008C356D"/>
  <w:p w14:paraId="41413ED4" w14:textId="77777777" w:rsidR="00527BD4" w:rsidRPr="00217880" w:rsidRDefault="00527BD4" w:rsidP="008C356D">
    <w:pPr>
      <w:spacing w:line="0" w:lineRule="atLeast"/>
      <w:rPr>
        <w:sz w:val="2"/>
        <w:szCs w:val="2"/>
      </w:rPr>
    </w:pPr>
  </w:p>
  <w:p w14:paraId="7F1423CD" w14:textId="77777777" w:rsidR="00527BD4" w:rsidRDefault="00527BD4" w:rsidP="004F44C2">
    <w:pPr>
      <w:pStyle w:val="Koptekst"/>
      <w:rPr>
        <w:rFonts w:cs="Verdana-Bold"/>
        <w:b/>
        <w:bCs/>
        <w:smallCaps/>
        <w:szCs w:val="18"/>
      </w:rPr>
    </w:pPr>
  </w:p>
  <w:p w14:paraId="42AE790B" w14:textId="77777777" w:rsidR="00527BD4" w:rsidRDefault="00527BD4" w:rsidP="004F44C2"/>
  <w:p w14:paraId="3A66615B" w14:textId="77777777" w:rsidR="00527BD4" w:rsidRPr="00740712" w:rsidRDefault="00527BD4" w:rsidP="004F44C2"/>
  <w:p w14:paraId="04B1A90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648FC" w14:paraId="07DA5DF2" w14:textId="77777777" w:rsidTr="00751A6A">
      <w:trPr>
        <w:trHeight w:val="2636"/>
      </w:trPr>
      <w:tc>
        <w:tcPr>
          <w:tcW w:w="737" w:type="dxa"/>
          <w:shd w:val="clear" w:color="auto" w:fill="auto"/>
        </w:tcPr>
        <w:p w14:paraId="201ECFD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917C8DD" w14:textId="77777777" w:rsidR="00527BD4" w:rsidRDefault="0002582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28BADA1" wp14:editId="7390F56B">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0819FC1" w14:textId="77777777" w:rsidR="007269E3" w:rsidRDefault="007269E3" w:rsidP="00651CEE">
          <w:pPr>
            <w:framePr w:w="6340" w:h="2750" w:hRule="exact" w:hSpace="180" w:wrap="around" w:vAnchor="page" w:hAnchor="text" w:x="3873" w:y="-140"/>
            <w:spacing w:line="240" w:lineRule="auto"/>
          </w:pPr>
        </w:p>
      </w:tc>
    </w:tr>
  </w:tbl>
  <w:p w14:paraId="5F52D48C" w14:textId="77777777" w:rsidR="00527BD4" w:rsidRDefault="00527BD4" w:rsidP="00D0609E">
    <w:pPr>
      <w:framePr w:w="6340" w:h="2750" w:hRule="exact" w:hSpace="180" w:wrap="around" w:vAnchor="page" w:hAnchor="text" w:x="3873" w:y="-140"/>
    </w:pPr>
  </w:p>
  <w:p w14:paraId="07B0D6B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648FC" w:rsidRPr="00FF18F1" w14:paraId="5E3F21D1" w14:textId="77777777" w:rsidTr="00A50CF6">
      <w:tc>
        <w:tcPr>
          <w:tcW w:w="2160" w:type="dxa"/>
          <w:shd w:val="clear" w:color="auto" w:fill="auto"/>
        </w:tcPr>
        <w:p w14:paraId="2629F02A" w14:textId="77777777" w:rsidR="00527BD4" w:rsidRPr="005819CE" w:rsidRDefault="00025824" w:rsidP="00A50CF6">
          <w:pPr>
            <w:pStyle w:val="Huisstijl-Adres"/>
            <w:rPr>
              <w:b/>
            </w:rPr>
          </w:pPr>
          <w:r>
            <w:rPr>
              <w:b/>
            </w:rPr>
            <w:t>Directoraat-generaal Economie en Digitalisering</w:t>
          </w:r>
          <w:r w:rsidRPr="005819CE">
            <w:rPr>
              <w:b/>
            </w:rPr>
            <w:br/>
          </w:r>
          <w:r>
            <w:t>Directie Algemene Economische Politiek</w:t>
          </w:r>
        </w:p>
        <w:p w14:paraId="31EF5240" w14:textId="77777777" w:rsidR="00527BD4" w:rsidRPr="00BE5ED9" w:rsidRDefault="00025824" w:rsidP="00A50CF6">
          <w:pPr>
            <w:pStyle w:val="Huisstijl-Adres"/>
          </w:pPr>
          <w:r>
            <w:rPr>
              <w:b/>
            </w:rPr>
            <w:t>Bezoekadres</w:t>
          </w:r>
          <w:r>
            <w:rPr>
              <w:b/>
            </w:rPr>
            <w:br/>
          </w:r>
          <w:r>
            <w:t>Bezuidenhoutseweg 73</w:t>
          </w:r>
          <w:r w:rsidRPr="005819CE">
            <w:br/>
          </w:r>
          <w:r>
            <w:t>2594 AC Den Haag</w:t>
          </w:r>
        </w:p>
        <w:p w14:paraId="453336AB" w14:textId="77777777" w:rsidR="00EF495B" w:rsidRDefault="00025824" w:rsidP="0098788A">
          <w:pPr>
            <w:pStyle w:val="Huisstijl-Adres"/>
          </w:pPr>
          <w:r>
            <w:rPr>
              <w:b/>
            </w:rPr>
            <w:t>Postadres</w:t>
          </w:r>
          <w:r>
            <w:rPr>
              <w:b/>
            </w:rPr>
            <w:br/>
          </w:r>
          <w:r>
            <w:t>Postbus 20401</w:t>
          </w:r>
          <w:r w:rsidRPr="005819CE">
            <w:br/>
            <w:t>2500 E</w:t>
          </w:r>
          <w:r>
            <w:t>K</w:t>
          </w:r>
          <w:r w:rsidRPr="005819CE">
            <w:t xml:space="preserve"> Den Haag</w:t>
          </w:r>
        </w:p>
        <w:p w14:paraId="58C51AA8" w14:textId="77777777" w:rsidR="00EF495B" w:rsidRPr="005B3814" w:rsidRDefault="00025824" w:rsidP="0098788A">
          <w:pPr>
            <w:pStyle w:val="Huisstijl-Adres"/>
          </w:pPr>
          <w:r>
            <w:rPr>
              <w:b/>
            </w:rPr>
            <w:t>Overheidsidentificatienr</w:t>
          </w:r>
          <w:r>
            <w:rPr>
              <w:b/>
            </w:rPr>
            <w:br/>
          </w:r>
          <w:r w:rsidRPr="005B3814">
            <w:t>00000001003214369000</w:t>
          </w:r>
        </w:p>
        <w:p w14:paraId="4B3C2AB4" w14:textId="31BBCF73" w:rsidR="00527BD4" w:rsidRPr="00FF18F1" w:rsidRDefault="0002582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5648FC" w:rsidRPr="00FF18F1" w14:paraId="444344D4" w14:textId="77777777" w:rsidTr="002836CA">
      <w:trPr>
        <w:trHeight w:hRule="exact" w:val="80"/>
      </w:trPr>
      <w:tc>
        <w:tcPr>
          <w:tcW w:w="2160" w:type="dxa"/>
          <w:shd w:val="clear" w:color="auto" w:fill="auto"/>
        </w:tcPr>
        <w:p w14:paraId="37013461" w14:textId="77777777" w:rsidR="00527BD4" w:rsidRPr="002836CA" w:rsidRDefault="00527BD4" w:rsidP="00A50CF6"/>
      </w:tc>
    </w:tr>
    <w:tr w:rsidR="005648FC" w14:paraId="288DEA5B" w14:textId="77777777" w:rsidTr="00A50CF6">
      <w:tc>
        <w:tcPr>
          <w:tcW w:w="2160" w:type="dxa"/>
          <w:shd w:val="clear" w:color="auto" w:fill="auto"/>
        </w:tcPr>
        <w:p w14:paraId="63B45FD1" w14:textId="77777777" w:rsidR="000C0163" w:rsidRPr="005819CE" w:rsidRDefault="00025824" w:rsidP="000C0163">
          <w:pPr>
            <w:pStyle w:val="Huisstijl-Kopje"/>
          </w:pPr>
          <w:r>
            <w:t>Ons kenmerk</w:t>
          </w:r>
          <w:r w:rsidRPr="005819CE">
            <w:t xml:space="preserve"> </w:t>
          </w:r>
        </w:p>
        <w:p w14:paraId="5D8FD8E8" w14:textId="5066C835" w:rsidR="00527BD4" w:rsidRPr="005819CE" w:rsidRDefault="00025824" w:rsidP="00FF18F1">
          <w:pPr>
            <w:pStyle w:val="Huisstijl-Gegeven"/>
          </w:pPr>
          <w:r>
            <w:t>DGED-AEP</w:t>
          </w:r>
          <w:r w:rsidR="00926AE2">
            <w:t xml:space="preserve"> / </w:t>
          </w:r>
          <w:r>
            <w:t>97548296</w:t>
          </w:r>
        </w:p>
        <w:p w14:paraId="5F739B53" w14:textId="77777777" w:rsidR="00527BD4" w:rsidRPr="005819CE" w:rsidRDefault="00025824" w:rsidP="00A50CF6">
          <w:pPr>
            <w:pStyle w:val="Huisstijl-Kopje"/>
          </w:pPr>
          <w:r>
            <w:t>Bijlage(n)</w:t>
          </w:r>
        </w:p>
        <w:p w14:paraId="711AB490" w14:textId="0908C13F" w:rsidR="00527BD4" w:rsidRPr="005819CE" w:rsidRDefault="00FF18F1" w:rsidP="00A50CF6">
          <w:pPr>
            <w:pStyle w:val="Huisstijl-Gegeven"/>
          </w:pPr>
          <w:r>
            <w:t>2</w:t>
          </w:r>
        </w:p>
      </w:tc>
    </w:tr>
  </w:tbl>
  <w:p w14:paraId="67646A3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648FC" w14:paraId="7D1BD3A2" w14:textId="77777777" w:rsidTr="007610AA">
      <w:trPr>
        <w:trHeight w:val="400"/>
      </w:trPr>
      <w:tc>
        <w:tcPr>
          <w:tcW w:w="7520" w:type="dxa"/>
          <w:gridSpan w:val="2"/>
          <w:shd w:val="clear" w:color="auto" w:fill="auto"/>
        </w:tcPr>
        <w:p w14:paraId="124BB2EC" w14:textId="77777777" w:rsidR="00527BD4" w:rsidRPr="00BC3B53" w:rsidRDefault="00025824" w:rsidP="00A50CF6">
          <w:pPr>
            <w:pStyle w:val="Huisstijl-Retouradres"/>
          </w:pPr>
          <w:r>
            <w:t>&gt; Retouradres Postbus 20401 2500 EK Den Haag</w:t>
          </w:r>
        </w:p>
      </w:tc>
    </w:tr>
    <w:tr w:rsidR="005648FC" w14:paraId="32C640A1" w14:textId="77777777" w:rsidTr="007610AA">
      <w:tc>
        <w:tcPr>
          <w:tcW w:w="7520" w:type="dxa"/>
          <w:gridSpan w:val="2"/>
          <w:shd w:val="clear" w:color="auto" w:fill="auto"/>
        </w:tcPr>
        <w:p w14:paraId="2F92EE21" w14:textId="77777777" w:rsidR="00527BD4" w:rsidRPr="00983E8F" w:rsidRDefault="00527BD4" w:rsidP="00A50CF6">
          <w:pPr>
            <w:pStyle w:val="Huisstijl-Rubricering"/>
          </w:pPr>
        </w:p>
      </w:tc>
    </w:tr>
    <w:tr w:rsidR="005648FC" w14:paraId="713BB187" w14:textId="77777777" w:rsidTr="007610AA">
      <w:trPr>
        <w:trHeight w:hRule="exact" w:val="2440"/>
      </w:trPr>
      <w:tc>
        <w:tcPr>
          <w:tcW w:w="7520" w:type="dxa"/>
          <w:gridSpan w:val="2"/>
          <w:shd w:val="clear" w:color="auto" w:fill="auto"/>
        </w:tcPr>
        <w:p w14:paraId="7AAA35C1" w14:textId="77777777" w:rsidR="00527BD4" w:rsidRDefault="00025824" w:rsidP="00A50CF6">
          <w:pPr>
            <w:pStyle w:val="Huisstijl-NAW"/>
          </w:pPr>
          <w:r>
            <w:t>De Voorzitter van de Tweede Kamer</w:t>
          </w:r>
        </w:p>
        <w:p w14:paraId="6EDD2213" w14:textId="77777777" w:rsidR="005648FC" w:rsidRDefault="00025824">
          <w:pPr>
            <w:pStyle w:val="Huisstijl-NAW"/>
          </w:pPr>
          <w:r>
            <w:t>der Staten-Generaal</w:t>
          </w:r>
        </w:p>
        <w:p w14:paraId="34712193" w14:textId="77777777" w:rsidR="005648FC" w:rsidRDefault="00025824">
          <w:pPr>
            <w:pStyle w:val="Huisstijl-NAW"/>
          </w:pPr>
          <w:r>
            <w:t>Prinses Irenestraat 6</w:t>
          </w:r>
        </w:p>
        <w:p w14:paraId="7321C2D1" w14:textId="287088A0" w:rsidR="005648FC" w:rsidRDefault="00025824">
          <w:pPr>
            <w:pStyle w:val="Huisstijl-NAW"/>
          </w:pPr>
          <w:r>
            <w:t>2595 BD</w:t>
          </w:r>
          <w:r w:rsidR="00FF18F1">
            <w:t xml:space="preserve"> </w:t>
          </w:r>
          <w:r>
            <w:t xml:space="preserve"> DEN HAAG</w:t>
          </w:r>
        </w:p>
      </w:tc>
    </w:tr>
    <w:tr w:rsidR="005648FC" w14:paraId="697658AC" w14:textId="77777777" w:rsidTr="007610AA">
      <w:trPr>
        <w:trHeight w:hRule="exact" w:val="400"/>
      </w:trPr>
      <w:tc>
        <w:tcPr>
          <w:tcW w:w="7520" w:type="dxa"/>
          <w:gridSpan w:val="2"/>
          <w:shd w:val="clear" w:color="auto" w:fill="auto"/>
        </w:tcPr>
        <w:p w14:paraId="1A166D9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648FC" w14:paraId="588BB40C" w14:textId="77777777" w:rsidTr="007610AA">
      <w:trPr>
        <w:trHeight w:val="240"/>
      </w:trPr>
      <w:tc>
        <w:tcPr>
          <w:tcW w:w="900" w:type="dxa"/>
          <w:shd w:val="clear" w:color="auto" w:fill="auto"/>
        </w:tcPr>
        <w:p w14:paraId="7C34A821" w14:textId="77777777" w:rsidR="00527BD4" w:rsidRPr="007709EF" w:rsidRDefault="00025824" w:rsidP="00A50CF6">
          <w:pPr>
            <w:rPr>
              <w:szCs w:val="18"/>
            </w:rPr>
          </w:pPr>
          <w:r>
            <w:rPr>
              <w:szCs w:val="18"/>
            </w:rPr>
            <w:t>Datum</w:t>
          </w:r>
        </w:p>
      </w:tc>
      <w:tc>
        <w:tcPr>
          <w:tcW w:w="6620" w:type="dxa"/>
          <w:shd w:val="clear" w:color="auto" w:fill="auto"/>
        </w:tcPr>
        <w:p w14:paraId="0B22FE8A" w14:textId="119A2B0D" w:rsidR="00527BD4" w:rsidRPr="007709EF" w:rsidRDefault="002836CA" w:rsidP="00A50CF6">
          <w:r>
            <w:t>18 maart 2025</w:t>
          </w:r>
        </w:p>
      </w:tc>
    </w:tr>
    <w:tr w:rsidR="005648FC" w14:paraId="44E9634F" w14:textId="77777777" w:rsidTr="007610AA">
      <w:trPr>
        <w:trHeight w:val="240"/>
      </w:trPr>
      <w:tc>
        <w:tcPr>
          <w:tcW w:w="900" w:type="dxa"/>
          <w:shd w:val="clear" w:color="auto" w:fill="auto"/>
        </w:tcPr>
        <w:p w14:paraId="028707E1" w14:textId="77777777" w:rsidR="00527BD4" w:rsidRPr="007709EF" w:rsidRDefault="00025824" w:rsidP="00A50CF6">
          <w:pPr>
            <w:rPr>
              <w:szCs w:val="18"/>
            </w:rPr>
          </w:pPr>
          <w:r>
            <w:rPr>
              <w:szCs w:val="18"/>
            </w:rPr>
            <w:t>Betreft</w:t>
          </w:r>
        </w:p>
      </w:tc>
      <w:tc>
        <w:tcPr>
          <w:tcW w:w="6620" w:type="dxa"/>
          <w:shd w:val="clear" w:color="auto" w:fill="auto"/>
        </w:tcPr>
        <w:p w14:paraId="1145FC36" w14:textId="77777777" w:rsidR="00527BD4" w:rsidRPr="007709EF" w:rsidRDefault="00025824" w:rsidP="00A50CF6">
          <w:r>
            <w:t>Aanvullende advisering Nationaal Groeifondsprojecten voorjaar 2025 (inclusief reactie kabinet)</w:t>
          </w:r>
        </w:p>
      </w:tc>
    </w:tr>
  </w:tbl>
  <w:p w14:paraId="4893A75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730DC9A">
      <w:start w:val="1"/>
      <w:numFmt w:val="bullet"/>
      <w:pStyle w:val="Lijstopsomteken"/>
      <w:lvlText w:val="•"/>
      <w:lvlJc w:val="left"/>
      <w:pPr>
        <w:tabs>
          <w:tab w:val="num" w:pos="227"/>
        </w:tabs>
        <w:ind w:left="227" w:hanging="227"/>
      </w:pPr>
      <w:rPr>
        <w:rFonts w:ascii="Verdana" w:hAnsi="Verdana" w:hint="default"/>
        <w:sz w:val="18"/>
        <w:szCs w:val="18"/>
      </w:rPr>
    </w:lvl>
    <w:lvl w:ilvl="1" w:tplc="AE4E6306" w:tentative="1">
      <w:start w:val="1"/>
      <w:numFmt w:val="bullet"/>
      <w:lvlText w:val="o"/>
      <w:lvlJc w:val="left"/>
      <w:pPr>
        <w:tabs>
          <w:tab w:val="num" w:pos="1440"/>
        </w:tabs>
        <w:ind w:left="1440" w:hanging="360"/>
      </w:pPr>
      <w:rPr>
        <w:rFonts w:ascii="Courier New" w:hAnsi="Courier New" w:cs="Courier New" w:hint="default"/>
      </w:rPr>
    </w:lvl>
    <w:lvl w:ilvl="2" w:tplc="623E7820" w:tentative="1">
      <w:start w:val="1"/>
      <w:numFmt w:val="bullet"/>
      <w:lvlText w:val=""/>
      <w:lvlJc w:val="left"/>
      <w:pPr>
        <w:tabs>
          <w:tab w:val="num" w:pos="2160"/>
        </w:tabs>
        <w:ind w:left="2160" w:hanging="360"/>
      </w:pPr>
      <w:rPr>
        <w:rFonts w:ascii="Wingdings" w:hAnsi="Wingdings" w:hint="default"/>
      </w:rPr>
    </w:lvl>
    <w:lvl w:ilvl="3" w:tplc="F99A1E7E" w:tentative="1">
      <w:start w:val="1"/>
      <w:numFmt w:val="bullet"/>
      <w:lvlText w:val=""/>
      <w:lvlJc w:val="left"/>
      <w:pPr>
        <w:tabs>
          <w:tab w:val="num" w:pos="2880"/>
        </w:tabs>
        <w:ind w:left="2880" w:hanging="360"/>
      </w:pPr>
      <w:rPr>
        <w:rFonts w:ascii="Symbol" w:hAnsi="Symbol" w:hint="default"/>
      </w:rPr>
    </w:lvl>
    <w:lvl w:ilvl="4" w:tplc="0B6683D8" w:tentative="1">
      <w:start w:val="1"/>
      <w:numFmt w:val="bullet"/>
      <w:lvlText w:val="o"/>
      <w:lvlJc w:val="left"/>
      <w:pPr>
        <w:tabs>
          <w:tab w:val="num" w:pos="3600"/>
        </w:tabs>
        <w:ind w:left="3600" w:hanging="360"/>
      </w:pPr>
      <w:rPr>
        <w:rFonts w:ascii="Courier New" w:hAnsi="Courier New" w:cs="Courier New" w:hint="default"/>
      </w:rPr>
    </w:lvl>
    <w:lvl w:ilvl="5" w:tplc="54C44276" w:tentative="1">
      <w:start w:val="1"/>
      <w:numFmt w:val="bullet"/>
      <w:lvlText w:val=""/>
      <w:lvlJc w:val="left"/>
      <w:pPr>
        <w:tabs>
          <w:tab w:val="num" w:pos="4320"/>
        </w:tabs>
        <w:ind w:left="4320" w:hanging="360"/>
      </w:pPr>
      <w:rPr>
        <w:rFonts w:ascii="Wingdings" w:hAnsi="Wingdings" w:hint="default"/>
      </w:rPr>
    </w:lvl>
    <w:lvl w:ilvl="6" w:tplc="2CBC808C" w:tentative="1">
      <w:start w:val="1"/>
      <w:numFmt w:val="bullet"/>
      <w:lvlText w:val=""/>
      <w:lvlJc w:val="left"/>
      <w:pPr>
        <w:tabs>
          <w:tab w:val="num" w:pos="5040"/>
        </w:tabs>
        <w:ind w:left="5040" w:hanging="360"/>
      </w:pPr>
      <w:rPr>
        <w:rFonts w:ascii="Symbol" w:hAnsi="Symbol" w:hint="default"/>
      </w:rPr>
    </w:lvl>
    <w:lvl w:ilvl="7" w:tplc="DA2C5ED8" w:tentative="1">
      <w:start w:val="1"/>
      <w:numFmt w:val="bullet"/>
      <w:lvlText w:val="o"/>
      <w:lvlJc w:val="left"/>
      <w:pPr>
        <w:tabs>
          <w:tab w:val="num" w:pos="5760"/>
        </w:tabs>
        <w:ind w:left="5760" w:hanging="360"/>
      </w:pPr>
      <w:rPr>
        <w:rFonts w:ascii="Courier New" w:hAnsi="Courier New" w:cs="Courier New" w:hint="default"/>
      </w:rPr>
    </w:lvl>
    <w:lvl w:ilvl="8" w:tplc="FC3ACC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2BC9CB2">
      <w:start w:val="1"/>
      <w:numFmt w:val="bullet"/>
      <w:pStyle w:val="Lijstopsomteken2"/>
      <w:lvlText w:val="–"/>
      <w:lvlJc w:val="left"/>
      <w:pPr>
        <w:tabs>
          <w:tab w:val="num" w:pos="227"/>
        </w:tabs>
        <w:ind w:left="227" w:firstLine="0"/>
      </w:pPr>
      <w:rPr>
        <w:rFonts w:ascii="Verdana" w:hAnsi="Verdana" w:hint="default"/>
      </w:rPr>
    </w:lvl>
    <w:lvl w:ilvl="1" w:tplc="D02E119E" w:tentative="1">
      <w:start w:val="1"/>
      <w:numFmt w:val="bullet"/>
      <w:lvlText w:val="o"/>
      <w:lvlJc w:val="left"/>
      <w:pPr>
        <w:tabs>
          <w:tab w:val="num" w:pos="1440"/>
        </w:tabs>
        <w:ind w:left="1440" w:hanging="360"/>
      </w:pPr>
      <w:rPr>
        <w:rFonts w:ascii="Courier New" w:hAnsi="Courier New" w:cs="Courier New" w:hint="default"/>
      </w:rPr>
    </w:lvl>
    <w:lvl w:ilvl="2" w:tplc="26DA04A8" w:tentative="1">
      <w:start w:val="1"/>
      <w:numFmt w:val="bullet"/>
      <w:lvlText w:val=""/>
      <w:lvlJc w:val="left"/>
      <w:pPr>
        <w:tabs>
          <w:tab w:val="num" w:pos="2160"/>
        </w:tabs>
        <w:ind w:left="2160" w:hanging="360"/>
      </w:pPr>
      <w:rPr>
        <w:rFonts w:ascii="Wingdings" w:hAnsi="Wingdings" w:hint="default"/>
      </w:rPr>
    </w:lvl>
    <w:lvl w:ilvl="3" w:tplc="E056DD86" w:tentative="1">
      <w:start w:val="1"/>
      <w:numFmt w:val="bullet"/>
      <w:lvlText w:val=""/>
      <w:lvlJc w:val="left"/>
      <w:pPr>
        <w:tabs>
          <w:tab w:val="num" w:pos="2880"/>
        </w:tabs>
        <w:ind w:left="2880" w:hanging="360"/>
      </w:pPr>
      <w:rPr>
        <w:rFonts w:ascii="Symbol" w:hAnsi="Symbol" w:hint="default"/>
      </w:rPr>
    </w:lvl>
    <w:lvl w:ilvl="4" w:tplc="FE2800A8" w:tentative="1">
      <w:start w:val="1"/>
      <w:numFmt w:val="bullet"/>
      <w:lvlText w:val="o"/>
      <w:lvlJc w:val="left"/>
      <w:pPr>
        <w:tabs>
          <w:tab w:val="num" w:pos="3600"/>
        </w:tabs>
        <w:ind w:left="3600" w:hanging="360"/>
      </w:pPr>
      <w:rPr>
        <w:rFonts w:ascii="Courier New" w:hAnsi="Courier New" w:cs="Courier New" w:hint="default"/>
      </w:rPr>
    </w:lvl>
    <w:lvl w:ilvl="5" w:tplc="ABB27738" w:tentative="1">
      <w:start w:val="1"/>
      <w:numFmt w:val="bullet"/>
      <w:lvlText w:val=""/>
      <w:lvlJc w:val="left"/>
      <w:pPr>
        <w:tabs>
          <w:tab w:val="num" w:pos="4320"/>
        </w:tabs>
        <w:ind w:left="4320" w:hanging="360"/>
      </w:pPr>
      <w:rPr>
        <w:rFonts w:ascii="Wingdings" w:hAnsi="Wingdings" w:hint="default"/>
      </w:rPr>
    </w:lvl>
    <w:lvl w:ilvl="6" w:tplc="42DA127A" w:tentative="1">
      <w:start w:val="1"/>
      <w:numFmt w:val="bullet"/>
      <w:lvlText w:val=""/>
      <w:lvlJc w:val="left"/>
      <w:pPr>
        <w:tabs>
          <w:tab w:val="num" w:pos="5040"/>
        </w:tabs>
        <w:ind w:left="5040" w:hanging="360"/>
      </w:pPr>
      <w:rPr>
        <w:rFonts w:ascii="Symbol" w:hAnsi="Symbol" w:hint="default"/>
      </w:rPr>
    </w:lvl>
    <w:lvl w:ilvl="7" w:tplc="448039B2" w:tentative="1">
      <w:start w:val="1"/>
      <w:numFmt w:val="bullet"/>
      <w:lvlText w:val="o"/>
      <w:lvlJc w:val="left"/>
      <w:pPr>
        <w:tabs>
          <w:tab w:val="num" w:pos="5760"/>
        </w:tabs>
        <w:ind w:left="5760" w:hanging="360"/>
      </w:pPr>
      <w:rPr>
        <w:rFonts w:ascii="Courier New" w:hAnsi="Courier New" w:cs="Courier New" w:hint="default"/>
      </w:rPr>
    </w:lvl>
    <w:lvl w:ilvl="8" w:tplc="E1BECC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91466585">
    <w:abstractNumId w:val="10"/>
  </w:num>
  <w:num w:numId="2" w16cid:durableId="1863935351">
    <w:abstractNumId w:val="7"/>
  </w:num>
  <w:num w:numId="3" w16cid:durableId="533077326">
    <w:abstractNumId w:val="6"/>
  </w:num>
  <w:num w:numId="4" w16cid:durableId="1213809143">
    <w:abstractNumId w:val="5"/>
  </w:num>
  <w:num w:numId="5" w16cid:durableId="2062092637">
    <w:abstractNumId w:val="4"/>
  </w:num>
  <w:num w:numId="6" w16cid:durableId="1419408051">
    <w:abstractNumId w:val="8"/>
  </w:num>
  <w:num w:numId="7" w16cid:durableId="595526526">
    <w:abstractNumId w:val="3"/>
  </w:num>
  <w:num w:numId="8" w16cid:durableId="970937317">
    <w:abstractNumId w:val="2"/>
  </w:num>
  <w:num w:numId="9" w16cid:durableId="382490021">
    <w:abstractNumId w:val="1"/>
  </w:num>
  <w:num w:numId="10" w16cid:durableId="1615795013">
    <w:abstractNumId w:val="0"/>
  </w:num>
  <w:num w:numId="11" w16cid:durableId="1312833657">
    <w:abstractNumId w:val="9"/>
  </w:num>
  <w:num w:numId="12" w16cid:durableId="496649250">
    <w:abstractNumId w:val="11"/>
  </w:num>
  <w:num w:numId="13" w16cid:durableId="333921652">
    <w:abstractNumId w:val="13"/>
  </w:num>
  <w:num w:numId="14" w16cid:durableId="181864428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25824"/>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BBE"/>
    <w:rsid w:val="00236CFE"/>
    <w:rsid w:val="002428E3"/>
    <w:rsid w:val="00243031"/>
    <w:rsid w:val="00260BAF"/>
    <w:rsid w:val="002650F7"/>
    <w:rsid w:val="00273F3B"/>
    <w:rsid w:val="00274DB7"/>
    <w:rsid w:val="00275984"/>
    <w:rsid w:val="00280F74"/>
    <w:rsid w:val="002822CA"/>
    <w:rsid w:val="002836CA"/>
    <w:rsid w:val="00286998"/>
    <w:rsid w:val="00291AB7"/>
    <w:rsid w:val="00292EB2"/>
    <w:rsid w:val="0029422B"/>
    <w:rsid w:val="002A07AF"/>
    <w:rsid w:val="002A0938"/>
    <w:rsid w:val="002B153C"/>
    <w:rsid w:val="002B52FC"/>
    <w:rsid w:val="002C2830"/>
    <w:rsid w:val="002D001A"/>
    <w:rsid w:val="002D28E2"/>
    <w:rsid w:val="002D317B"/>
    <w:rsid w:val="002D3587"/>
    <w:rsid w:val="002D502D"/>
    <w:rsid w:val="002E0F69"/>
    <w:rsid w:val="002F5147"/>
    <w:rsid w:val="002F7ABD"/>
    <w:rsid w:val="002F7D0A"/>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331B"/>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48FC"/>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957B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50E3"/>
    <w:rsid w:val="006E7D82"/>
    <w:rsid w:val="006F038F"/>
    <w:rsid w:val="006F0F93"/>
    <w:rsid w:val="006F31F2"/>
    <w:rsid w:val="006F7494"/>
    <w:rsid w:val="006F751F"/>
    <w:rsid w:val="00705433"/>
    <w:rsid w:val="00706CA2"/>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65F5B"/>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4984"/>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36786"/>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87152"/>
    <w:rsid w:val="00A91FA3"/>
    <w:rsid w:val="00A927D3"/>
    <w:rsid w:val="00AA38F4"/>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7187"/>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64DD4"/>
    <w:rsid w:val="00D77870"/>
    <w:rsid w:val="00D80977"/>
    <w:rsid w:val="00D80CCE"/>
    <w:rsid w:val="00D86EEA"/>
    <w:rsid w:val="00D87D03"/>
    <w:rsid w:val="00D9345A"/>
    <w:rsid w:val="00D9360B"/>
    <w:rsid w:val="00D95C88"/>
    <w:rsid w:val="00D97B2E"/>
    <w:rsid w:val="00DA241E"/>
    <w:rsid w:val="00DB36FE"/>
    <w:rsid w:val="00DB533A"/>
    <w:rsid w:val="00DB60AE"/>
    <w:rsid w:val="00DB6307"/>
    <w:rsid w:val="00DD1A36"/>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2FC"/>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3E4B"/>
    <w:rsid w:val="00FC4300"/>
    <w:rsid w:val="00FC7F66"/>
    <w:rsid w:val="00FD5776"/>
    <w:rsid w:val="00FE1CB6"/>
    <w:rsid w:val="00FE486B"/>
    <w:rsid w:val="00FE4F08"/>
    <w:rsid w:val="00FF18F1"/>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771E5"/>
  <w15:docId w15:val="{15D088E4-7028-4A32-8A79-F21A973B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Default">
    <w:name w:val="Default"/>
    <w:rsid w:val="00936786"/>
    <w:pPr>
      <w:autoSpaceDE w:val="0"/>
      <w:autoSpaceDN w:val="0"/>
      <w:adjustRightInd w:val="0"/>
    </w:pPr>
    <w:rPr>
      <w:rFonts w:ascii="Verdana" w:eastAsiaTheme="minorEastAsia" w:hAnsi="Verdana" w:cs="Verdana"/>
      <w:color w:val="000000"/>
      <w:sz w:val="24"/>
      <w:szCs w:val="24"/>
      <w:lang w:val="nl-NL" w:eastAsia="ja-JP"/>
    </w:rPr>
  </w:style>
  <w:style w:type="character" w:styleId="Voetnootmarkering">
    <w:name w:val="footnote reference"/>
    <w:basedOn w:val="Standaardalinea-lettertype"/>
    <w:uiPriority w:val="99"/>
    <w:semiHidden/>
    <w:unhideWhenUsed/>
    <w:rsid w:val="009367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308257">
      <w:bodyDiv w:val="1"/>
      <w:marLeft w:val="0"/>
      <w:marRight w:val="0"/>
      <w:marTop w:val="0"/>
      <w:marBottom w:val="0"/>
      <w:divBdr>
        <w:top w:val="none" w:sz="0" w:space="0" w:color="auto"/>
        <w:left w:val="none" w:sz="0" w:space="0" w:color="auto"/>
        <w:bottom w:val="none" w:sz="0" w:space="0" w:color="auto"/>
        <w:right w:val="none" w:sz="0" w:space="0" w:color="auto"/>
      </w:divBdr>
      <w:divsChild>
        <w:div w:id="331686870">
          <w:marLeft w:val="0"/>
          <w:marRight w:val="0"/>
          <w:marTop w:val="0"/>
          <w:marBottom w:val="0"/>
          <w:divBdr>
            <w:top w:val="none" w:sz="0" w:space="0" w:color="auto"/>
            <w:left w:val="none" w:sz="0" w:space="0" w:color="auto"/>
            <w:bottom w:val="none" w:sz="0" w:space="0" w:color="auto"/>
            <w:right w:val="none" w:sz="0" w:space="0" w:color="auto"/>
          </w:divBdr>
        </w:div>
        <w:div w:id="1505708033">
          <w:marLeft w:val="0"/>
          <w:marRight w:val="0"/>
          <w:marTop w:val="0"/>
          <w:marBottom w:val="0"/>
          <w:divBdr>
            <w:top w:val="none" w:sz="0" w:space="0" w:color="auto"/>
            <w:left w:val="none" w:sz="0" w:space="0" w:color="auto"/>
            <w:bottom w:val="none" w:sz="0" w:space="0" w:color="auto"/>
            <w:right w:val="none" w:sz="0" w:space="0" w:color="auto"/>
          </w:divBdr>
        </w:div>
        <w:div w:id="1738165274">
          <w:marLeft w:val="0"/>
          <w:marRight w:val="0"/>
          <w:marTop w:val="0"/>
          <w:marBottom w:val="0"/>
          <w:divBdr>
            <w:top w:val="none" w:sz="0" w:space="0" w:color="auto"/>
            <w:left w:val="none" w:sz="0" w:space="0" w:color="auto"/>
            <w:bottom w:val="none" w:sz="0" w:space="0" w:color="auto"/>
            <w:right w:val="none" w:sz="0" w:space="0" w:color="auto"/>
          </w:divBdr>
        </w:div>
        <w:div w:id="217743326">
          <w:marLeft w:val="0"/>
          <w:marRight w:val="0"/>
          <w:marTop w:val="0"/>
          <w:marBottom w:val="0"/>
          <w:divBdr>
            <w:top w:val="none" w:sz="0" w:space="0" w:color="auto"/>
            <w:left w:val="none" w:sz="0" w:space="0" w:color="auto"/>
            <w:bottom w:val="none" w:sz="0" w:space="0" w:color="auto"/>
            <w:right w:val="none" w:sz="0" w:space="0" w:color="auto"/>
          </w:divBdr>
        </w:div>
        <w:div w:id="243225332">
          <w:marLeft w:val="0"/>
          <w:marRight w:val="0"/>
          <w:marTop w:val="0"/>
          <w:marBottom w:val="0"/>
          <w:divBdr>
            <w:top w:val="none" w:sz="0" w:space="0" w:color="auto"/>
            <w:left w:val="none" w:sz="0" w:space="0" w:color="auto"/>
            <w:bottom w:val="none" w:sz="0" w:space="0" w:color="auto"/>
            <w:right w:val="none" w:sz="0" w:space="0" w:color="auto"/>
          </w:divBdr>
        </w:div>
        <w:div w:id="1860463608">
          <w:marLeft w:val="0"/>
          <w:marRight w:val="0"/>
          <w:marTop w:val="0"/>
          <w:marBottom w:val="0"/>
          <w:divBdr>
            <w:top w:val="none" w:sz="0" w:space="0" w:color="auto"/>
            <w:left w:val="none" w:sz="0" w:space="0" w:color="auto"/>
            <w:bottom w:val="none" w:sz="0" w:space="0" w:color="auto"/>
            <w:right w:val="none" w:sz="0" w:space="0" w:color="auto"/>
          </w:divBdr>
        </w:div>
        <w:div w:id="627049768">
          <w:marLeft w:val="0"/>
          <w:marRight w:val="0"/>
          <w:marTop w:val="0"/>
          <w:marBottom w:val="0"/>
          <w:divBdr>
            <w:top w:val="none" w:sz="0" w:space="0" w:color="auto"/>
            <w:left w:val="none" w:sz="0" w:space="0" w:color="auto"/>
            <w:bottom w:val="none" w:sz="0" w:space="0" w:color="auto"/>
            <w:right w:val="none" w:sz="0" w:space="0" w:color="auto"/>
          </w:divBdr>
        </w:div>
        <w:div w:id="1256864283">
          <w:marLeft w:val="0"/>
          <w:marRight w:val="0"/>
          <w:marTop w:val="0"/>
          <w:marBottom w:val="0"/>
          <w:divBdr>
            <w:top w:val="none" w:sz="0" w:space="0" w:color="auto"/>
            <w:left w:val="none" w:sz="0" w:space="0" w:color="auto"/>
            <w:bottom w:val="none" w:sz="0" w:space="0" w:color="auto"/>
            <w:right w:val="none" w:sz="0" w:space="0" w:color="auto"/>
          </w:divBdr>
        </w:div>
        <w:div w:id="728840241">
          <w:marLeft w:val="0"/>
          <w:marRight w:val="0"/>
          <w:marTop w:val="0"/>
          <w:marBottom w:val="0"/>
          <w:divBdr>
            <w:top w:val="none" w:sz="0" w:space="0" w:color="auto"/>
            <w:left w:val="none" w:sz="0" w:space="0" w:color="auto"/>
            <w:bottom w:val="none" w:sz="0" w:space="0" w:color="auto"/>
            <w:right w:val="none" w:sz="0" w:space="0" w:color="auto"/>
          </w:divBdr>
        </w:div>
        <w:div w:id="1161114676">
          <w:marLeft w:val="0"/>
          <w:marRight w:val="0"/>
          <w:marTop w:val="0"/>
          <w:marBottom w:val="0"/>
          <w:divBdr>
            <w:top w:val="none" w:sz="0" w:space="0" w:color="auto"/>
            <w:left w:val="none" w:sz="0" w:space="0" w:color="auto"/>
            <w:bottom w:val="none" w:sz="0" w:space="0" w:color="auto"/>
            <w:right w:val="none" w:sz="0" w:space="0" w:color="auto"/>
          </w:divBdr>
        </w:div>
        <w:div w:id="932201343">
          <w:marLeft w:val="0"/>
          <w:marRight w:val="0"/>
          <w:marTop w:val="0"/>
          <w:marBottom w:val="0"/>
          <w:divBdr>
            <w:top w:val="none" w:sz="0" w:space="0" w:color="auto"/>
            <w:left w:val="none" w:sz="0" w:space="0" w:color="auto"/>
            <w:bottom w:val="none" w:sz="0" w:space="0" w:color="auto"/>
            <w:right w:val="none" w:sz="0" w:space="0" w:color="auto"/>
          </w:divBdr>
        </w:div>
        <w:div w:id="1995257085">
          <w:marLeft w:val="0"/>
          <w:marRight w:val="0"/>
          <w:marTop w:val="0"/>
          <w:marBottom w:val="0"/>
          <w:divBdr>
            <w:top w:val="none" w:sz="0" w:space="0" w:color="auto"/>
            <w:left w:val="none" w:sz="0" w:space="0" w:color="auto"/>
            <w:bottom w:val="none" w:sz="0" w:space="0" w:color="auto"/>
            <w:right w:val="none" w:sz="0" w:space="0" w:color="auto"/>
          </w:divBdr>
        </w:div>
        <w:div w:id="1556046403">
          <w:marLeft w:val="0"/>
          <w:marRight w:val="0"/>
          <w:marTop w:val="0"/>
          <w:marBottom w:val="0"/>
          <w:divBdr>
            <w:top w:val="none" w:sz="0" w:space="0" w:color="auto"/>
            <w:left w:val="none" w:sz="0" w:space="0" w:color="auto"/>
            <w:bottom w:val="none" w:sz="0" w:space="0" w:color="auto"/>
            <w:right w:val="none" w:sz="0" w:space="0" w:color="auto"/>
          </w:divBdr>
        </w:div>
        <w:div w:id="1133408403">
          <w:marLeft w:val="0"/>
          <w:marRight w:val="0"/>
          <w:marTop w:val="0"/>
          <w:marBottom w:val="0"/>
          <w:divBdr>
            <w:top w:val="none" w:sz="0" w:space="0" w:color="auto"/>
            <w:left w:val="none" w:sz="0" w:space="0" w:color="auto"/>
            <w:bottom w:val="none" w:sz="0" w:space="0" w:color="auto"/>
            <w:right w:val="none" w:sz="0" w:space="0" w:color="auto"/>
          </w:divBdr>
        </w:div>
        <w:div w:id="1370498634">
          <w:marLeft w:val="0"/>
          <w:marRight w:val="0"/>
          <w:marTop w:val="0"/>
          <w:marBottom w:val="0"/>
          <w:divBdr>
            <w:top w:val="none" w:sz="0" w:space="0" w:color="auto"/>
            <w:left w:val="none" w:sz="0" w:space="0" w:color="auto"/>
            <w:bottom w:val="none" w:sz="0" w:space="0" w:color="auto"/>
            <w:right w:val="none" w:sz="0" w:space="0" w:color="auto"/>
          </w:divBdr>
        </w:div>
        <w:div w:id="1892304368">
          <w:marLeft w:val="0"/>
          <w:marRight w:val="0"/>
          <w:marTop w:val="0"/>
          <w:marBottom w:val="0"/>
          <w:divBdr>
            <w:top w:val="none" w:sz="0" w:space="0" w:color="auto"/>
            <w:left w:val="none" w:sz="0" w:space="0" w:color="auto"/>
            <w:bottom w:val="none" w:sz="0" w:space="0" w:color="auto"/>
            <w:right w:val="none" w:sz="0" w:space="0" w:color="auto"/>
          </w:divBdr>
        </w:div>
        <w:div w:id="922295644">
          <w:marLeft w:val="0"/>
          <w:marRight w:val="0"/>
          <w:marTop w:val="0"/>
          <w:marBottom w:val="0"/>
          <w:divBdr>
            <w:top w:val="none" w:sz="0" w:space="0" w:color="auto"/>
            <w:left w:val="none" w:sz="0" w:space="0" w:color="auto"/>
            <w:bottom w:val="none" w:sz="0" w:space="0" w:color="auto"/>
            <w:right w:val="none" w:sz="0" w:space="0" w:color="auto"/>
          </w:divBdr>
        </w:div>
        <w:div w:id="1663697371">
          <w:marLeft w:val="0"/>
          <w:marRight w:val="0"/>
          <w:marTop w:val="0"/>
          <w:marBottom w:val="0"/>
          <w:divBdr>
            <w:top w:val="none" w:sz="0" w:space="0" w:color="auto"/>
            <w:left w:val="none" w:sz="0" w:space="0" w:color="auto"/>
            <w:bottom w:val="none" w:sz="0" w:space="0" w:color="auto"/>
            <w:right w:val="none" w:sz="0" w:space="0" w:color="auto"/>
          </w:divBdr>
          <w:divsChild>
            <w:div w:id="253127667">
              <w:marLeft w:val="-75"/>
              <w:marRight w:val="0"/>
              <w:marTop w:val="30"/>
              <w:marBottom w:val="30"/>
              <w:divBdr>
                <w:top w:val="none" w:sz="0" w:space="0" w:color="auto"/>
                <w:left w:val="none" w:sz="0" w:space="0" w:color="auto"/>
                <w:bottom w:val="none" w:sz="0" w:space="0" w:color="auto"/>
                <w:right w:val="none" w:sz="0" w:space="0" w:color="auto"/>
              </w:divBdr>
              <w:divsChild>
                <w:div w:id="730006557">
                  <w:marLeft w:val="0"/>
                  <w:marRight w:val="0"/>
                  <w:marTop w:val="0"/>
                  <w:marBottom w:val="0"/>
                  <w:divBdr>
                    <w:top w:val="none" w:sz="0" w:space="0" w:color="auto"/>
                    <w:left w:val="none" w:sz="0" w:space="0" w:color="auto"/>
                    <w:bottom w:val="none" w:sz="0" w:space="0" w:color="auto"/>
                    <w:right w:val="none" w:sz="0" w:space="0" w:color="auto"/>
                  </w:divBdr>
                  <w:divsChild>
                    <w:div w:id="1348409601">
                      <w:marLeft w:val="0"/>
                      <w:marRight w:val="0"/>
                      <w:marTop w:val="0"/>
                      <w:marBottom w:val="0"/>
                      <w:divBdr>
                        <w:top w:val="none" w:sz="0" w:space="0" w:color="auto"/>
                        <w:left w:val="none" w:sz="0" w:space="0" w:color="auto"/>
                        <w:bottom w:val="none" w:sz="0" w:space="0" w:color="auto"/>
                        <w:right w:val="none" w:sz="0" w:space="0" w:color="auto"/>
                      </w:divBdr>
                    </w:div>
                    <w:div w:id="1484199728">
                      <w:marLeft w:val="0"/>
                      <w:marRight w:val="0"/>
                      <w:marTop w:val="0"/>
                      <w:marBottom w:val="0"/>
                      <w:divBdr>
                        <w:top w:val="none" w:sz="0" w:space="0" w:color="auto"/>
                        <w:left w:val="none" w:sz="0" w:space="0" w:color="auto"/>
                        <w:bottom w:val="none" w:sz="0" w:space="0" w:color="auto"/>
                        <w:right w:val="none" w:sz="0" w:space="0" w:color="auto"/>
                      </w:divBdr>
                    </w:div>
                  </w:divsChild>
                </w:div>
                <w:div w:id="16855993">
                  <w:marLeft w:val="0"/>
                  <w:marRight w:val="0"/>
                  <w:marTop w:val="0"/>
                  <w:marBottom w:val="0"/>
                  <w:divBdr>
                    <w:top w:val="none" w:sz="0" w:space="0" w:color="auto"/>
                    <w:left w:val="none" w:sz="0" w:space="0" w:color="auto"/>
                    <w:bottom w:val="none" w:sz="0" w:space="0" w:color="auto"/>
                    <w:right w:val="none" w:sz="0" w:space="0" w:color="auto"/>
                  </w:divBdr>
                  <w:divsChild>
                    <w:div w:id="1426850629">
                      <w:marLeft w:val="0"/>
                      <w:marRight w:val="0"/>
                      <w:marTop w:val="0"/>
                      <w:marBottom w:val="0"/>
                      <w:divBdr>
                        <w:top w:val="none" w:sz="0" w:space="0" w:color="auto"/>
                        <w:left w:val="none" w:sz="0" w:space="0" w:color="auto"/>
                        <w:bottom w:val="none" w:sz="0" w:space="0" w:color="auto"/>
                        <w:right w:val="none" w:sz="0" w:space="0" w:color="auto"/>
                      </w:divBdr>
                    </w:div>
                  </w:divsChild>
                </w:div>
                <w:div w:id="1646857900">
                  <w:marLeft w:val="0"/>
                  <w:marRight w:val="0"/>
                  <w:marTop w:val="0"/>
                  <w:marBottom w:val="0"/>
                  <w:divBdr>
                    <w:top w:val="none" w:sz="0" w:space="0" w:color="auto"/>
                    <w:left w:val="none" w:sz="0" w:space="0" w:color="auto"/>
                    <w:bottom w:val="none" w:sz="0" w:space="0" w:color="auto"/>
                    <w:right w:val="none" w:sz="0" w:space="0" w:color="auto"/>
                  </w:divBdr>
                  <w:divsChild>
                    <w:div w:id="1239168740">
                      <w:marLeft w:val="0"/>
                      <w:marRight w:val="0"/>
                      <w:marTop w:val="0"/>
                      <w:marBottom w:val="0"/>
                      <w:divBdr>
                        <w:top w:val="none" w:sz="0" w:space="0" w:color="auto"/>
                        <w:left w:val="none" w:sz="0" w:space="0" w:color="auto"/>
                        <w:bottom w:val="none" w:sz="0" w:space="0" w:color="auto"/>
                        <w:right w:val="none" w:sz="0" w:space="0" w:color="auto"/>
                      </w:divBdr>
                    </w:div>
                  </w:divsChild>
                </w:div>
                <w:div w:id="1950697289">
                  <w:marLeft w:val="0"/>
                  <w:marRight w:val="0"/>
                  <w:marTop w:val="0"/>
                  <w:marBottom w:val="0"/>
                  <w:divBdr>
                    <w:top w:val="none" w:sz="0" w:space="0" w:color="auto"/>
                    <w:left w:val="none" w:sz="0" w:space="0" w:color="auto"/>
                    <w:bottom w:val="none" w:sz="0" w:space="0" w:color="auto"/>
                    <w:right w:val="none" w:sz="0" w:space="0" w:color="auto"/>
                  </w:divBdr>
                  <w:divsChild>
                    <w:div w:id="2039891316">
                      <w:marLeft w:val="0"/>
                      <w:marRight w:val="0"/>
                      <w:marTop w:val="0"/>
                      <w:marBottom w:val="0"/>
                      <w:divBdr>
                        <w:top w:val="none" w:sz="0" w:space="0" w:color="auto"/>
                        <w:left w:val="none" w:sz="0" w:space="0" w:color="auto"/>
                        <w:bottom w:val="none" w:sz="0" w:space="0" w:color="auto"/>
                        <w:right w:val="none" w:sz="0" w:space="0" w:color="auto"/>
                      </w:divBdr>
                    </w:div>
                    <w:div w:id="199436133">
                      <w:marLeft w:val="0"/>
                      <w:marRight w:val="0"/>
                      <w:marTop w:val="0"/>
                      <w:marBottom w:val="0"/>
                      <w:divBdr>
                        <w:top w:val="none" w:sz="0" w:space="0" w:color="auto"/>
                        <w:left w:val="none" w:sz="0" w:space="0" w:color="auto"/>
                        <w:bottom w:val="none" w:sz="0" w:space="0" w:color="auto"/>
                        <w:right w:val="none" w:sz="0" w:space="0" w:color="auto"/>
                      </w:divBdr>
                    </w:div>
                  </w:divsChild>
                </w:div>
                <w:div w:id="1508398610">
                  <w:marLeft w:val="0"/>
                  <w:marRight w:val="0"/>
                  <w:marTop w:val="0"/>
                  <w:marBottom w:val="0"/>
                  <w:divBdr>
                    <w:top w:val="none" w:sz="0" w:space="0" w:color="auto"/>
                    <w:left w:val="none" w:sz="0" w:space="0" w:color="auto"/>
                    <w:bottom w:val="none" w:sz="0" w:space="0" w:color="auto"/>
                    <w:right w:val="none" w:sz="0" w:space="0" w:color="auto"/>
                  </w:divBdr>
                  <w:divsChild>
                    <w:div w:id="1766733093">
                      <w:marLeft w:val="0"/>
                      <w:marRight w:val="0"/>
                      <w:marTop w:val="0"/>
                      <w:marBottom w:val="0"/>
                      <w:divBdr>
                        <w:top w:val="none" w:sz="0" w:space="0" w:color="auto"/>
                        <w:left w:val="none" w:sz="0" w:space="0" w:color="auto"/>
                        <w:bottom w:val="none" w:sz="0" w:space="0" w:color="auto"/>
                        <w:right w:val="none" w:sz="0" w:space="0" w:color="auto"/>
                      </w:divBdr>
                    </w:div>
                  </w:divsChild>
                </w:div>
                <w:div w:id="492525808">
                  <w:marLeft w:val="0"/>
                  <w:marRight w:val="0"/>
                  <w:marTop w:val="0"/>
                  <w:marBottom w:val="0"/>
                  <w:divBdr>
                    <w:top w:val="none" w:sz="0" w:space="0" w:color="auto"/>
                    <w:left w:val="none" w:sz="0" w:space="0" w:color="auto"/>
                    <w:bottom w:val="none" w:sz="0" w:space="0" w:color="auto"/>
                    <w:right w:val="none" w:sz="0" w:space="0" w:color="auto"/>
                  </w:divBdr>
                  <w:divsChild>
                    <w:div w:id="102193823">
                      <w:marLeft w:val="0"/>
                      <w:marRight w:val="0"/>
                      <w:marTop w:val="0"/>
                      <w:marBottom w:val="0"/>
                      <w:divBdr>
                        <w:top w:val="none" w:sz="0" w:space="0" w:color="auto"/>
                        <w:left w:val="none" w:sz="0" w:space="0" w:color="auto"/>
                        <w:bottom w:val="none" w:sz="0" w:space="0" w:color="auto"/>
                        <w:right w:val="none" w:sz="0" w:space="0" w:color="auto"/>
                      </w:divBdr>
                    </w:div>
                  </w:divsChild>
                </w:div>
                <w:div w:id="50618305">
                  <w:marLeft w:val="0"/>
                  <w:marRight w:val="0"/>
                  <w:marTop w:val="0"/>
                  <w:marBottom w:val="0"/>
                  <w:divBdr>
                    <w:top w:val="none" w:sz="0" w:space="0" w:color="auto"/>
                    <w:left w:val="none" w:sz="0" w:space="0" w:color="auto"/>
                    <w:bottom w:val="none" w:sz="0" w:space="0" w:color="auto"/>
                    <w:right w:val="none" w:sz="0" w:space="0" w:color="auto"/>
                  </w:divBdr>
                  <w:divsChild>
                    <w:div w:id="536359192">
                      <w:marLeft w:val="0"/>
                      <w:marRight w:val="0"/>
                      <w:marTop w:val="0"/>
                      <w:marBottom w:val="0"/>
                      <w:divBdr>
                        <w:top w:val="none" w:sz="0" w:space="0" w:color="auto"/>
                        <w:left w:val="none" w:sz="0" w:space="0" w:color="auto"/>
                        <w:bottom w:val="none" w:sz="0" w:space="0" w:color="auto"/>
                        <w:right w:val="none" w:sz="0" w:space="0" w:color="auto"/>
                      </w:divBdr>
                    </w:div>
                  </w:divsChild>
                </w:div>
                <w:div w:id="677537567">
                  <w:marLeft w:val="0"/>
                  <w:marRight w:val="0"/>
                  <w:marTop w:val="0"/>
                  <w:marBottom w:val="0"/>
                  <w:divBdr>
                    <w:top w:val="none" w:sz="0" w:space="0" w:color="auto"/>
                    <w:left w:val="none" w:sz="0" w:space="0" w:color="auto"/>
                    <w:bottom w:val="none" w:sz="0" w:space="0" w:color="auto"/>
                    <w:right w:val="none" w:sz="0" w:space="0" w:color="auto"/>
                  </w:divBdr>
                  <w:divsChild>
                    <w:div w:id="173420652">
                      <w:marLeft w:val="0"/>
                      <w:marRight w:val="0"/>
                      <w:marTop w:val="0"/>
                      <w:marBottom w:val="0"/>
                      <w:divBdr>
                        <w:top w:val="none" w:sz="0" w:space="0" w:color="auto"/>
                        <w:left w:val="none" w:sz="0" w:space="0" w:color="auto"/>
                        <w:bottom w:val="none" w:sz="0" w:space="0" w:color="auto"/>
                        <w:right w:val="none" w:sz="0" w:space="0" w:color="auto"/>
                      </w:divBdr>
                    </w:div>
                  </w:divsChild>
                </w:div>
                <w:div w:id="289871411">
                  <w:marLeft w:val="0"/>
                  <w:marRight w:val="0"/>
                  <w:marTop w:val="0"/>
                  <w:marBottom w:val="0"/>
                  <w:divBdr>
                    <w:top w:val="none" w:sz="0" w:space="0" w:color="auto"/>
                    <w:left w:val="none" w:sz="0" w:space="0" w:color="auto"/>
                    <w:bottom w:val="none" w:sz="0" w:space="0" w:color="auto"/>
                    <w:right w:val="none" w:sz="0" w:space="0" w:color="auto"/>
                  </w:divBdr>
                  <w:divsChild>
                    <w:div w:id="921917446">
                      <w:marLeft w:val="0"/>
                      <w:marRight w:val="0"/>
                      <w:marTop w:val="0"/>
                      <w:marBottom w:val="0"/>
                      <w:divBdr>
                        <w:top w:val="none" w:sz="0" w:space="0" w:color="auto"/>
                        <w:left w:val="none" w:sz="0" w:space="0" w:color="auto"/>
                        <w:bottom w:val="none" w:sz="0" w:space="0" w:color="auto"/>
                        <w:right w:val="none" w:sz="0" w:space="0" w:color="auto"/>
                      </w:divBdr>
                    </w:div>
                  </w:divsChild>
                </w:div>
                <w:div w:id="1708989394">
                  <w:marLeft w:val="0"/>
                  <w:marRight w:val="0"/>
                  <w:marTop w:val="0"/>
                  <w:marBottom w:val="0"/>
                  <w:divBdr>
                    <w:top w:val="none" w:sz="0" w:space="0" w:color="auto"/>
                    <w:left w:val="none" w:sz="0" w:space="0" w:color="auto"/>
                    <w:bottom w:val="none" w:sz="0" w:space="0" w:color="auto"/>
                    <w:right w:val="none" w:sz="0" w:space="0" w:color="auto"/>
                  </w:divBdr>
                  <w:divsChild>
                    <w:div w:id="618071106">
                      <w:marLeft w:val="0"/>
                      <w:marRight w:val="0"/>
                      <w:marTop w:val="0"/>
                      <w:marBottom w:val="0"/>
                      <w:divBdr>
                        <w:top w:val="none" w:sz="0" w:space="0" w:color="auto"/>
                        <w:left w:val="none" w:sz="0" w:space="0" w:color="auto"/>
                        <w:bottom w:val="none" w:sz="0" w:space="0" w:color="auto"/>
                        <w:right w:val="none" w:sz="0" w:space="0" w:color="auto"/>
                      </w:divBdr>
                    </w:div>
                  </w:divsChild>
                </w:div>
                <w:div w:id="1397436460">
                  <w:marLeft w:val="0"/>
                  <w:marRight w:val="0"/>
                  <w:marTop w:val="0"/>
                  <w:marBottom w:val="0"/>
                  <w:divBdr>
                    <w:top w:val="none" w:sz="0" w:space="0" w:color="auto"/>
                    <w:left w:val="none" w:sz="0" w:space="0" w:color="auto"/>
                    <w:bottom w:val="none" w:sz="0" w:space="0" w:color="auto"/>
                    <w:right w:val="none" w:sz="0" w:space="0" w:color="auto"/>
                  </w:divBdr>
                  <w:divsChild>
                    <w:div w:id="1241676697">
                      <w:marLeft w:val="0"/>
                      <w:marRight w:val="0"/>
                      <w:marTop w:val="0"/>
                      <w:marBottom w:val="0"/>
                      <w:divBdr>
                        <w:top w:val="none" w:sz="0" w:space="0" w:color="auto"/>
                        <w:left w:val="none" w:sz="0" w:space="0" w:color="auto"/>
                        <w:bottom w:val="none" w:sz="0" w:space="0" w:color="auto"/>
                        <w:right w:val="none" w:sz="0" w:space="0" w:color="auto"/>
                      </w:divBdr>
                    </w:div>
                  </w:divsChild>
                </w:div>
                <w:div w:id="1839467430">
                  <w:marLeft w:val="0"/>
                  <w:marRight w:val="0"/>
                  <w:marTop w:val="0"/>
                  <w:marBottom w:val="0"/>
                  <w:divBdr>
                    <w:top w:val="none" w:sz="0" w:space="0" w:color="auto"/>
                    <w:left w:val="none" w:sz="0" w:space="0" w:color="auto"/>
                    <w:bottom w:val="none" w:sz="0" w:space="0" w:color="auto"/>
                    <w:right w:val="none" w:sz="0" w:space="0" w:color="auto"/>
                  </w:divBdr>
                  <w:divsChild>
                    <w:div w:id="276376445">
                      <w:marLeft w:val="0"/>
                      <w:marRight w:val="0"/>
                      <w:marTop w:val="0"/>
                      <w:marBottom w:val="0"/>
                      <w:divBdr>
                        <w:top w:val="none" w:sz="0" w:space="0" w:color="auto"/>
                        <w:left w:val="none" w:sz="0" w:space="0" w:color="auto"/>
                        <w:bottom w:val="none" w:sz="0" w:space="0" w:color="auto"/>
                        <w:right w:val="none" w:sz="0" w:space="0" w:color="auto"/>
                      </w:divBdr>
                    </w:div>
                  </w:divsChild>
                </w:div>
                <w:div w:id="1297638400">
                  <w:marLeft w:val="0"/>
                  <w:marRight w:val="0"/>
                  <w:marTop w:val="0"/>
                  <w:marBottom w:val="0"/>
                  <w:divBdr>
                    <w:top w:val="none" w:sz="0" w:space="0" w:color="auto"/>
                    <w:left w:val="none" w:sz="0" w:space="0" w:color="auto"/>
                    <w:bottom w:val="none" w:sz="0" w:space="0" w:color="auto"/>
                    <w:right w:val="none" w:sz="0" w:space="0" w:color="auto"/>
                  </w:divBdr>
                  <w:divsChild>
                    <w:div w:id="1647471255">
                      <w:marLeft w:val="0"/>
                      <w:marRight w:val="0"/>
                      <w:marTop w:val="0"/>
                      <w:marBottom w:val="0"/>
                      <w:divBdr>
                        <w:top w:val="none" w:sz="0" w:space="0" w:color="auto"/>
                        <w:left w:val="none" w:sz="0" w:space="0" w:color="auto"/>
                        <w:bottom w:val="none" w:sz="0" w:space="0" w:color="auto"/>
                        <w:right w:val="none" w:sz="0" w:space="0" w:color="auto"/>
                      </w:divBdr>
                    </w:div>
                  </w:divsChild>
                </w:div>
                <w:div w:id="5208112">
                  <w:marLeft w:val="0"/>
                  <w:marRight w:val="0"/>
                  <w:marTop w:val="0"/>
                  <w:marBottom w:val="0"/>
                  <w:divBdr>
                    <w:top w:val="none" w:sz="0" w:space="0" w:color="auto"/>
                    <w:left w:val="none" w:sz="0" w:space="0" w:color="auto"/>
                    <w:bottom w:val="none" w:sz="0" w:space="0" w:color="auto"/>
                    <w:right w:val="none" w:sz="0" w:space="0" w:color="auto"/>
                  </w:divBdr>
                  <w:divsChild>
                    <w:div w:id="1728264065">
                      <w:marLeft w:val="0"/>
                      <w:marRight w:val="0"/>
                      <w:marTop w:val="0"/>
                      <w:marBottom w:val="0"/>
                      <w:divBdr>
                        <w:top w:val="none" w:sz="0" w:space="0" w:color="auto"/>
                        <w:left w:val="none" w:sz="0" w:space="0" w:color="auto"/>
                        <w:bottom w:val="none" w:sz="0" w:space="0" w:color="auto"/>
                        <w:right w:val="none" w:sz="0" w:space="0" w:color="auto"/>
                      </w:divBdr>
                    </w:div>
                    <w:div w:id="2054575704">
                      <w:marLeft w:val="0"/>
                      <w:marRight w:val="0"/>
                      <w:marTop w:val="0"/>
                      <w:marBottom w:val="0"/>
                      <w:divBdr>
                        <w:top w:val="none" w:sz="0" w:space="0" w:color="auto"/>
                        <w:left w:val="none" w:sz="0" w:space="0" w:color="auto"/>
                        <w:bottom w:val="none" w:sz="0" w:space="0" w:color="auto"/>
                        <w:right w:val="none" w:sz="0" w:space="0" w:color="auto"/>
                      </w:divBdr>
                    </w:div>
                  </w:divsChild>
                </w:div>
                <w:div w:id="484518002">
                  <w:marLeft w:val="0"/>
                  <w:marRight w:val="0"/>
                  <w:marTop w:val="0"/>
                  <w:marBottom w:val="0"/>
                  <w:divBdr>
                    <w:top w:val="none" w:sz="0" w:space="0" w:color="auto"/>
                    <w:left w:val="none" w:sz="0" w:space="0" w:color="auto"/>
                    <w:bottom w:val="none" w:sz="0" w:space="0" w:color="auto"/>
                    <w:right w:val="none" w:sz="0" w:space="0" w:color="auto"/>
                  </w:divBdr>
                  <w:divsChild>
                    <w:div w:id="1874267164">
                      <w:marLeft w:val="0"/>
                      <w:marRight w:val="0"/>
                      <w:marTop w:val="0"/>
                      <w:marBottom w:val="0"/>
                      <w:divBdr>
                        <w:top w:val="none" w:sz="0" w:space="0" w:color="auto"/>
                        <w:left w:val="none" w:sz="0" w:space="0" w:color="auto"/>
                        <w:bottom w:val="none" w:sz="0" w:space="0" w:color="auto"/>
                        <w:right w:val="none" w:sz="0" w:space="0" w:color="auto"/>
                      </w:divBdr>
                    </w:div>
                  </w:divsChild>
                </w:div>
                <w:div w:id="449672154">
                  <w:marLeft w:val="0"/>
                  <w:marRight w:val="0"/>
                  <w:marTop w:val="0"/>
                  <w:marBottom w:val="0"/>
                  <w:divBdr>
                    <w:top w:val="none" w:sz="0" w:space="0" w:color="auto"/>
                    <w:left w:val="none" w:sz="0" w:space="0" w:color="auto"/>
                    <w:bottom w:val="none" w:sz="0" w:space="0" w:color="auto"/>
                    <w:right w:val="none" w:sz="0" w:space="0" w:color="auto"/>
                  </w:divBdr>
                  <w:divsChild>
                    <w:div w:id="711730052">
                      <w:marLeft w:val="0"/>
                      <w:marRight w:val="0"/>
                      <w:marTop w:val="0"/>
                      <w:marBottom w:val="0"/>
                      <w:divBdr>
                        <w:top w:val="none" w:sz="0" w:space="0" w:color="auto"/>
                        <w:left w:val="none" w:sz="0" w:space="0" w:color="auto"/>
                        <w:bottom w:val="none" w:sz="0" w:space="0" w:color="auto"/>
                        <w:right w:val="none" w:sz="0" w:space="0" w:color="auto"/>
                      </w:divBdr>
                    </w:div>
                  </w:divsChild>
                </w:div>
                <w:div w:id="948314711">
                  <w:marLeft w:val="0"/>
                  <w:marRight w:val="0"/>
                  <w:marTop w:val="0"/>
                  <w:marBottom w:val="0"/>
                  <w:divBdr>
                    <w:top w:val="none" w:sz="0" w:space="0" w:color="auto"/>
                    <w:left w:val="none" w:sz="0" w:space="0" w:color="auto"/>
                    <w:bottom w:val="none" w:sz="0" w:space="0" w:color="auto"/>
                    <w:right w:val="none" w:sz="0" w:space="0" w:color="auto"/>
                  </w:divBdr>
                  <w:divsChild>
                    <w:div w:id="656885059">
                      <w:marLeft w:val="0"/>
                      <w:marRight w:val="0"/>
                      <w:marTop w:val="0"/>
                      <w:marBottom w:val="0"/>
                      <w:divBdr>
                        <w:top w:val="none" w:sz="0" w:space="0" w:color="auto"/>
                        <w:left w:val="none" w:sz="0" w:space="0" w:color="auto"/>
                        <w:bottom w:val="none" w:sz="0" w:space="0" w:color="auto"/>
                        <w:right w:val="none" w:sz="0" w:space="0" w:color="auto"/>
                      </w:divBdr>
                    </w:div>
                  </w:divsChild>
                </w:div>
                <w:div w:id="723451965">
                  <w:marLeft w:val="0"/>
                  <w:marRight w:val="0"/>
                  <w:marTop w:val="0"/>
                  <w:marBottom w:val="0"/>
                  <w:divBdr>
                    <w:top w:val="none" w:sz="0" w:space="0" w:color="auto"/>
                    <w:left w:val="none" w:sz="0" w:space="0" w:color="auto"/>
                    <w:bottom w:val="none" w:sz="0" w:space="0" w:color="auto"/>
                    <w:right w:val="none" w:sz="0" w:space="0" w:color="auto"/>
                  </w:divBdr>
                  <w:divsChild>
                    <w:div w:id="72238162">
                      <w:marLeft w:val="0"/>
                      <w:marRight w:val="0"/>
                      <w:marTop w:val="0"/>
                      <w:marBottom w:val="0"/>
                      <w:divBdr>
                        <w:top w:val="none" w:sz="0" w:space="0" w:color="auto"/>
                        <w:left w:val="none" w:sz="0" w:space="0" w:color="auto"/>
                        <w:bottom w:val="none" w:sz="0" w:space="0" w:color="auto"/>
                        <w:right w:val="none" w:sz="0" w:space="0" w:color="auto"/>
                      </w:divBdr>
                    </w:div>
                  </w:divsChild>
                </w:div>
                <w:div w:id="1816222469">
                  <w:marLeft w:val="0"/>
                  <w:marRight w:val="0"/>
                  <w:marTop w:val="0"/>
                  <w:marBottom w:val="0"/>
                  <w:divBdr>
                    <w:top w:val="none" w:sz="0" w:space="0" w:color="auto"/>
                    <w:left w:val="none" w:sz="0" w:space="0" w:color="auto"/>
                    <w:bottom w:val="none" w:sz="0" w:space="0" w:color="auto"/>
                    <w:right w:val="none" w:sz="0" w:space="0" w:color="auto"/>
                  </w:divBdr>
                  <w:divsChild>
                    <w:div w:id="480344801">
                      <w:marLeft w:val="0"/>
                      <w:marRight w:val="0"/>
                      <w:marTop w:val="0"/>
                      <w:marBottom w:val="0"/>
                      <w:divBdr>
                        <w:top w:val="none" w:sz="0" w:space="0" w:color="auto"/>
                        <w:left w:val="none" w:sz="0" w:space="0" w:color="auto"/>
                        <w:bottom w:val="none" w:sz="0" w:space="0" w:color="auto"/>
                        <w:right w:val="none" w:sz="0" w:space="0" w:color="auto"/>
                      </w:divBdr>
                    </w:div>
                    <w:div w:id="845173819">
                      <w:marLeft w:val="0"/>
                      <w:marRight w:val="0"/>
                      <w:marTop w:val="0"/>
                      <w:marBottom w:val="0"/>
                      <w:divBdr>
                        <w:top w:val="none" w:sz="0" w:space="0" w:color="auto"/>
                        <w:left w:val="none" w:sz="0" w:space="0" w:color="auto"/>
                        <w:bottom w:val="none" w:sz="0" w:space="0" w:color="auto"/>
                        <w:right w:val="none" w:sz="0" w:space="0" w:color="auto"/>
                      </w:divBdr>
                    </w:div>
                  </w:divsChild>
                </w:div>
                <w:div w:id="236283528">
                  <w:marLeft w:val="0"/>
                  <w:marRight w:val="0"/>
                  <w:marTop w:val="0"/>
                  <w:marBottom w:val="0"/>
                  <w:divBdr>
                    <w:top w:val="none" w:sz="0" w:space="0" w:color="auto"/>
                    <w:left w:val="none" w:sz="0" w:space="0" w:color="auto"/>
                    <w:bottom w:val="none" w:sz="0" w:space="0" w:color="auto"/>
                    <w:right w:val="none" w:sz="0" w:space="0" w:color="auto"/>
                  </w:divBdr>
                  <w:divsChild>
                    <w:div w:id="2068413165">
                      <w:marLeft w:val="0"/>
                      <w:marRight w:val="0"/>
                      <w:marTop w:val="0"/>
                      <w:marBottom w:val="0"/>
                      <w:divBdr>
                        <w:top w:val="none" w:sz="0" w:space="0" w:color="auto"/>
                        <w:left w:val="none" w:sz="0" w:space="0" w:color="auto"/>
                        <w:bottom w:val="none" w:sz="0" w:space="0" w:color="auto"/>
                        <w:right w:val="none" w:sz="0" w:space="0" w:color="auto"/>
                      </w:divBdr>
                    </w:div>
                  </w:divsChild>
                </w:div>
                <w:div w:id="1689525310">
                  <w:marLeft w:val="0"/>
                  <w:marRight w:val="0"/>
                  <w:marTop w:val="0"/>
                  <w:marBottom w:val="0"/>
                  <w:divBdr>
                    <w:top w:val="none" w:sz="0" w:space="0" w:color="auto"/>
                    <w:left w:val="none" w:sz="0" w:space="0" w:color="auto"/>
                    <w:bottom w:val="none" w:sz="0" w:space="0" w:color="auto"/>
                    <w:right w:val="none" w:sz="0" w:space="0" w:color="auto"/>
                  </w:divBdr>
                  <w:divsChild>
                    <w:div w:id="466774950">
                      <w:marLeft w:val="0"/>
                      <w:marRight w:val="0"/>
                      <w:marTop w:val="0"/>
                      <w:marBottom w:val="0"/>
                      <w:divBdr>
                        <w:top w:val="none" w:sz="0" w:space="0" w:color="auto"/>
                        <w:left w:val="none" w:sz="0" w:space="0" w:color="auto"/>
                        <w:bottom w:val="none" w:sz="0" w:space="0" w:color="auto"/>
                        <w:right w:val="none" w:sz="0" w:space="0" w:color="auto"/>
                      </w:divBdr>
                    </w:div>
                  </w:divsChild>
                </w:div>
                <w:div w:id="144443626">
                  <w:marLeft w:val="0"/>
                  <w:marRight w:val="0"/>
                  <w:marTop w:val="0"/>
                  <w:marBottom w:val="0"/>
                  <w:divBdr>
                    <w:top w:val="none" w:sz="0" w:space="0" w:color="auto"/>
                    <w:left w:val="none" w:sz="0" w:space="0" w:color="auto"/>
                    <w:bottom w:val="none" w:sz="0" w:space="0" w:color="auto"/>
                    <w:right w:val="none" w:sz="0" w:space="0" w:color="auto"/>
                  </w:divBdr>
                  <w:divsChild>
                    <w:div w:id="292096955">
                      <w:marLeft w:val="0"/>
                      <w:marRight w:val="0"/>
                      <w:marTop w:val="0"/>
                      <w:marBottom w:val="0"/>
                      <w:divBdr>
                        <w:top w:val="none" w:sz="0" w:space="0" w:color="auto"/>
                        <w:left w:val="none" w:sz="0" w:space="0" w:color="auto"/>
                        <w:bottom w:val="none" w:sz="0" w:space="0" w:color="auto"/>
                        <w:right w:val="none" w:sz="0" w:space="0" w:color="auto"/>
                      </w:divBdr>
                    </w:div>
                  </w:divsChild>
                </w:div>
                <w:div w:id="1175420238">
                  <w:marLeft w:val="0"/>
                  <w:marRight w:val="0"/>
                  <w:marTop w:val="0"/>
                  <w:marBottom w:val="0"/>
                  <w:divBdr>
                    <w:top w:val="none" w:sz="0" w:space="0" w:color="auto"/>
                    <w:left w:val="none" w:sz="0" w:space="0" w:color="auto"/>
                    <w:bottom w:val="none" w:sz="0" w:space="0" w:color="auto"/>
                    <w:right w:val="none" w:sz="0" w:space="0" w:color="auto"/>
                  </w:divBdr>
                  <w:divsChild>
                    <w:div w:id="124544946">
                      <w:marLeft w:val="0"/>
                      <w:marRight w:val="0"/>
                      <w:marTop w:val="0"/>
                      <w:marBottom w:val="0"/>
                      <w:divBdr>
                        <w:top w:val="none" w:sz="0" w:space="0" w:color="auto"/>
                        <w:left w:val="none" w:sz="0" w:space="0" w:color="auto"/>
                        <w:bottom w:val="none" w:sz="0" w:space="0" w:color="auto"/>
                        <w:right w:val="none" w:sz="0" w:space="0" w:color="auto"/>
                      </w:divBdr>
                    </w:div>
                  </w:divsChild>
                </w:div>
                <w:div w:id="1308172403">
                  <w:marLeft w:val="0"/>
                  <w:marRight w:val="0"/>
                  <w:marTop w:val="0"/>
                  <w:marBottom w:val="0"/>
                  <w:divBdr>
                    <w:top w:val="none" w:sz="0" w:space="0" w:color="auto"/>
                    <w:left w:val="none" w:sz="0" w:space="0" w:color="auto"/>
                    <w:bottom w:val="none" w:sz="0" w:space="0" w:color="auto"/>
                    <w:right w:val="none" w:sz="0" w:space="0" w:color="auto"/>
                  </w:divBdr>
                  <w:divsChild>
                    <w:div w:id="868178399">
                      <w:marLeft w:val="0"/>
                      <w:marRight w:val="0"/>
                      <w:marTop w:val="0"/>
                      <w:marBottom w:val="0"/>
                      <w:divBdr>
                        <w:top w:val="none" w:sz="0" w:space="0" w:color="auto"/>
                        <w:left w:val="none" w:sz="0" w:space="0" w:color="auto"/>
                        <w:bottom w:val="none" w:sz="0" w:space="0" w:color="auto"/>
                        <w:right w:val="none" w:sz="0" w:space="0" w:color="auto"/>
                      </w:divBdr>
                    </w:div>
                    <w:div w:id="1657957666">
                      <w:marLeft w:val="0"/>
                      <w:marRight w:val="0"/>
                      <w:marTop w:val="0"/>
                      <w:marBottom w:val="0"/>
                      <w:divBdr>
                        <w:top w:val="none" w:sz="0" w:space="0" w:color="auto"/>
                        <w:left w:val="none" w:sz="0" w:space="0" w:color="auto"/>
                        <w:bottom w:val="none" w:sz="0" w:space="0" w:color="auto"/>
                        <w:right w:val="none" w:sz="0" w:space="0" w:color="auto"/>
                      </w:divBdr>
                    </w:div>
                  </w:divsChild>
                </w:div>
                <w:div w:id="918754579">
                  <w:marLeft w:val="0"/>
                  <w:marRight w:val="0"/>
                  <w:marTop w:val="0"/>
                  <w:marBottom w:val="0"/>
                  <w:divBdr>
                    <w:top w:val="none" w:sz="0" w:space="0" w:color="auto"/>
                    <w:left w:val="none" w:sz="0" w:space="0" w:color="auto"/>
                    <w:bottom w:val="none" w:sz="0" w:space="0" w:color="auto"/>
                    <w:right w:val="none" w:sz="0" w:space="0" w:color="auto"/>
                  </w:divBdr>
                  <w:divsChild>
                    <w:div w:id="19555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46491">
          <w:marLeft w:val="0"/>
          <w:marRight w:val="0"/>
          <w:marTop w:val="0"/>
          <w:marBottom w:val="0"/>
          <w:divBdr>
            <w:top w:val="none" w:sz="0" w:space="0" w:color="auto"/>
            <w:left w:val="none" w:sz="0" w:space="0" w:color="auto"/>
            <w:bottom w:val="none" w:sz="0" w:space="0" w:color="auto"/>
            <w:right w:val="none" w:sz="0" w:space="0" w:color="auto"/>
          </w:divBdr>
        </w:div>
        <w:div w:id="1860465080">
          <w:marLeft w:val="0"/>
          <w:marRight w:val="0"/>
          <w:marTop w:val="0"/>
          <w:marBottom w:val="0"/>
          <w:divBdr>
            <w:top w:val="none" w:sz="0" w:space="0" w:color="auto"/>
            <w:left w:val="none" w:sz="0" w:space="0" w:color="auto"/>
            <w:bottom w:val="none" w:sz="0" w:space="0" w:color="auto"/>
            <w:right w:val="none" w:sz="0" w:space="0" w:color="auto"/>
          </w:divBdr>
        </w:div>
        <w:div w:id="1413745739">
          <w:marLeft w:val="0"/>
          <w:marRight w:val="0"/>
          <w:marTop w:val="0"/>
          <w:marBottom w:val="0"/>
          <w:divBdr>
            <w:top w:val="none" w:sz="0" w:space="0" w:color="auto"/>
            <w:left w:val="none" w:sz="0" w:space="0" w:color="auto"/>
            <w:bottom w:val="none" w:sz="0" w:space="0" w:color="auto"/>
            <w:right w:val="none" w:sz="0" w:space="0" w:color="auto"/>
          </w:divBdr>
        </w:div>
        <w:div w:id="587732185">
          <w:marLeft w:val="0"/>
          <w:marRight w:val="0"/>
          <w:marTop w:val="0"/>
          <w:marBottom w:val="0"/>
          <w:divBdr>
            <w:top w:val="none" w:sz="0" w:space="0" w:color="auto"/>
            <w:left w:val="none" w:sz="0" w:space="0" w:color="auto"/>
            <w:bottom w:val="none" w:sz="0" w:space="0" w:color="auto"/>
            <w:right w:val="none" w:sz="0" w:space="0" w:color="auto"/>
          </w:divBdr>
        </w:div>
        <w:div w:id="1625623416">
          <w:marLeft w:val="0"/>
          <w:marRight w:val="0"/>
          <w:marTop w:val="0"/>
          <w:marBottom w:val="0"/>
          <w:divBdr>
            <w:top w:val="none" w:sz="0" w:space="0" w:color="auto"/>
            <w:left w:val="none" w:sz="0" w:space="0" w:color="auto"/>
            <w:bottom w:val="none" w:sz="0" w:space="0" w:color="auto"/>
            <w:right w:val="none" w:sz="0" w:space="0" w:color="auto"/>
          </w:divBdr>
        </w:div>
        <w:div w:id="382216392">
          <w:marLeft w:val="0"/>
          <w:marRight w:val="0"/>
          <w:marTop w:val="0"/>
          <w:marBottom w:val="0"/>
          <w:divBdr>
            <w:top w:val="none" w:sz="0" w:space="0" w:color="auto"/>
            <w:left w:val="none" w:sz="0" w:space="0" w:color="auto"/>
            <w:bottom w:val="none" w:sz="0" w:space="0" w:color="auto"/>
            <w:right w:val="none" w:sz="0" w:space="0" w:color="auto"/>
          </w:divBdr>
        </w:div>
        <w:div w:id="423040303">
          <w:marLeft w:val="0"/>
          <w:marRight w:val="0"/>
          <w:marTop w:val="0"/>
          <w:marBottom w:val="0"/>
          <w:divBdr>
            <w:top w:val="none" w:sz="0" w:space="0" w:color="auto"/>
            <w:left w:val="none" w:sz="0" w:space="0" w:color="auto"/>
            <w:bottom w:val="none" w:sz="0" w:space="0" w:color="auto"/>
            <w:right w:val="none" w:sz="0" w:space="0" w:color="auto"/>
          </w:divBdr>
        </w:div>
        <w:div w:id="814487611">
          <w:marLeft w:val="0"/>
          <w:marRight w:val="0"/>
          <w:marTop w:val="0"/>
          <w:marBottom w:val="0"/>
          <w:divBdr>
            <w:top w:val="none" w:sz="0" w:space="0" w:color="auto"/>
            <w:left w:val="none" w:sz="0" w:space="0" w:color="auto"/>
            <w:bottom w:val="none" w:sz="0" w:space="0" w:color="auto"/>
            <w:right w:val="none" w:sz="0" w:space="0" w:color="auto"/>
          </w:divBdr>
        </w:div>
        <w:div w:id="819924809">
          <w:marLeft w:val="0"/>
          <w:marRight w:val="0"/>
          <w:marTop w:val="0"/>
          <w:marBottom w:val="0"/>
          <w:divBdr>
            <w:top w:val="none" w:sz="0" w:space="0" w:color="auto"/>
            <w:left w:val="none" w:sz="0" w:space="0" w:color="auto"/>
            <w:bottom w:val="none" w:sz="0" w:space="0" w:color="auto"/>
            <w:right w:val="none" w:sz="0" w:space="0" w:color="auto"/>
          </w:divBdr>
        </w:div>
        <w:div w:id="1705667446">
          <w:marLeft w:val="0"/>
          <w:marRight w:val="0"/>
          <w:marTop w:val="0"/>
          <w:marBottom w:val="0"/>
          <w:divBdr>
            <w:top w:val="none" w:sz="0" w:space="0" w:color="auto"/>
            <w:left w:val="none" w:sz="0" w:space="0" w:color="auto"/>
            <w:bottom w:val="none" w:sz="0" w:space="0" w:color="auto"/>
            <w:right w:val="none" w:sz="0" w:space="0" w:color="auto"/>
          </w:divBdr>
        </w:div>
        <w:div w:id="1001810187">
          <w:marLeft w:val="0"/>
          <w:marRight w:val="0"/>
          <w:marTop w:val="0"/>
          <w:marBottom w:val="0"/>
          <w:divBdr>
            <w:top w:val="none" w:sz="0" w:space="0" w:color="auto"/>
            <w:left w:val="none" w:sz="0" w:space="0" w:color="auto"/>
            <w:bottom w:val="none" w:sz="0" w:space="0" w:color="auto"/>
            <w:right w:val="none" w:sz="0" w:space="0" w:color="auto"/>
          </w:divBdr>
        </w:div>
        <w:div w:id="1779720474">
          <w:marLeft w:val="0"/>
          <w:marRight w:val="0"/>
          <w:marTop w:val="0"/>
          <w:marBottom w:val="0"/>
          <w:divBdr>
            <w:top w:val="none" w:sz="0" w:space="0" w:color="auto"/>
            <w:left w:val="none" w:sz="0" w:space="0" w:color="auto"/>
            <w:bottom w:val="none" w:sz="0" w:space="0" w:color="auto"/>
            <w:right w:val="none" w:sz="0" w:space="0" w:color="auto"/>
          </w:divBdr>
        </w:div>
        <w:div w:id="1299413446">
          <w:marLeft w:val="0"/>
          <w:marRight w:val="0"/>
          <w:marTop w:val="0"/>
          <w:marBottom w:val="0"/>
          <w:divBdr>
            <w:top w:val="none" w:sz="0" w:space="0" w:color="auto"/>
            <w:left w:val="none" w:sz="0" w:space="0" w:color="auto"/>
            <w:bottom w:val="none" w:sz="0" w:space="0" w:color="auto"/>
            <w:right w:val="none" w:sz="0" w:space="0" w:color="auto"/>
          </w:divBdr>
        </w:div>
        <w:div w:id="1415467786">
          <w:marLeft w:val="0"/>
          <w:marRight w:val="0"/>
          <w:marTop w:val="0"/>
          <w:marBottom w:val="0"/>
          <w:divBdr>
            <w:top w:val="none" w:sz="0" w:space="0" w:color="auto"/>
            <w:left w:val="none" w:sz="0" w:space="0" w:color="auto"/>
            <w:bottom w:val="none" w:sz="0" w:space="0" w:color="auto"/>
            <w:right w:val="none" w:sz="0" w:space="0" w:color="auto"/>
          </w:divBdr>
        </w:div>
        <w:div w:id="1428310158">
          <w:marLeft w:val="0"/>
          <w:marRight w:val="0"/>
          <w:marTop w:val="0"/>
          <w:marBottom w:val="0"/>
          <w:divBdr>
            <w:top w:val="none" w:sz="0" w:space="0" w:color="auto"/>
            <w:left w:val="none" w:sz="0" w:space="0" w:color="auto"/>
            <w:bottom w:val="none" w:sz="0" w:space="0" w:color="auto"/>
            <w:right w:val="none" w:sz="0" w:space="0" w:color="auto"/>
          </w:divBdr>
        </w:div>
        <w:div w:id="2107578482">
          <w:marLeft w:val="0"/>
          <w:marRight w:val="0"/>
          <w:marTop w:val="0"/>
          <w:marBottom w:val="0"/>
          <w:divBdr>
            <w:top w:val="none" w:sz="0" w:space="0" w:color="auto"/>
            <w:left w:val="none" w:sz="0" w:space="0" w:color="auto"/>
            <w:bottom w:val="none" w:sz="0" w:space="0" w:color="auto"/>
            <w:right w:val="none" w:sz="0" w:space="0" w:color="auto"/>
          </w:divBdr>
        </w:div>
        <w:div w:id="1492866626">
          <w:marLeft w:val="0"/>
          <w:marRight w:val="0"/>
          <w:marTop w:val="0"/>
          <w:marBottom w:val="0"/>
          <w:divBdr>
            <w:top w:val="none" w:sz="0" w:space="0" w:color="auto"/>
            <w:left w:val="none" w:sz="0" w:space="0" w:color="auto"/>
            <w:bottom w:val="none" w:sz="0" w:space="0" w:color="auto"/>
            <w:right w:val="none" w:sz="0" w:space="0" w:color="auto"/>
          </w:divBdr>
        </w:div>
        <w:div w:id="1183133656">
          <w:marLeft w:val="0"/>
          <w:marRight w:val="0"/>
          <w:marTop w:val="0"/>
          <w:marBottom w:val="0"/>
          <w:divBdr>
            <w:top w:val="none" w:sz="0" w:space="0" w:color="auto"/>
            <w:left w:val="none" w:sz="0" w:space="0" w:color="auto"/>
            <w:bottom w:val="none" w:sz="0" w:space="0" w:color="auto"/>
            <w:right w:val="none" w:sz="0" w:space="0" w:color="auto"/>
          </w:divBdr>
        </w:div>
        <w:div w:id="308677669">
          <w:marLeft w:val="0"/>
          <w:marRight w:val="0"/>
          <w:marTop w:val="0"/>
          <w:marBottom w:val="0"/>
          <w:divBdr>
            <w:top w:val="none" w:sz="0" w:space="0" w:color="auto"/>
            <w:left w:val="none" w:sz="0" w:space="0" w:color="auto"/>
            <w:bottom w:val="none" w:sz="0" w:space="0" w:color="auto"/>
            <w:right w:val="none" w:sz="0" w:space="0" w:color="auto"/>
          </w:divBdr>
        </w:div>
        <w:div w:id="1956591503">
          <w:marLeft w:val="0"/>
          <w:marRight w:val="0"/>
          <w:marTop w:val="0"/>
          <w:marBottom w:val="0"/>
          <w:divBdr>
            <w:top w:val="none" w:sz="0" w:space="0" w:color="auto"/>
            <w:left w:val="none" w:sz="0" w:space="0" w:color="auto"/>
            <w:bottom w:val="none" w:sz="0" w:space="0" w:color="auto"/>
            <w:right w:val="none" w:sz="0" w:space="0" w:color="auto"/>
          </w:divBdr>
        </w:div>
        <w:div w:id="2033720344">
          <w:marLeft w:val="0"/>
          <w:marRight w:val="0"/>
          <w:marTop w:val="0"/>
          <w:marBottom w:val="0"/>
          <w:divBdr>
            <w:top w:val="none" w:sz="0" w:space="0" w:color="auto"/>
            <w:left w:val="none" w:sz="0" w:space="0" w:color="auto"/>
            <w:bottom w:val="none" w:sz="0" w:space="0" w:color="auto"/>
            <w:right w:val="none" w:sz="0" w:space="0" w:color="auto"/>
          </w:divBdr>
        </w:div>
        <w:div w:id="1654216012">
          <w:marLeft w:val="0"/>
          <w:marRight w:val="0"/>
          <w:marTop w:val="0"/>
          <w:marBottom w:val="0"/>
          <w:divBdr>
            <w:top w:val="none" w:sz="0" w:space="0" w:color="auto"/>
            <w:left w:val="none" w:sz="0" w:space="0" w:color="auto"/>
            <w:bottom w:val="none" w:sz="0" w:space="0" w:color="auto"/>
            <w:right w:val="none" w:sz="0" w:space="0" w:color="auto"/>
          </w:divBdr>
        </w:div>
        <w:div w:id="1420062468">
          <w:marLeft w:val="0"/>
          <w:marRight w:val="0"/>
          <w:marTop w:val="0"/>
          <w:marBottom w:val="0"/>
          <w:divBdr>
            <w:top w:val="none" w:sz="0" w:space="0" w:color="auto"/>
            <w:left w:val="none" w:sz="0" w:space="0" w:color="auto"/>
            <w:bottom w:val="none" w:sz="0" w:space="0" w:color="auto"/>
            <w:right w:val="none" w:sz="0" w:space="0" w:color="auto"/>
          </w:divBdr>
        </w:div>
        <w:div w:id="562716494">
          <w:marLeft w:val="0"/>
          <w:marRight w:val="0"/>
          <w:marTop w:val="0"/>
          <w:marBottom w:val="0"/>
          <w:divBdr>
            <w:top w:val="none" w:sz="0" w:space="0" w:color="auto"/>
            <w:left w:val="none" w:sz="0" w:space="0" w:color="auto"/>
            <w:bottom w:val="none" w:sz="0" w:space="0" w:color="auto"/>
            <w:right w:val="none" w:sz="0" w:space="0" w:color="auto"/>
          </w:divBdr>
        </w:div>
        <w:div w:id="1459300872">
          <w:marLeft w:val="0"/>
          <w:marRight w:val="0"/>
          <w:marTop w:val="0"/>
          <w:marBottom w:val="0"/>
          <w:divBdr>
            <w:top w:val="none" w:sz="0" w:space="0" w:color="auto"/>
            <w:left w:val="none" w:sz="0" w:space="0" w:color="auto"/>
            <w:bottom w:val="none" w:sz="0" w:space="0" w:color="auto"/>
            <w:right w:val="none" w:sz="0" w:space="0" w:color="auto"/>
          </w:divBdr>
        </w:div>
        <w:div w:id="86116924">
          <w:marLeft w:val="0"/>
          <w:marRight w:val="0"/>
          <w:marTop w:val="0"/>
          <w:marBottom w:val="0"/>
          <w:divBdr>
            <w:top w:val="none" w:sz="0" w:space="0" w:color="auto"/>
            <w:left w:val="none" w:sz="0" w:space="0" w:color="auto"/>
            <w:bottom w:val="none" w:sz="0" w:space="0" w:color="auto"/>
            <w:right w:val="none" w:sz="0" w:space="0" w:color="auto"/>
          </w:divBdr>
        </w:div>
        <w:div w:id="638807435">
          <w:marLeft w:val="0"/>
          <w:marRight w:val="0"/>
          <w:marTop w:val="0"/>
          <w:marBottom w:val="0"/>
          <w:divBdr>
            <w:top w:val="none" w:sz="0" w:space="0" w:color="auto"/>
            <w:left w:val="none" w:sz="0" w:space="0" w:color="auto"/>
            <w:bottom w:val="none" w:sz="0" w:space="0" w:color="auto"/>
            <w:right w:val="none" w:sz="0" w:space="0" w:color="auto"/>
          </w:divBdr>
        </w:div>
        <w:div w:id="542250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1450</ap:Words>
  <ap:Characters>7981</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2025-03-14T10:34:00.0000000Z</dcterms:created>
  <dcterms:modified xsi:type="dcterms:W3CDTF">2025-03-18T13:52:00.0000000Z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HaaneY</vt:lpwstr>
  </property>
  <property fmtid="{D5CDD505-2E9C-101B-9397-08002B2CF9AE}" pid="3" name="AUTHOR_ID">
    <vt:lpwstr>HaaneY</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Aanvullende advisering Nationaal Groeifondsprojecten voorjaar 2025 (inclusief reactie kabinet)</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HaaneY</vt:lpwstr>
  </property>
</Properties>
</file>