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139E" w:rsidR="003E139E" w:rsidP="003A4F75" w:rsidRDefault="003E139E" w14:paraId="77ED041F" w14:textId="45F6D329">
      <w:pPr>
        <w:contextualSpacing/>
        <w:rPr>
          <w:b/>
          <w:bCs/>
          <w:szCs w:val="18"/>
        </w:rPr>
      </w:pPr>
      <w:r w:rsidRPr="003E139E">
        <w:rPr>
          <w:b/>
          <w:bCs/>
          <w:szCs w:val="18"/>
        </w:rPr>
        <w:t>V</w:t>
      </w:r>
      <w:r w:rsidRPr="003E139E" w:rsidR="00CC0069">
        <w:rPr>
          <w:b/>
          <w:bCs/>
          <w:szCs w:val="18"/>
        </w:rPr>
        <w:t>erkenning rol van het fiscaal ondernemerschap bij de vormgeving van de samenwerking tussen een ziekenhuis en medisch-specialistische bedrijven.</w:t>
      </w:r>
    </w:p>
    <w:p w:rsidR="003E139E" w:rsidP="003A4F75" w:rsidRDefault="003E139E" w14:paraId="2D0F5EA3" w14:textId="77777777">
      <w:pPr>
        <w:contextualSpacing/>
        <w:rPr>
          <w:szCs w:val="18"/>
        </w:rPr>
      </w:pPr>
    </w:p>
    <w:p w:rsidR="002F3F06" w:rsidP="003A4F75" w:rsidRDefault="00CC0069" w14:paraId="62D0E199" w14:textId="5AC40562">
      <w:pPr>
        <w:contextualSpacing/>
        <w:rPr>
          <w:szCs w:val="18"/>
        </w:rPr>
      </w:pPr>
      <w:r>
        <w:rPr>
          <w:szCs w:val="18"/>
        </w:rPr>
        <w:t xml:space="preserve">Bijgaand treft u de </w:t>
      </w:r>
      <w:r w:rsidRPr="001B4CB4" w:rsidR="003B289B">
        <w:rPr>
          <w:szCs w:val="18"/>
        </w:rPr>
        <w:t xml:space="preserve">uitkomsten van de </w:t>
      </w:r>
      <w:r w:rsidRPr="001B4CB4" w:rsidR="002F3F06">
        <w:rPr>
          <w:szCs w:val="18"/>
        </w:rPr>
        <w:t xml:space="preserve">verkenning </w:t>
      </w:r>
      <w:r>
        <w:rPr>
          <w:szCs w:val="18"/>
        </w:rPr>
        <w:t xml:space="preserve">aan </w:t>
      </w:r>
      <w:r w:rsidR="009B68C6">
        <w:rPr>
          <w:szCs w:val="18"/>
        </w:rPr>
        <w:t>over</w:t>
      </w:r>
      <w:r w:rsidRPr="001B4CB4" w:rsidR="009B68C6">
        <w:rPr>
          <w:szCs w:val="18"/>
        </w:rPr>
        <w:t xml:space="preserve"> </w:t>
      </w:r>
      <w:r w:rsidRPr="001B4CB4" w:rsidR="002F3F06">
        <w:rPr>
          <w:szCs w:val="18"/>
        </w:rPr>
        <w:t xml:space="preserve">de rol </w:t>
      </w:r>
      <w:r w:rsidRPr="001B4CB4" w:rsidR="003B289B">
        <w:rPr>
          <w:szCs w:val="18"/>
        </w:rPr>
        <w:t>van</w:t>
      </w:r>
      <w:r w:rsidRPr="001B4CB4" w:rsidR="002F3F06">
        <w:rPr>
          <w:szCs w:val="18"/>
        </w:rPr>
        <w:t xml:space="preserve"> het fiscaal ondernemerschap bij de </w:t>
      </w:r>
      <w:r w:rsidRPr="001B4CB4" w:rsidR="00D26EBA">
        <w:rPr>
          <w:szCs w:val="18"/>
        </w:rPr>
        <w:t xml:space="preserve">vormgeving van de </w:t>
      </w:r>
      <w:r w:rsidRPr="001B4CB4" w:rsidR="002F3F06">
        <w:rPr>
          <w:szCs w:val="18"/>
        </w:rPr>
        <w:t xml:space="preserve">samenwerking tussen </w:t>
      </w:r>
      <w:r w:rsidR="007E569A">
        <w:rPr>
          <w:szCs w:val="18"/>
        </w:rPr>
        <w:t xml:space="preserve">een </w:t>
      </w:r>
      <w:r w:rsidRPr="001B4CB4" w:rsidR="002F3F06">
        <w:rPr>
          <w:szCs w:val="18"/>
        </w:rPr>
        <w:t>ziekenhuis en m</w:t>
      </w:r>
      <w:r w:rsidRPr="001B4CB4" w:rsidR="000311D3">
        <w:rPr>
          <w:szCs w:val="18"/>
        </w:rPr>
        <w:t>edisch</w:t>
      </w:r>
      <w:r w:rsidRPr="001B4CB4" w:rsidR="001B4CB4">
        <w:rPr>
          <w:szCs w:val="18"/>
        </w:rPr>
        <w:t>-</w:t>
      </w:r>
      <w:r w:rsidRPr="001B4CB4" w:rsidR="000311D3">
        <w:rPr>
          <w:szCs w:val="18"/>
        </w:rPr>
        <w:t>specialistisch</w:t>
      </w:r>
      <w:r w:rsidR="007E569A">
        <w:rPr>
          <w:szCs w:val="18"/>
        </w:rPr>
        <w:t>e</w:t>
      </w:r>
      <w:r w:rsidRPr="001B4CB4" w:rsidR="000311D3">
        <w:rPr>
          <w:szCs w:val="18"/>
        </w:rPr>
        <w:t xml:space="preserve"> bedrijven (msb’s)</w:t>
      </w:r>
      <w:r w:rsidRPr="001B4CB4" w:rsidR="00D26EBA">
        <w:rPr>
          <w:szCs w:val="18"/>
        </w:rPr>
        <w:t xml:space="preserve">. </w:t>
      </w:r>
      <w:r w:rsidRPr="001B4CB4" w:rsidR="00B91E16">
        <w:rPr>
          <w:szCs w:val="18"/>
        </w:rPr>
        <w:t xml:space="preserve">Daarnaast </w:t>
      </w:r>
      <w:r w:rsidR="00045C72">
        <w:rPr>
          <w:szCs w:val="18"/>
        </w:rPr>
        <w:t xml:space="preserve">zijn </w:t>
      </w:r>
      <w:r w:rsidRPr="001B4CB4" w:rsidR="00843DF1">
        <w:rPr>
          <w:szCs w:val="18"/>
        </w:rPr>
        <w:t xml:space="preserve">in deze </w:t>
      </w:r>
      <w:r w:rsidR="009B68C6">
        <w:rPr>
          <w:szCs w:val="18"/>
        </w:rPr>
        <w:t>verkenning</w:t>
      </w:r>
      <w:r w:rsidRPr="001B4CB4" w:rsidR="001B1971">
        <w:rPr>
          <w:szCs w:val="18"/>
        </w:rPr>
        <w:t>, conform de aanbeveling die de Nederlandse Zorgautoriteit (NZa)</w:t>
      </w:r>
      <w:r w:rsidRPr="001B4CB4" w:rsidR="001B4CB4">
        <w:rPr>
          <w:szCs w:val="18"/>
        </w:rPr>
        <w:t xml:space="preserve"> in de Monitor verbeterpotentieel medisch-specialistische bedrijven</w:t>
      </w:r>
      <w:r w:rsidR="00843DF1">
        <w:rPr>
          <w:szCs w:val="18"/>
        </w:rPr>
        <w:t xml:space="preserve"> (</w:t>
      </w:r>
      <w:r w:rsidR="00676820">
        <w:rPr>
          <w:szCs w:val="18"/>
        </w:rPr>
        <w:t>monitor</w:t>
      </w:r>
      <w:r w:rsidR="00843DF1">
        <w:rPr>
          <w:szCs w:val="18"/>
        </w:rPr>
        <w:t>)</w:t>
      </w:r>
      <w:r w:rsidRPr="001B4CB4" w:rsidR="001B1971">
        <w:rPr>
          <w:rStyle w:val="Voetnootmarkering"/>
          <w:szCs w:val="18"/>
        </w:rPr>
        <w:footnoteReference w:id="2"/>
      </w:r>
      <w:r w:rsidRPr="001B4CB4" w:rsidR="001B4CB4">
        <w:rPr>
          <w:szCs w:val="18"/>
        </w:rPr>
        <w:t xml:space="preserve"> heeft gedaan</w:t>
      </w:r>
      <w:r w:rsidRPr="001B4CB4" w:rsidR="001B1971">
        <w:rPr>
          <w:szCs w:val="18"/>
        </w:rPr>
        <w:t xml:space="preserve">, de conclusies </w:t>
      </w:r>
      <w:r w:rsidR="00045C72">
        <w:rPr>
          <w:szCs w:val="18"/>
        </w:rPr>
        <w:t>opgenomen</w:t>
      </w:r>
      <w:r w:rsidRPr="001B4CB4" w:rsidR="00045C72">
        <w:rPr>
          <w:szCs w:val="18"/>
        </w:rPr>
        <w:t xml:space="preserve"> </w:t>
      </w:r>
      <w:r w:rsidRPr="001B4CB4" w:rsidR="001B1971">
        <w:rPr>
          <w:szCs w:val="18"/>
        </w:rPr>
        <w:t xml:space="preserve">ten aanzien van </w:t>
      </w:r>
      <w:r w:rsidRPr="001B4CB4" w:rsidR="00B91E16">
        <w:rPr>
          <w:szCs w:val="18"/>
        </w:rPr>
        <w:t>de</w:t>
      </w:r>
      <w:r w:rsidRPr="001B4CB4" w:rsidR="001B1971">
        <w:rPr>
          <w:szCs w:val="18"/>
        </w:rPr>
        <w:t xml:space="preserve"> </w:t>
      </w:r>
      <w:r w:rsidRPr="001B4CB4" w:rsidR="00B91E16">
        <w:rPr>
          <w:szCs w:val="18"/>
        </w:rPr>
        <w:t>beoordel</w:t>
      </w:r>
      <w:r w:rsidRPr="001B4CB4" w:rsidR="001B1971">
        <w:rPr>
          <w:szCs w:val="18"/>
        </w:rPr>
        <w:t>ing</w:t>
      </w:r>
      <w:r w:rsidRPr="001B4CB4" w:rsidR="00B91E16">
        <w:rPr>
          <w:szCs w:val="18"/>
        </w:rPr>
        <w:t xml:space="preserve"> of </w:t>
      </w:r>
      <w:r w:rsidR="007E569A">
        <w:rPr>
          <w:szCs w:val="18"/>
        </w:rPr>
        <w:t xml:space="preserve">er </w:t>
      </w:r>
      <w:r w:rsidRPr="001B4CB4" w:rsidR="00B91E16">
        <w:rPr>
          <w:szCs w:val="18"/>
        </w:rPr>
        <w:t>een objectieve grens bestaat waarbij vastgesteld kan worden tot hoe ver de bestuurlijke en financiële samenwerking tussen msb’s en ziekenhuizen mag gaan zonder dat die samenwerking consequenties heeft voor de positie van medisch specialisten die fiscaal als ondernemer participeren in het fiscaal transparante</w:t>
      </w:r>
      <w:r w:rsidR="00F9623D">
        <w:rPr>
          <w:rStyle w:val="Voetnootmarkering"/>
          <w:szCs w:val="18"/>
        </w:rPr>
        <w:footnoteReference w:id="3"/>
      </w:r>
      <w:r w:rsidRPr="001B4CB4" w:rsidR="00B91E16">
        <w:rPr>
          <w:szCs w:val="18"/>
        </w:rPr>
        <w:t xml:space="preserve"> msb.</w:t>
      </w:r>
    </w:p>
    <w:p w:rsidR="00544496" w:rsidP="003A4F75" w:rsidRDefault="00544496" w14:paraId="76493D71" w14:textId="77777777">
      <w:pPr>
        <w:contextualSpacing/>
        <w:rPr>
          <w:szCs w:val="18"/>
        </w:rPr>
      </w:pPr>
    </w:p>
    <w:p w:rsidRPr="001B4CB4" w:rsidR="00544496" w:rsidP="003A4F75" w:rsidRDefault="00544496" w14:paraId="5967D977" w14:textId="734C464D">
      <w:pPr>
        <w:contextualSpacing/>
        <w:rPr>
          <w:szCs w:val="18"/>
        </w:rPr>
      </w:pPr>
      <w:r>
        <w:rPr>
          <w:szCs w:val="18"/>
        </w:rPr>
        <w:t>Allereerst zal de achtergrond en het ontstaan van msb’s</w:t>
      </w:r>
      <w:r w:rsidR="000A6723">
        <w:rPr>
          <w:szCs w:val="18"/>
        </w:rPr>
        <w:t xml:space="preserve"> worden</w:t>
      </w:r>
      <w:r>
        <w:rPr>
          <w:szCs w:val="18"/>
        </w:rPr>
        <w:t xml:space="preserve"> </w:t>
      </w:r>
      <w:r w:rsidR="000A6723">
        <w:rPr>
          <w:szCs w:val="18"/>
        </w:rPr>
        <w:t>ge</w:t>
      </w:r>
      <w:r>
        <w:rPr>
          <w:szCs w:val="18"/>
        </w:rPr>
        <w:t>schets</w:t>
      </w:r>
      <w:r w:rsidR="000A6723">
        <w:rPr>
          <w:szCs w:val="18"/>
        </w:rPr>
        <w:t>t</w:t>
      </w:r>
      <w:r>
        <w:rPr>
          <w:szCs w:val="18"/>
        </w:rPr>
        <w:t>. Vervolgens zal het</w:t>
      </w:r>
      <w:r w:rsidR="00BD0C38">
        <w:rPr>
          <w:szCs w:val="18"/>
        </w:rPr>
        <w:t xml:space="preserve"> fiscaal toetsings</w:t>
      </w:r>
      <w:r>
        <w:rPr>
          <w:szCs w:val="18"/>
        </w:rPr>
        <w:t xml:space="preserve">kader </w:t>
      </w:r>
      <w:r w:rsidR="000A6723">
        <w:rPr>
          <w:szCs w:val="18"/>
        </w:rPr>
        <w:t>worden geschetst</w:t>
      </w:r>
      <w:r>
        <w:rPr>
          <w:szCs w:val="18"/>
        </w:rPr>
        <w:t xml:space="preserve"> wanneer sprake is van fiscaal ondernemerschap</w:t>
      </w:r>
      <w:r w:rsidR="00843DF1">
        <w:rPr>
          <w:szCs w:val="18"/>
        </w:rPr>
        <w:t xml:space="preserve"> en</w:t>
      </w:r>
      <w:r w:rsidR="000A6723">
        <w:rPr>
          <w:szCs w:val="18"/>
        </w:rPr>
        <w:t xml:space="preserve"> wordt</w:t>
      </w:r>
      <w:r w:rsidR="00843DF1">
        <w:rPr>
          <w:szCs w:val="18"/>
        </w:rPr>
        <w:t xml:space="preserve"> in</w:t>
      </w:r>
      <w:r w:rsidR="000A6723">
        <w:rPr>
          <w:szCs w:val="18"/>
        </w:rPr>
        <w:t>ge</w:t>
      </w:r>
      <w:r w:rsidR="00843DF1">
        <w:rPr>
          <w:szCs w:val="18"/>
        </w:rPr>
        <w:t>gaan op de rol van de fiscaliteit op de vormgeving van de samenwerking tussen ziekenhuis en msb’s</w:t>
      </w:r>
      <w:r>
        <w:rPr>
          <w:szCs w:val="18"/>
        </w:rPr>
        <w:t xml:space="preserve">. </w:t>
      </w:r>
      <w:r w:rsidR="00770E4E">
        <w:rPr>
          <w:szCs w:val="18"/>
        </w:rPr>
        <w:t xml:space="preserve">Aan de hand van dat </w:t>
      </w:r>
      <w:r w:rsidR="00843DF1">
        <w:rPr>
          <w:szCs w:val="18"/>
        </w:rPr>
        <w:t>fisca</w:t>
      </w:r>
      <w:r w:rsidR="00BD0C38">
        <w:rPr>
          <w:szCs w:val="18"/>
        </w:rPr>
        <w:t>a</w:t>
      </w:r>
      <w:r w:rsidR="00843DF1">
        <w:rPr>
          <w:szCs w:val="18"/>
        </w:rPr>
        <w:t xml:space="preserve">l </w:t>
      </w:r>
      <w:r w:rsidR="00BD0C38">
        <w:rPr>
          <w:szCs w:val="18"/>
        </w:rPr>
        <w:t>toetsings</w:t>
      </w:r>
      <w:r>
        <w:rPr>
          <w:szCs w:val="18"/>
        </w:rPr>
        <w:t xml:space="preserve">kader </w:t>
      </w:r>
      <w:r w:rsidR="00770E4E">
        <w:rPr>
          <w:szCs w:val="18"/>
        </w:rPr>
        <w:t xml:space="preserve">kan antwoord </w:t>
      </w:r>
      <w:r w:rsidR="00F9623D">
        <w:rPr>
          <w:szCs w:val="18"/>
        </w:rPr>
        <w:t xml:space="preserve">worden </w:t>
      </w:r>
      <w:r>
        <w:rPr>
          <w:szCs w:val="18"/>
        </w:rPr>
        <w:t>ge</w:t>
      </w:r>
      <w:r w:rsidR="00770E4E">
        <w:rPr>
          <w:szCs w:val="18"/>
        </w:rPr>
        <w:t xml:space="preserve">geven </w:t>
      </w:r>
      <w:r>
        <w:rPr>
          <w:szCs w:val="18"/>
        </w:rPr>
        <w:t xml:space="preserve">op de vraag of er een objectieve grens bestaat </w:t>
      </w:r>
      <w:r w:rsidR="00F9623D">
        <w:rPr>
          <w:szCs w:val="18"/>
        </w:rPr>
        <w:t>tussen de situaties waarin</w:t>
      </w:r>
      <w:r>
        <w:rPr>
          <w:szCs w:val="18"/>
        </w:rPr>
        <w:t xml:space="preserve"> samenwerking </w:t>
      </w:r>
      <w:r w:rsidR="00F9623D">
        <w:rPr>
          <w:szCs w:val="18"/>
        </w:rPr>
        <w:t xml:space="preserve">wel of geen </w:t>
      </w:r>
      <w:r>
        <w:rPr>
          <w:szCs w:val="18"/>
        </w:rPr>
        <w:t xml:space="preserve">consequenties heeft </w:t>
      </w:r>
      <w:r w:rsidR="00843DF1">
        <w:rPr>
          <w:szCs w:val="18"/>
        </w:rPr>
        <w:t>voor</w:t>
      </w:r>
      <w:r>
        <w:rPr>
          <w:szCs w:val="18"/>
        </w:rPr>
        <w:t xml:space="preserve"> het fiscale ondernemerschap. Ten slotte zal worden aangegeven of </w:t>
      </w:r>
      <w:r w:rsidR="00843DF1">
        <w:rPr>
          <w:szCs w:val="18"/>
        </w:rPr>
        <w:t xml:space="preserve">en in hoeverre duidelijkheid kan worden gegeven over </w:t>
      </w:r>
      <w:r>
        <w:rPr>
          <w:szCs w:val="18"/>
        </w:rPr>
        <w:t xml:space="preserve">de gevolgen </w:t>
      </w:r>
      <w:r w:rsidR="00476427">
        <w:rPr>
          <w:szCs w:val="18"/>
        </w:rPr>
        <w:t xml:space="preserve">voor de positie van de medisch specialist als fiscaal ondernemer </w:t>
      </w:r>
      <w:r w:rsidR="00843DF1">
        <w:rPr>
          <w:szCs w:val="18"/>
        </w:rPr>
        <w:t xml:space="preserve">van </w:t>
      </w:r>
      <w:r w:rsidR="007D6C0E">
        <w:rPr>
          <w:szCs w:val="18"/>
        </w:rPr>
        <w:t xml:space="preserve">de (afzonderlijke) aanbevelingen van de NZa om te komen tot </w:t>
      </w:r>
      <w:r w:rsidR="00843DF1">
        <w:rPr>
          <w:szCs w:val="18"/>
        </w:rPr>
        <w:t>een meer gelijkgerichte samenwerking tussen ziekenhuis en msb</w:t>
      </w:r>
      <w:r>
        <w:rPr>
          <w:szCs w:val="18"/>
        </w:rPr>
        <w:t>.</w:t>
      </w:r>
    </w:p>
    <w:p w:rsidRPr="001B4CB4" w:rsidR="005024EF" w:rsidP="003A4F75" w:rsidRDefault="005024EF" w14:paraId="75D03836" w14:textId="77777777">
      <w:pPr>
        <w:contextualSpacing/>
        <w:rPr>
          <w:szCs w:val="18"/>
        </w:rPr>
      </w:pPr>
    </w:p>
    <w:p w:rsidRPr="001B4CB4" w:rsidR="005024EF" w:rsidP="003A4F75" w:rsidRDefault="005024EF" w14:paraId="122DFE68" w14:textId="4512CF47">
      <w:pPr>
        <w:contextualSpacing/>
        <w:rPr>
          <w:i/>
          <w:iCs/>
          <w:szCs w:val="18"/>
        </w:rPr>
      </w:pPr>
      <w:r w:rsidRPr="001B4CB4">
        <w:rPr>
          <w:i/>
          <w:iCs/>
          <w:szCs w:val="18"/>
        </w:rPr>
        <w:t>Achtergrond</w:t>
      </w:r>
      <w:r w:rsidR="005D0F94">
        <w:rPr>
          <w:i/>
          <w:iCs/>
          <w:szCs w:val="18"/>
        </w:rPr>
        <w:t xml:space="preserve"> en ontstaan msb’s</w:t>
      </w:r>
    </w:p>
    <w:p w:rsidR="00850879" w:rsidP="003A4F75" w:rsidRDefault="00850879" w14:paraId="7BFA97C2" w14:textId="77777777">
      <w:pPr>
        <w:pStyle w:val="Default"/>
        <w:spacing w:line="240" w:lineRule="exact"/>
        <w:rPr>
          <w:rFonts w:ascii="Verdana" w:hAnsi="Verdana"/>
          <w:color w:val="auto"/>
          <w:sz w:val="18"/>
          <w:szCs w:val="18"/>
        </w:rPr>
      </w:pPr>
    </w:p>
    <w:p w:rsidRPr="001B4CB4" w:rsidR="00EC1719" w:rsidP="003A4F75" w:rsidRDefault="004664E0" w14:paraId="38331C40" w14:textId="438FA3EA">
      <w:pPr>
        <w:pStyle w:val="Default"/>
        <w:spacing w:line="240" w:lineRule="exact"/>
        <w:rPr>
          <w:rFonts w:ascii="Verdana" w:hAnsi="Verdana"/>
          <w:color w:val="auto"/>
          <w:sz w:val="18"/>
          <w:szCs w:val="18"/>
        </w:rPr>
      </w:pPr>
      <w:r>
        <w:rPr>
          <w:rFonts w:ascii="Verdana" w:hAnsi="Verdana"/>
          <w:color w:val="auto"/>
          <w:sz w:val="18"/>
          <w:szCs w:val="18"/>
        </w:rPr>
        <w:t>Met</w:t>
      </w:r>
      <w:r w:rsidRPr="001B4CB4" w:rsidR="005024EF">
        <w:rPr>
          <w:rFonts w:ascii="Verdana" w:hAnsi="Verdana"/>
          <w:color w:val="auto"/>
          <w:sz w:val="18"/>
          <w:szCs w:val="18"/>
        </w:rPr>
        <w:t xml:space="preserve"> de invoering van de integrale bekostiging in 2015 is het zelfstandig declaratierecht </w:t>
      </w:r>
      <w:r>
        <w:rPr>
          <w:rFonts w:ascii="Verdana" w:hAnsi="Verdana"/>
          <w:color w:val="auto"/>
          <w:sz w:val="18"/>
          <w:szCs w:val="18"/>
        </w:rPr>
        <w:t xml:space="preserve">van de medisch specialist ten opzichte van de verzekeraar en de patiënt vervallen. Het vervallen van het zelfstandig declaratierecht leidde </w:t>
      </w:r>
      <w:r w:rsidRPr="001B4CB4" w:rsidR="005024EF">
        <w:rPr>
          <w:rFonts w:ascii="Verdana" w:hAnsi="Verdana"/>
          <w:color w:val="auto"/>
          <w:sz w:val="18"/>
          <w:szCs w:val="18"/>
        </w:rPr>
        <w:t xml:space="preserve">er in beginsel toe </w:t>
      </w:r>
      <w:r>
        <w:rPr>
          <w:rFonts w:ascii="Verdana" w:hAnsi="Verdana"/>
          <w:color w:val="auto"/>
          <w:sz w:val="18"/>
          <w:szCs w:val="18"/>
        </w:rPr>
        <w:t>d</w:t>
      </w:r>
      <w:r w:rsidRPr="001B4CB4" w:rsidR="005024EF">
        <w:rPr>
          <w:rFonts w:ascii="Verdana" w:hAnsi="Verdana"/>
          <w:color w:val="auto"/>
          <w:sz w:val="18"/>
          <w:szCs w:val="18"/>
        </w:rPr>
        <w:t>at</w:t>
      </w:r>
      <w:r w:rsidRPr="001B4CB4" w:rsidR="003C311A">
        <w:rPr>
          <w:rFonts w:ascii="Verdana" w:hAnsi="Verdana"/>
          <w:color w:val="auto"/>
          <w:sz w:val="18"/>
          <w:szCs w:val="18"/>
        </w:rPr>
        <w:t xml:space="preserve"> de medisch specialist</w:t>
      </w:r>
      <w:r>
        <w:rPr>
          <w:rFonts w:ascii="Verdana" w:hAnsi="Verdana"/>
          <w:color w:val="auto"/>
          <w:sz w:val="18"/>
          <w:szCs w:val="18"/>
        </w:rPr>
        <w:t xml:space="preserve"> </w:t>
      </w:r>
      <w:r w:rsidRPr="001B4CB4" w:rsidR="005024EF">
        <w:rPr>
          <w:rFonts w:ascii="Verdana" w:hAnsi="Verdana"/>
          <w:color w:val="auto"/>
          <w:sz w:val="18"/>
          <w:szCs w:val="18"/>
        </w:rPr>
        <w:t>niet langer fiscaal ondernemer</w:t>
      </w:r>
      <w:r w:rsidRPr="001B4CB4" w:rsidR="003C311A">
        <w:rPr>
          <w:rFonts w:ascii="Verdana" w:hAnsi="Verdana"/>
          <w:color w:val="auto"/>
          <w:sz w:val="18"/>
          <w:szCs w:val="18"/>
        </w:rPr>
        <w:t xml:space="preserve"> kan zijn</w:t>
      </w:r>
      <w:r w:rsidR="00B6759A">
        <w:rPr>
          <w:rFonts w:ascii="Verdana" w:hAnsi="Verdana"/>
          <w:color w:val="auto"/>
          <w:sz w:val="18"/>
          <w:szCs w:val="18"/>
        </w:rPr>
        <w:t>.</w:t>
      </w:r>
      <w:r w:rsidRPr="001B4CB4" w:rsidR="00727CBE">
        <w:rPr>
          <w:rStyle w:val="Voetnootmarkering"/>
          <w:rFonts w:ascii="Verdana" w:hAnsi="Verdana"/>
          <w:color w:val="auto"/>
          <w:sz w:val="18"/>
          <w:szCs w:val="18"/>
        </w:rPr>
        <w:footnoteReference w:id="4"/>
      </w:r>
      <w:r w:rsidRPr="001B4CB4" w:rsidR="005024EF">
        <w:rPr>
          <w:rFonts w:ascii="Verdana" w:hAnsi="Verdana"/>
          <w:color w:val="auto"/>
          <w:sz w:val="18"/>
          <w:szCs w:val="18"/>
        </w:rPr>
        <w:t xml:space="preserve"> In het bestuurlijk akkoord van 16 juli 2013</w:t>
      </w:r>
      <w:r w:rsidRPr="001B4CB4" w:rsidR="005024EF">
        <w:rPr>
          <w:rStyle w:val="Voetnootmarkering"/>
          <w:rFonts w:ascii="Verdana" w:hAnsi="Verdana"/>
          <w:color w:val="auto"/>
          <w:sz w:val="18"/>
          <w:szCs w:val="18"/>
        </w:rPr>
        <w:footnoteReference w:id="5"/>
      </w:r>
      <w:r w:rsidRPr="001B4CB4" w:rsidR="005024EF">
        <w:rPr>
          <w:rFonts w:ascii="Verdana" w:hAnsi="Verdana"/>
          <w:color w:val="auto"/>
          <w:sz w:val="18"/>
          <w:szCs w:val="18"/>
        </w:rPr>
        <w:t xml:space="preserve"> is afgesproken dat er ook vanaf 2015 </w:t>
      </w:r>
      <w:r w:rsidRPr="0034391F" w:rsidR="0034391F">
        <w:rPr>
          <w:rFonts w:ascii="Verdana" w:hAnsi="Verdana"/>
          <w:sz w:val="18"/>
          <w:szCs w:val="18"/>
        </w:rPr>
        <w:t xml:space="preserve">mogelijkheid moet zijn </w:t>
      </w:r>
      <w:r w:rsidR="000003E4">
        <w:rPr>
          <w:rFonts w:ascii="Verdana" w:hAnsi="Verdana"/>
          <w:sz w:val="18"/>
          <w:szCs w:val="18"/>
        </w:rPr>
        <w:t xml:space="preserve">om </w:t>
      </w:r>
      <w:r w:rsidRPr="0034391F" w:rsidR="0034391F">
        <w:rPr>
          <w:rFonts w:ascii="Verdana" w:hAnsi="Verdana"/>
          <w:sz w:val="18"/>
          <w:szCs w:val="18"/>
        </w:rPr>
        <w:t>– afhankelijk van de feiten en omstandigheden – als medisch specialist te werken in vrij beroep</w:t>
      </w:r>
      <w:r w:rsidRPr="0034391F" w:rsidR="005024EF">
        <w:rPr>
          <w:rFonts w:ascii="Verdana" w:hAnsi="Verdana"/>
          <w:color w:val="auto"/>
          <w:sz w:val="18"/>
          <w:szCs w:val="18"/>
        </w:rPr>
        <w:t>.</w:t>
      </w:r>
      <w:r w:rsidRPr="001B4CB4" w:rsidR="005024EF">
        <w:rPr>
          <w:rFonts w:ascii="Verdana" w:hAnsi="Verdana"/>
          <w:color w:val="auto"/>
          <w:sz w:val="18"/>
          <w:szCs w:val="18"/>
        </w:rPr>
        <w:t xml:space="preserve"> Vanuit die invalshoek is in gezamenlijk overleg tussen de ministeries van Financiën en VWS, de Belastingdienst, de N</w:t>
      </w:r>
      <w:r w:rsidRPr="001B4CB4" w:rsidR="00727CBE">
        <w:rPr>
          <w:rFonts w:ascii="Verdana" w:hAnsi="Verdana"/>
          <w:color w:val="auto"/>
          <w:sz w:val="18"/>
          <w:szCs w:val="18"/>
        </w:rPr>
        <w:t xml:space="preserve">ederlandse </w:t>
      </w:r>
      <w:r w:rsidRPr="001B4CB4" w:rsidR="005024EF">
        <w:rPr>
          <w:rFonts w:ascii="Verdana" w:hAnsi="Verdana"/>
          <w:color w:val="auto"/>
          <w:sz w:val="18"/>
          <w:szCs w:val="18"/>
        </w:rPr>
        <w:t>V</w:t>
      </w:r>
      <w:r w:rsidRPr="001B4CB4" w:rsidR="00727CBE">
        <w:rPr>
          <w:rFonts w:ascii="Verdana" w:hAnsi="Verdana"/>
          <w:color w:val="auto"/>
          <w:sz w:val="18"/>
          <w:szCs w:val="18"/>
        </w:rPr>
        <w:t xml:space="preserve">ereniging van </w:t>
      </w:r>
      <w:r w:rsidRPr="001B4CB4" w:rsidR="005024EF">
        <w:rPr>
          <w:rFonts w:ascii="Verdana" w:hAnsi="Verdana"/>
          <w:color w:val="auto"/>
          <w:sz w:val="18"/>
          <w:szCs w:val="18"/>
        </w:rPr>
        <w:t>Z</w:t>
      </w:r>
      <w:r w:rsidRPr="001B4CB4" w:rsidR="00727CBE">
        <w:rPr>
          <w:rFonts w:ascii="Verdana" w:hAnsi="Verdana"/>
          <w:color w:val="auto"/>
          <w:sz w:val="18"/>
          <w:szCs w:val="18"/>
        </w:rPr>
        <w:t>iekenhuizen (NVZ)</w:t>
      </w:r>
      <w:r w:rsidRPr="001B4CB4" w:rsidR="005024EF">
        <w:rPr>
          <w:rFonts w:ascii="Verdana" w:hAnsi="Verdana"/>
          <w:color w:val="auto"/>
          <w:sz w:val="18"/>
          <w:szCs w:val="18"/>
        </w:rPr>
        <w:t xml:space="preserve"> en</w:t>
      </w:r>
      <w:r w:rsidRPr="001B4CB4" w:rsidR="00727CBE">
        <w:rPr>
          <w:rFonts w:ascii="Verdana" w:hAnsi="Verdana"/>
          <w:color w:val="auto"/>
          <w:sz w:val="18"/>
          <w:szCs w:val="18"/>
        </w:rPr>
        <w:t xml:space="preserve"> destijds</w:t>
      </w:r>
      <w:r w:rsidRPr="001B4CB4" w:rsidR="005024EF">
        <w:rPr>
          <w:rFonts w:ascii="Verdana" w:hAnsi="Verdana"/>
          <w:color w:val="auto"/>
          <w:sz w:val="18"/>
          <w:szCs w:val="18"/>
        </w:rPr>
        <w:t xml:space="preserve"> </w:t>
      </w:r>
      <w:r w:rsidRPr="001B4CB4" w:rsidR="00727CBE">
        <w:rPr>
          <w:rFonts w:ascii="Verdana" w:hAnsi="Verdana"/>
          <w:color w:val="auto"/>
          <w:sz w:val="18"/>
          <w:szCs w:val="18"/>
        </w:rPr>
        <w:t xml:space="preserve">de </w:t>
      </w:r>
      <w:r w:rsidRPr="001B4CB4" w:rsidR="005024EF">
        <w:rPr>
          <w:rFonts w:ascii="Verdana" w:hAnsi="Verdana"/>
          <w:color w:val="auto"/>
          <w:sz w:val="18"/>
          <w:szCs w:val="18"/>
        </w:rPr>
        <w:t xml:space="preserve">Orde </w:t>
      </w:r>
      <w:r w:rsidRPr="001B4CB4" w:rsidR="00727CBE">
        <w:rPr>
          <w:rFonts w:ascii="Verdana" w:hAnsi="Verdana"/>
          <w:color w:val="auto"/>
          <w:sz w:val="18"/>
          <w:szCs w:val="18"/>
        </w:rPr>
        <w:t>van Medisch Specialisten (</w:t>
      </w:r>
      <w:r w:rsidR="009B68C6">
        <w:rPr>
          <w:rFonts w:ascii="Verdana" w:hAnsi="Verdana"/>
          <w:color w:val="auto"/>
          <w:sz w:val="18"/>
          <w:szCs w:val="18"/>
        </w:rPr>
        <w:t>hierna: de Orde; nu</w:t>
      </w:r>
      <w:r w:rsidRPr="001B4CB4" w:rsidR="00727CBE">
        <w:rPr>
          <w:rFonts w:ascii="Verdana" w:hAnsi="Verdana"/>
          <w:color w:val="auto"/>
          <w:sz w:val="18"/>
          <w:szCs w:val="18"/>
        </w:rPr>
        <w:t xml:space="preserve"> de Federatie van Medisch Specialisten) </w:t>
      </w:r>
      <w:r w:rsidRPr="001B4CB4" w:rsidR="005024EF">
        <w:rPr>
          <w:rFonts w:ascii="Verdana" w:hAnsi="Verdana"/>
          <w:color w:val="auto"/>
          <w:sz w:val="18"/>
          <w:szCs w:val="18"/>
        </w:rPr>
        <w:t xml:space="preserve">een aantal </w:t>
      </w:r>
      <w:r w:rsidR="004259BF">
        <w:rPr>
          <w:rFonts w:ascii="Verdana" w:hAnsi="Verdana"/>
          <w:color w:val="auto"/>
          <w:sz w:val="18"/>
          <w:szCs w:val="18"/>
        </w:rPr>
        <w:t>besturingsmodellen uitgewerkt waarbij behoud van fiscaal ondernemerschap door de medisch specialist</w:t>
      </w:r>
      <w:r w:rsidR="00BE16B3">
        <w:rPr>
          <w:rFonts w:ascii="Verdana" w:hAnsi="Verdana"/>
          <w:color w:val="auto"/>
          <w:sz w:val="18"/>
          <w:szCs w:val="18"/>
        </w:rPr>
        <w:t xml:space="preserve"> onder voorwaarden mogelijk is</w:t>
      </w:r>
      <w:r w:rsidR="00B6759A">
        <w:rPr>
          <w:rFonts w:ascii="Verdana" w:hAnsi="Verdana"/>
          <w:color w:val="auto"/>
          <w:sz w:val="18"/>
          <w:szCs w:val="18"/>
        </w:rPr>
        <w:t>.</w:t>
      </w:r>
    </w:p>
    <w:p w:rsidR="008B6E8D" w:rsidP="003A4F75" w:rsidRDefault="008B6E8D" w14:paraId="4CBF951C" w14:textId="77777777">
      <w:pPr>
        <w:pStyle w:val="Default"/>
        <w:spacing w:line="240" w:lineRule="exact"/>
        <w:rPr>
          <w:rFonts w:ascii="Verdana" w:hAnsi="Verdana" w:cs="GMPNL F+ Univers"/>
          <w:iCs/>
          <w:color w:val="auto"/>
          <w:sz w:val="18"/>
          <w:szCs w:val="18"/>
        </w:rPr>
      </w:pPr>
    </w:p>
    <w:p w:rsidRPr="001B4CB4" w:rsidR="000311D3" w:rsidP="00F9623D" w:rsidRDefault="00DE3503" w14:paraId="03233F4E" w14:textId="11C58290">
      <w:pPr>
        <w:pStyle w:val="Default"/>
        <w:spacing w:line="240" w:lineRule="exact"/>
        <w:rPr>
          <w:rFonts w:ascii="Verdana" w:hAnsi="Verdana" w:cs="GMPNL F+ Univers"/>
          <w:color w:val="auto"/>
          <w:sz w:val="18"/>
          <w:szCs w:val="18"/>
        </w:rPr>
      </w:pPr>
      <w:r w:rsidRPr="001B4CB4">
        <w:rPr>
          <w:rFonts w:ascii="Verdana" w:hAnsi="Verdana" w:cs="GMPNL F+ Univers"/>
          <w:iCs/>
          <w:color w:val="auto"/>
          <w:sz w:val="18"/>
          <w:szCs w:val="18"/>
        </w:rPr>
        <w:t>In de brief van 17 december 2013 van de NVZ en de Orde</w:t>
      </w:r>
      <w:r w:rsidRPr="001B4CB4" w:rsidR="009B68C6">
        <w:rPr>
          <w:rStyle w:val="Voetnootmarkering"/>
          <w:rFonts w:ascii="Verdana" w:hAnsi="Verdana"/>
          <w:color w:val="auto"/>
          <w:sz w:val="18"/>
          <w:szCs w:val="18"/>
        </w:rPr>
        <w:footnoteReference w:id="6"/>
      </w:r>
      <w:r w:rsidRPr="001B4CB4">
        <w:rPr>
          <w:rFonts w:ascii="Verdana" w:hAnsi="Verdana" w:cs="GMPNL F+ Univers"/>
          <w:iCs/>
          <w:color w:val="auto"/>
          <w:sz w:val="18"/>
          <w:szCs w:val="18"/>
        </w:rPr>
        <w:t xml:space="preserve"> zijn</w:t>
      </w:r>
      <w:r w:rsidR="00BE16B3">
        <w:rPr>
          <w:rFonts w:ascii="Verdana" w:hAnsi="Verdana" w:cs="GMPNL F+ Univers"/>
          <w:iCs/>
          <w:color w:val="auto"/>
          <w:sz w:val="18"/>
          <w:szCs w:val="18"/>
        </w:rPr>
        <w:t xml:space="preserve"> verschillende besturingsmodellen beschreven, waaronder</w:t>
      </w:r>
      <w:r w:rsidRPr="001B4CB4">
        <w:rPr>
          <w:rFonts w:ascii="Verdana" w:hAnsi="Verdana" w:cs="GMPNL F+ Univers"/>
          <w:i/>
          <w:color w:val="auto"/>
          <w:sz w:val="18"/>
          <w:szCs w:val="18"/>
        </w:rPr>
        <w:t xml:space="preserve"> </w:t>
      </w:r>
      <w:r w:rsidRPr="001B4CB4">
        <w:rPr>
          <w:rFonts w:ascii="Verdana" w:hAnsi="Verdana" w:cs="GMPNL F+ Univers"/>
          <w:iCs/>
          <w:color w:val="auto"/>
          <w:sz w:val="18"/>
          <w:szCs w:val="18"/>
        </w:rPr>
        <w:t>de</w:t>
      </w:r>
      <w:r w:rsidRPr="001B4CB4">
        <w:rPr>
          <w:rFonts w:ascii="Verdana" w:hAnsi="Verdana" w:cs="GMPNL F+ Univers"/>
          <w:color w:val="auto"/>
          <w:sz w:val="18"/>
          <w:szCs w:val="18"/>
        </w:rPr>
        <w:t xml:space="preserve"> fiscaal transparante en niet-transparante </w:t>
      </w:r>
      <w:r w:rsidRPr="001B4CB4" w:rsidR="006B2878">
        <w:rPr>
          <w:rFonts w:ascii="Verdana" w:hAnsi="Verdana" w:cs="GMPNL F+ Univers"/>
          <w:color w:val="auto"/>
          <w:sz w:val="18"/>
          <w:szCs w:val="18"/>
        </w:rPr>
        <w:t>samenwerkings</w:t>
      </w:r>
      <w:r w:rsidRPr="001B4CB4">
        <w:rPr>
          <w:rFonts w:ascii="Verdana" w:hAnsi="Verdana" w:cs="GMPNL F+ Univers"/>
          <w:color w:val="auto"/>
          <w:sz w:val="18"/>
          <w:szCs w:val="18"/>
        </w:rPr>
        <w:t>modellen.</w:t>
      </w:r>
      <w:r w:rsidRPr="001B4CB4" w:rsidR="00EE3CB6">
        <w:rPr>
          <w:rFonts w:ascii="Verdana" w:hAnsi="Verdana" w:cs="GMPNL F+ Univers"/>
          <w:color w:val="auto"/>
          <w:sz w:val="18"/>
          <w:szCs w:val="18"/>
        </w:rPr>
        <w:t xml:space="preserve"> Bij </w:t>
      </w:r>
      <w:r w:rsidR="008B6E8D">
        <w:rPr>
          <w:rFonts w:ascii="Verdana" w:hAnsi="Verdana" w:cs="GMPNL F+ Univers"/>
          <w:color w:val="auto"/>
          <w:sz w:val="18"/>
          <w:szCs w:val="18"/>
        </w:rPr>
        <w:t xml:space="preserve">de </w:t>
      </w:r>
      <w:r w:rsidRPr="001B4CB4" w:rsidR="00EE3CB6">
        <w:rPr>
          <w:rFonts w:ascii="Verdana" w:hAnsi="Verdana" w:cs="GMPNL F+ Univers"/>
          <w:color w:val="auto"/>
          <w:sz w:val="18"/>
          <w:szCs w:val="18"/>
        </w:rPr>
        <w:t>niet-transparante samenwerkingsmodellen</w:t>
      </w:r>
      <w:r w:rsidRPr="001B4CB4" w:rsidR="000311D3">
        <w:rPr>
          <w:rFonts w:ascii="Verdana" w:hAnsi="Verdana" w:cs="GMPNL F+ Univers"/>
          <w:color w:val="auto"/>
          <w:sz w:val="18"/>
          <w:szCs w:val="18"/>
        </w:rPr>
        <w:t xml:space="preserve"> is het msb </w:t>
      </w:r>
      <w:r w:rsidR="00F70622">
        <w:rPr>
          <w:rFonts w:ascii="Verdana" w:hAnsi="Verdana" w:cs="GMPNL F+ Univers"/>
          <w:color w:val="auto"/>
          <w:sz w:val="18"/>
          <w:szCs w:val="18"/>
        </w:rPr>
        <w:t xml:space="preserve">in het algemeen </w:t>
      </w:r>
      <w:r w:rsidRPr="001B4CB4" w:rsidR="000311D3">
        <w:rPr>
          <w:rFonts w:ascii="Verdana" w:hAnsi="Verdana" w:cs="GMPNL F+ Univers"/>
          <w:color w:val="auto"/>
          <w:sz w:val="18"/>
          <w:szCs w:val="18"/>
        </w:rPr>
        <w:t xml:space="preserve">vormgegeven in een besloten vennootschap </w:t>
      </w:r>
      <w:r w:rsidR="006B56F5">
        <w:rPr>
          <w:rFonts w:ascii="Verdana" w:hAnsi="Verdana" w:cs="GMPNL F+ Univers"/>
          <w:color w:val="auto"/>
          <w:sz w:val="18"/>
          <w:szCs w:val="18"/>
        </w:rPr>
        <w:t xml:space="preserve">met beperkte aansprakelijkheid (bv) </w:t>
      </w:r>
      <w:r w:rsidRPr="001B4CB4" w:rsidR="000311D3">
        <w:rPr>
          <w:rFonts w:ascii="Verdana" w:hAnsi="Verdana" w:cs="GMPNL F+ Univers"/>
          <w:color w:val="auto"/>
          <w:sz w:val="18"/>
          <w:szCs w:val="18"/>
        </w:rPr>
        <w:t>of een coöperatie</w:t>
      </w:r>
      <w:r w:rsidR="00BE16B3">
        <w:rPr>
          <w:rFonts w:ascii="Verdana" w:hAnsi="Verdana" w:cs="GMPNL F+ Univers"/>
          <w:color w:val="auto"/>
          <w:sz w:val="18"/>
          <w:szCs w:val="18"/>
        </w:rPr>
        <w:t xml:space="preserve">. De bv of coöperatie is zelfstandig belastingplichtig </w:t>
      </w:r>
      <w:r w:rsidR="005D0F94">
        <w:rPr>
          <w:rFonts w:ascii="Verdana" w:hAnsi="Verdana" w:cs="GMPNL F+ Univers"/>
          <w:color w:val="auto"/>
          <w:sz w:val="18"/>
          <w:szCs w:val="18"/>
        </w:rPr>
        <w:t xml:space="preserve">voor de </w:t>
      </w:r>
      <w:r w:rsidR="00BE16B3">
        <w:rPr>
          <w:rFonts w:ascii="Verdana" w:hAnsi="Verdana" w:cs="GMPNL F+ Univers"/>
          <w:color w:val="auto"/>
          <w:sz w:val="18"/>
          <w:szCs w:val="18"/>
        </w:rPr>
        <w:t>vennootschapsbelasting</w:t>
      </w:r>
      <w:r w:rsidR="00317886">
        <w:rPr>
          <w:rFonts w:ascii="Verdana" w:hAnsi="Verdana" w:cs="GMPNL F+ Univers"/>
          <w:color w:val="auto"/>
          <w:sz w:val="18"/>
          <w:szCs w:val="18"/>
        </w:rPr>
        <w:t xml:space="preserve"> (hierna: vpb)</w:t>
      </w:r>
      <w:r w:rsidR="00BE16B3">
        <w:rPr>
          <w:rFonts w:ascii="Verdana" w:hAnsi="Verdana" w:cs="GMPNL F+ Univers"/>
          <w:color w:val="auto"/>
          <w:sz w:val="18"/>
          <w:szCs w:val="18"/>
        </w:rPr>
        <w:t>. D</w:t>
      </w:r>
      <w:r w:rsidRPr="001B4CB4" w:rsidR="000311D3">
        <w:rPr>
          <w:rFonts w:ascii="Verdana" w:hAnsi="Verdana" w:cs="GMPNL F+ Univers"/>
          <w:color w:val="auto"/>
          <w:sz w:val="18"/>
          <w:szCs w:val="18"/>
        </w:rPr>
        <w:t xml:space="preserve">e medisch specialist </w:t>
      </w:r>
      <w:r w:rsidR="00BE16B3">
        <w:rPr>
          <w:rFonts w:ascii="Verdana" w:hAnsi="Verdana" w:cs="GMPNL F+ Univers"/>
          <w:color w:val="auto"/>
          <w:sz w:val="18"/>
          <w:szCs w:val="18"/>
        </w:rPr>
        <w:t xml:space="preserve">is </w:t>
      </w:r>
      <w:r w:rsidR="00F70622">
        <w:rPr>
          <w:rFonts w:ascii="Verdana" w:hAnsi="Verdana" w:cs="GMPNL F+ Univers"/>
          <w:color w:val="auto"/>
          <w:sz w:val="18"/>
          <w:szCs w:val="18"/>
        </w:rPr>
        <w:t xml:space="preserve">over het algemeen </w:t>
      </w:r>
      <w:r w:rsidRPr="001B4CB4" w:rsidR="000311D3">
        <w:rPr>
          <w:rFonts w:ascii="Verdana" w:hAnsi="Verdana" w:cs="GMPNL F+ Univers"/>
          <w:color w:val="auto"/>
          <w:sz w:val="18"/>
          <w:szCs w:val="18"/>
        </w:rPr>
        <w:t xml:space="preserve">via een eigen vennootschap </w:t>
      </w:r>
      <w:r w:rsidRPr="001B4CB4" w:rsidR="003C311A">
        <w:rPr>
          <w:rFonts w:ascii="Verdana" w:hAnsi="Verdana" w:cs="GMPNL F+ Univers"/>
          <w:color w:val="auto"/>
          <w:sz w:val="18"/>
          <w:szCs w:val="18"/>
        </w:rPr>
        <w:t xml:space="preserve">aandeelhouder </w:t>
      </w:r>
      <w:r w:rsidRPr="001B4CB4" w:rsidR="000311D3">
        <w:rPr>
          <w:rFonts w:ascii="Verdana" w:hAnsi="Verdana" w:cs="GMPNL F+ Univers"/>
          <w:color w:val="auto"/>
          <w:sz w:val="18"/>
          <w:szCs w:val="18"/>
        </w:rPr>
        <w:t>in</w:t>
      </w:r>
      <w:r w:rsidRPr="001B4CB4" w:rsidR="003C311A">
        <w:rPr>
          <w:rFonts w:ascii="Verdana" w:hAnsi="Verdana" w:cs="GMPNL F+ Univers"/>
          <w:color w:val="auto"/>
          <w:sz w:val="18"/>
          <w:szCs w:val="18"/>
        </w:rPr>
        <w:t xml:space="preserve"> of lid van</w:t>
      </w:r>
      <w:r w:rsidRPr="001B4CB4" w:rsidR="000311D3">
        <w:rPr>
          <w:rFonts w:ascii="Verdana" w:hAnsi="Verdana" w:cs="GMPNL F+ Univers"/>
          <w:color w:val="auto"/>
          <w:sz w:val="18"/>
          <w:szCs w:val="18"/>
        </w:rPr>
        <w:t xml:space="preserve"> het msb.</w:t>
      </w:r>
      <w:r w:rsidRPr="001B4CB4" w:rsidR="00EE3CB6">
        <w:rPr>
          <w:rFonts w:ascii="Verdana" w:hAnsi="Verdana" w:cs="GMPNL F+ Univers"/>
          <w:color w:val="auto"/>
          <w:sz w:val="18"/>
          <w:szCs w:val="18"/>
        </w:rPr>
        <w:t xml:space="preserve"> </w:t>
      </w:r>
      <w:r w:rsidRPr="001B4CB4" w:rsidR="000311D3">
        <w:rPr>
          <w:rFonts w:ascii="Verdana" w:hAnsi="Verdana" w:cs="GMPNL F+ Univers"/>
          <w:color w:val="auto"/>
          <w:sz w:val="18"/>
          <w:szCs w:val="18"/>
        </w:rPr>
        <w:t xml:space="preserve">In deze modellen </w:t>
      </w:r>
      <w:r w:rsidRPr="001B4CB4" w:rsidR="00EE3CB6">
        <w:rPr>
          <w:rFonts w:ascii="Verdana" w:hAnsi="Verdana" w:cs="GMPNL F+ Univers"/>
          <w:color w:val="auto"/>
          <w:sz w:val="18"/>
          <w:szCs w:val="18"/>
        </w:rPr>
        <w:t>speelt het fiscal</w:t>
      </w:r>
      <w:r w:rsidRPr="001B4CB4" w:rsidR="000311D3">
        <w:rPr>
          <w:rFonts w:ascii="Verdana" w:hAnsi="Verdana" w:cs="GMPNL F+ Univers"/>
          <w:color w:val="auto"/>
          <w:sz w:val="18"/>
          <w:szCs w:val="18"/>
        </w:rPr>
        <w:t>e</w:t>
      </w:r>
      <w:r w:rsidRPr="001B4CB4" w:rsidR="00EE3CB6">
        <w:rPr>
          <w:rFonts w:ascii="Verdana" w:hAnsi="Verdana" w:cs="GMPNL F+ Univers"/>
          <w:color w:val="auto"/>
          <w:sz w:val="18"/>
          <w:szCs w:val="18"/>
        </w:rPr>
        <w:t xml:space="preserve"> ondernemerschap geen rol</w:t>
      </w:r>
      <w:r w:rsidR="00A113F1">
        <w:rPr>
          <w:rFonts w:ascii="Verdana" w:hAnsi="Verdana" w:cs="GMPNL F+ Univers"/>
          <w:color w:val="auto"/>
          <w:sz w:val="18"/>
          <w:szCs w:val="18"/>
        </w:rPr>
        <w:t>.</w:t>
      </w:r>
      <w:r w:rsidR="00317886">
        <w:rPr>
          <w:rFonts w:ascii="Verdana" w:hAnsi="Verdana" w:cs="GMPNL F+ Univers"/>
          <w:color w:val="auto"/>
          <w:sz w:val="18"/>
          <w:szCs w:val="18"/>
        </w:rPr>
        <w:t xml:space="preserve"> Voor de belastingplicht van een bv of coöperatie in de vpb is het niet relevant of deze een fiscale onderneming drijft.</w:t>
      </w:r>
      <w:r w:rsidR="00A113F1">
        <w:rPr>
          <w:rFonts w:ascii="Verdana" w:hAnsi="Verdana" w:cs="GMPNL F+ Univers"/>
          <w:color w:val="auto"/>
          <w:sz w:val="18"/>
          <w:szCs w:val="18"/>
        </w:rPr>
        <w:t xml:space="preserve"> </w:t>
      </w:r>
      <w:r w:rsidR="00D82AA7">
        <w:rPr>
          <w:rFonts w:ascii="Verdana" w:hAnsi="Verdana" w:cs="GMPNL F+ Univers"/>
          <w:color w:val="auto"/>
          <w:sz w:val="18"/>
          <w:szCs w:val="18"/>
        </w:rPr>
        <w:t xml:space="preserve">De </w:t>
      </w:r>
      <w:r w:rsidRPr="001B4CB4" w:rsidR="00EC1719">
        <w:rPr>
          <w:rFonts w:ascii="Verdana" w:hAnsi="Verdana" w:cs="GMPNL F+ Univers"/>
          <w:color w:val="auto"/>
          <w:sz w:val="18"/>
          <w:szCs w:val="18"/>
        </w:rPr>
        <w:t>medisch specialist</w:t>
      </w:r>
      <w:r w:rsidR="00D82AA7">
        <w:rPr>
          <w:rFonts w:ascii="Verdana" w:hAnsi="Verdana" w:cs="GMPNL F+ Univers"/>
          <w:color w:val="auto"/>
          <w:sz w:val="18"/>
          <w:szCs w:val="18"/>
        </w:rPr>
        <w:t xml:space="preserve"> geniet</w:t>
      </w:r>
      <w:r w:rsidRPr="001B4CB4" w:rsidR="00EC1719">
        <w:rPr>
          <w:rFonts w:ascii="Verdana" w:hAnsi="Verdana" w:cs="GMPNL F+ Univers"/>
          <w:color w:val="auto"/>
          <w:sz w:val="18"/>
          <w:szCs w:val="18"/>
        </w:rPr>
        <w:t xml:space="preserve"> (gebruikelijk) loon uit zijn eigen vennootschap en wordt als aanmerkelijkbelanghouder voor eventuele </w:t>
      </w:r>
      <w:r w:rsidRPr="001B4CB4" w:rsidR="003C311A">
        <w:rPr>
          <w:rFonts w:ascii="Verdana" w:hAnsi="Verdana" w:cs="GMPNL F+ Univers"/>
          <w:color w:val="auto"/>
          <w:sz w:val="18"/>
          <w:szCs w:val="18"/>
        </w:rPr>
        <w:t xml:space="preserve">reguliere voordelen </w:t>
      </w:r>
      <w:r w:rsidR="00602ABA">
        <w:rPr>
          <w:rFonts w:ascii="Verdana" w:hAnsi="Verdana" w:cs="GMPNL F+ Univers"/>
          <w:color w:val="auto"/>
          <w:sz w:val="18"/>
          <w:szCs w:val="18"/>
        </w:rPr>
        <w:t xml:space="preserve">uit </w:t>
      </w:r>
      <w:r w:rsidRPr="001B4CB4" w:rsidR="003C311A">
        <w:rPr>
          <w:rFonts w:ascii="Verdana" w:hAnsi="Verdana" w:cs="GMPNL F+ Univers"/>
          <w:color w:val="auto"/>
          <w:sz w:val="18"/>
          <w:szCs w:val="18"/>
        </w:rPr>
        <w:t xml:space="preserve">(bijvoorbeeld </w:t>
      </w:r>
      <w:r w:rsidRPr="001B4CB4" w:rsidR="00EC1719">
        <w:rPr>
          <w:rFonts w:ascii="Verdana" w:hAnsi="Verdana" w:cs="GMPNL F+ Univers"/>
          <w:color w:val="auto"/>
          <w:sz w:val="18"/>
          <w:szCs w:val="18"/>
        </w:rPr>
        <w:t>dividenden</w:t>
      </w:r>
      <w:r w:rsidRPr="001B4CB4" w:rsidR="003C311A">
        <w:rPr>
          <w:rFonts w:ascii="Verdana" w:hAnsi="Verdana" w:cs="GMPNL F+ Univers"/>
          <w:color w:val="auto"/>
          <w:sz w:val="18"/>
          <w:szCs w:val="18"/>
        </w:rPr>
        <w:t>)</w:t>
      </w:r>
      <w:r w:rsidRPr="001B4CB4" w:rsidR="00EC1719">
        <w:rPr>
          <w:rFonts w:ascii="Verdana" w:hAnsi="Verdana" w:cs="GMPNL F+ Univers"/>
          <w:color w:val="auto"/>
          <w:sz w:val="18"/>
          <w:szCs w:val="18"/>
        </w:rPr>
        <w:t xml:space="preserve"> en vervreemdingsvoordelen </w:t>
      </w:r>
      <w:r w:rsidR="00602ABA">
        <w:rPr>
          <w:rFonts w:ascii="Verdana" w:hAnsi="Verdana" w:cs="GMPNL F+ Univers"/>
          <w:color w:val="auto"/>
          <w:sz w:val="18"/>
          <w:szCs w:val="18"/>
        </w:rPr>
        <w:t xml:space="preserve">van zijn aandelen </w:t>
      </w:r>
      <w:r w:rsidRPr="001B4CB4" w:rsidR="00EC1719">
        <w:rPr>
          <w:rFonts w:ascii="Verdana" w:hAnsi="Verdana" w:cs="GMPNL F+ Univers"/>
          <w:color w:val="auto"/>
          <w:sz w:val="18"/>
          <w:szCs w:val="18"/>
        </w:rPr>
        <w:t>belast in box 2 van de inkomstenbelasting.</w:t>
      </w:r>
    </w:p>
    <w:p w:rsidR="009F6296" w:rsidP="00F9623D" w:rsidRDefault="00DE3503" w14:paraId="03022B73" w14:textId="49B4FE24">
      <w:pPr>
        <w:pStyle w:val="Default"/>
        <w:spacing w:line="240" w:lineRule="exact"/>
        <w:rPr>
          <w:rFonts w:ascii="Verdana" w:hAnsi="Verdana"/>
          <w:color w:val="auto"/>
          <w:sz w:val="18"/>
          <w:szCs w:val="18"/>
        </w:rPr>
      </w:pPr>
      <w:r w:rsidRPr="001B4CB4">
        <w:rPr>
          <w:rFonts w:ascii="Verdana" w:hAnsi="Verdana" w:cs="GMPNL F+ Univers"/>
          <w:color w:val="auto"/>
          <w:sz w:val="18"/>
          <w:szCs w:val="18"/>
        </w:rPr>
        <w:t xml:space="preserve">Bij de transparante </w:t>
      </w:r>
      <w:r w:rsidRPr="001B4CB4" w:rsidR="000311D3">
        <w:rPr>
          <w:rFonts w:ascii="Verdana" w:hAnsi="Verdana" w:cs="GMPNL F+ Univers"/>
          <w:color w:val="auto"/>
          <w:sz w:val="18"/>
          <w:szCs w:val="18"/>
        </w:rPr>
        <w:t>samenwerkings</w:t>
      </w:r>
      <w:r w:rsidRPr="001B4CB4">
        <w:rPr>
          <w:rFonts w:ascii="Verdana" w:hAnsi="Verdana" w:cs="GMPNL F+ Univers"/>
          <w:color w:val="auto"/>
          <w:sz w:val="18"/>
          <w:szCs w:val="18"/>
        </w:rPr>
        <w:t xml:space="preserve">modellen </w:t>
      </w:r>
      <w:r w:rsidRPr="001B4CB4" w:rsidR="000311D3">
        <w:rPr>
          <w:rFonts w:ascii="Verdana" w:hAnsi="Verdana" w:cs="GMPNL F+ Univers"/>
          <w:color w:val="auto"/>
          <w:sz w:val="18"/>
          <w:szCs w:val="18"/>
        </w:rPr>
        <w:t xml:space="preserve">zal het msb </w:t>
      </w:r>
      <w:r w:rsidR="008B6E8D">
        <w:rPr>
          <w:rFonts w:ascii="Verdana" w:hAnsi="Verdana" w:cs="GMPNL F+ Univers"/>
          <w:color w:val="auto"/>
          <w:sz w:val="18"/>
          <w:szCs w:val="18"/>
        </w:rPr>
        <w:t xml:space="preserve">doorgaans </w:t>
      </w:r>
      <w:r w:rsidRPr="001B4CB4" w:rsidR="000311D3">
        <w:rPr>
          <w:rFonts w:ascii="Verdana" w:hAnsi="Verdana" w:cs="GMPNL F+ Univers"/>
          <w:color w:val="auto"/>
          <w:sz w:val="18"/>
          <w:szCs w:val="18"/>
        </w:rPr>
        <w:t>in de vorm van een maatschap worden gedreven. Vanuit fiscale optiek bezien is de maatschap transparant</w:t>
      </w:r>
      <w:r w:rsidR="008E5A8A">
        <w:rPr>
          <w:rFonts w:ascii="Verdana" w:hAnsi="Verdana" w:cs="GMPNL F+ Univers"/>
          <w:color w:val="auto"/>
          <w:sz w:val="18"/>
          <w:szCs w:val="18"/>
        </w:rPr>
        <w:t xml:space="preserve">. Dat betekent dat </w:t>
      </w:r>
      <w:r w:rsidRPr="001B4CB4" w:rsidR="000311D3">
        <w:rPr>
          <w:rFonts w:ascii="Verdana" w:hAnsi="Verdana" w:cs="GMPNL F+ Univers"/>
          <w:color w:val="auto"/>
          <w:sz w:val="18"/>
          <w:szCs w:val="18"/>
        </w:rPr>
        <w:t xml:space="preserve">de </w:t>
      </w:r>
      <w:r w:rsidR="00AB5B9C">
        <w:rPr>
          <w:rFonts w:ascii="Verdana" w:hAnsi="Verdana" w:cs="GMPNL F+ Univers"/>
          <w:color w:val="auto"/>
          <w:sz w:val="18"/>
          <w:szCs w:val="18"/>
        </w:rPr>
        <w:t>winst</w:t>
      </w:r>
      <w:r w:rsidR="008E5A8A">
        <w:rPr>
          <w:rFonts w:ascii="Verdana" w:hAnsi="Verdana" w:cs="GMPNL F+ Univers"/>
          <w:color w:val="auto"/>
          <w:sz w:val="18"/>
          <w:szCs w:val="18"/>
        </w:rPr>
        <w:t xml:space="preserve"> niet op het niveau van </w:t>
      </w:r>
      <w:r w:rsidR="00241325">
        <w:rPr>
          <w:rFonts w:ascii="Verdana" w:hAnsi="Verdana" w:cs="GMPNL F+ Univers"/>
          <w:color w:val="auto"/>
          <w:sz w:val="18"/>
          <w:szCs w:val="18"/>
        </w:rPr>
        <w:t>het samenwerkingsverband</w:t>
      </w:r>
      <w:r w:rsidRPr="001B4CB4" w:rsidR="000311D3">
        <w:rPr>
          <w:rFonts w:ascii="Verdana" w:hAnsi="Verdana" w:cs="GMPNL F+ Univers"/>
          <w:color w:val="auto"/>
          <w:sz w:val="18"/>
          <w:szCs w:val="18"/>
        </w:rPr>
        <w:t>zelf</w:t>
      </w:r>
      <w:r w:rsidR="008E5A8A">
        <w:rPr>
          <w:rFonts w:ascii="Verdana" w:hAnsi="Verdana" w:cs="GMPNL F+ Univers"/>
          <w:color w:val="auto"/>
          <w:sz w:val="18"/>
          <w:szCs w:val="18"/>
        </w:rPr>
        <w:t xml:space="preserve"> word</w:t>
      </w:r>
      <w:r w:rsidR="00035F81">
        <w:rPr>
          <w:rFonts w:ascii="Verdana" w:hAnsi="Verdana" w:cs="GMPNL F+ Univers"/>
          <w:color w:val="auto"/>
          <w:sz w:val="18"/>
          <w:szCs w:val="18"/>
        </w:rPr>
        <w:t>t</w:t>
      </w:r>
      <w:r w:rsidR="008E5A8A">
        <w:rPr>
          <w:rFonts w:ascii="Verdana" w:hAnsi="Verdana" w:cs="GMPNL F+ Univers"/>
          <w:color w:val="auto"/>
          <w:sz w:val="18"/>
          <w:szCs w:val="18"/>
        </w:rPr>
        <w:t xml:space="preserve"> belast</w:t>
      </w:r>
      <w:r w:rsidRPr="001B4CB4" w:rsidR="000311D3">
        <w:rPr>
          <w:rFonts w:ascii="Verdana" w:hAnsi="Verdana" w:cs="GMPNL F+ Univers"/>
          <w:color w:val="auto"/>
          <w:sz w:val="18"/>
          <w:szCs w:val="18"/>
        </w:rPr>
        <w:t xml:space="preserve">, maar </w:t>
      </w:r>
      <w:r w:rsidR="008E5A8A">
        <w:rPr>
          <w:rFonts w:ascii="Verdana" w:hAnsi="Verdana" w:cs="GMPNL F+ Univers"/>
          <w:color w:val="auto"/>
          <w:sz w:val="18"/>
          <w:szCs w:val="18"/>
        </w:rPr>
        <w:t xml:space="preserve">dat </w:t>
      </w:r>
      <w:r w:rsidRPr="001B4CB4" w:rsidR="000311D3">
        <w:rPr>
          <w:rFonts w:ascii="Verdana" w:hAnsi="Verdana" w:cs="GMPNL F+ Univers"/>
          <w:color w:val="auto"/>
          <w:sz w:val="18"/>
          <w:szCs w:val="18"/>
        </w:rPr>
        <w:t>de</w:t>
      </w:r>
      <w:r w:rsidRPr="001B4CB4" w:rsidR="003C311A">
        <w:rPr>
          <w:rFonts w:ascii="Verdana" w:hAnsi="Verdana" w:cs="GMPNL F+ Univers"/>
          <w:color w:val="auto"/>
          <w:sz w:val="18"/>
          <w:szCs w:val="18"/>
        </w:rPr>
        <w:t xml:space="preserve"> participanten </w:t>
      </w:r>
      <w:r w:rsidR="006B56F5">
        <w:rPr>
          <w:rFonts w:ascii="Verdana" w:hAnsi="Verdana" w:cs="GMPNL F+ Univers"/>
          <w:color w:val="auto"/>
          <w:sz w:val="18"/>
          <w:szCs w:val="18"/>
        </w:rPr>
        <w:t>i</w:t>
      </w:r>
      <w:r w:rsidRPr="001B4CB4" w:rsidR="003C311A">
        <w:rPr>
          <w:rFonts w:ascii="Verdana" w:hAnsi="Verdana" w:cs="GMPNL F+ Univers"/>
          <w:color w:val="auto"/>
          <w:sz w:val="18"/>
          <w:szCs w:val="18"/>
        </w:rPr>
        <w:t>n de maatschap (in dit geval de</w:t>
      </w:r>
      <w:r w:rsidRPr="001B4CB4" w:rsidR="000311D3">
        <w:rPr>
          <w:rFonts w:ascii="Verdana" w:hAnsi="Verdana" w:cs="GMPNL F+ Univers"/>
          <w:color w:val="auto"/>
          <w:sz w:val="18"/>
          <w:szCs w:val="18"/>
        </w:rPr>
        <w:t xml:space="preserve"> medisch specialist</w:t>
      </w:r>
      <w:r w:rsidRPr="001B4CB4" w:rsidR="003C311A">
        <w:rPr>
          <w:rFonts w:ascii="Verdana" w:hAnsi="Verdana" w:cs="GMPNL F+ Univers"/>
          <w:color w:val="auto"/>
          <w:sz w:val="18"/>
          <w:szCs w:val="18"/>
        </w:rPr>
        <w:t xml:space="preserve">en) </w:t>
      </w:r>
      <w:r w:rsidR="008E5A8A">
        <w:rPr>
          <w:rFonts w:ascii="Verdana" w:hAnsi="Verdana" w:cs="GMPNL F+ Univers"/>
          <w:color w:val="auto"/>
          <w:sz w:val="18"/>
          <w:szCs w:val="18"/>
        </w:rPr>
        <w:t>in de heffing worden betrokken voor hun gerechtigd</w:t>
      </w:r>
      <w:r w:rsidR="00F9623D">
        <w:rPr>
          <w:rFonts w:ascii="Verdana" w:hAnsi="Verdana" w:cs="GMPNL F+ Univers"/>
          <w:color w:val="auto"/>
          <w:sz w:val="18"/>
          <w:szCs w:val="18"/>
        </w:rPr>
        <w:t>heid</w:t>
      </w:r>
      <w:r w:rsidR="008E5A8A">
        <w:rPr>
          <w:rFonts w:ascii="Verdana" w:hAnsi="Verdana" w:cs="GMPNL F+ Univers"/>
          <w:color w:val="auto"/>
          <w:sz w:val="18"/>
          <w:szCs w:val="18"/>
        </w:rPr>
        <w:t xml:space="preserve"> tot de </w:t>
      </w:r>
      <w:r w:rsidR="00AB5B9C">
        <w:rPr>
          <w:rFonts w:ascii="Verdana" w:hAnsi="Verdana" w:cs="GMPNL F+ Univers"/>
          <w:color w:val="auto"/>
          <w:sz w:val="18"/>
          <w:szCs w:val="18"/>
        </w:rPr>
        <w:t>winst</w:t>
      </w:r>
      <w:r w:rsidR="008E5A8A">
        <w:rPr>
          <w:rFonts w:ascii="Verdana" w:hAnsi="Verdana" w:cs="GMPNL F+ Univers"/>
          <w:color w:val="auto"/>
          <w:sz w:val="18"/>
          <w:szCs w:val="18"/>
        </w:rPr>
        <w:t xml:space="preserve"> uit de maatschap</w:t>
      </w:r>
      <w:r w:rsidRPr="001B4CB4" w:rsidR="000311D3">
        <w:rPr>
          <w:rFonts w:ascii="Verdana" w:hAnsi="Verdana" w:cs="GMPNL F+ Univers"/>
          <w:color w:val="auto"/>
          <w:sz w:val="18"/>
          <w:szCs w:val="18"/>
        </w:rPr>
        <w:t xml:space="preserve">. </w:t>
      </w:r>
      <w:r w:rsidRPr="001B4CB4" w:rsidR="00E21663">
        <w:rPr>
          <w:rFonts w:ascii="Verdana" w:hAnsi="Verdana"/>
          <w:color w:val="auto"/>
          <w:sz w:val="18"/>
          <w:szCs w:val="18"/>
        </w:rPr>
        <w:t>Aangegeven is</w:t>
      </w:r>
      <w:r w:rsidRPr="001B4CB4" w:rsidR="00E42146">
        <w:rPr>
          <w:rFonts w:ascii="Verdana" w:hAnsi="Verdana"/>
          <w:color w:val="auto"/>
          <w:sz w:val="18"/>
          <w:szCs w:val="18"/>
        </w:rPr>
        <w:t xml:space="preserve"> dat </w:t>
      </w:r>
      <w:r w:rsidR="00317886">
        <w:rPr>
          <w:rFonts w:ascii="Verdana" w:hAnsi="Verdana"/>
          <w:color w:val="auto"/>
          <w:sz w:val="18"/>
          <w:szCs w:val="18"/>
        </w:rPr>
        <w:t xml:space="preserve">bij </w:t>
      </w:r>
      <w:r w:rsidR="00317886">
        <w:rPr>
          <w:rFonts w:ascii="Verdana" w:hAnsi="Verdana"/>
          <w:color w:val="auto"/>
          <w:sz w:val="18"/>
          <w:szCs w:val="18"/>
        </w:rPr>
        <w:lastRenderedPageBreak/>
        <w:t xml:space="preserve">transparante samenwerkingsmodellen </w:t>
      </w:r>
      <w:r w:rsidRPr="001B4CB4" w:rsidR="00E42146">
        <w:rPr>
          <w:rFonts w:ascii="Verdana" w:hAnsi="Verdana"/>
          <w:color w:val="auto"/>
          <w:sz w:val="18"/>
          <w:szCs w:val="18"/>
        </w:rPr>
        <w:t xml:space="preserve">behoud van fiscaal ondernemerschap voor vrijgevestigde </w:t>
      </w:r>
      <w:r w:rsidRPr="001B4CB4" w:rsidR="003C311A">
        <w:rPr>
          <w:rFonts w:ascii="Verdana" w:hAnsi="Verdana"/>
          <w:color w:val="auto"/>
          <w:sz w:val="18"/>
          <w:szCs w:val="18"/>
        </w:rPr>
        <w:t xml:space="preserve">medisch </w:t>
      </w:r>
      <w:r w:rsidRPr="001B4CB4" w:rsidR="00E42146">
        <w:rPr>
          <w:rFonts w:ascii="Verdana" w:hAnsi="Verdana"/>
          <w:color w:val="auto"/>
          <w:sz w:val="18"/>
          <w:szCs w:val="18"/>
        </w:rPr>
        <w:t xml:space="preserve">specialisten </w:t>
      </w:r>
      <w:r w:rsidRPr="001B4CB4" w:rsidR="003C311A">
        <w:rPr>
          <w:rFonts w:ascii="Verdana" w:hAnsi="Verdana" w:cs="GMPNL F+ Univers"/>
          <w:color w:val="auto"/>
          <w:sz w:val="18"/>
          <w:szCs w:val="18"/>
        </w:rPr>
        <w:t>ondanks het vervallen van het zelfstandig declaratierecht</w:t>
      </w:r>
      <w:r w:rsidRPr="001B4CB4" w:rsidR="00E42146">
        <w:rPr>
          <w:rFonts w:ascii="Verdana" w:hAnsi="Verdana"/>
          <w:color w:val="auto"/>
          <w:sz w:val="18"/>
          <w:szCs w:val="18"/>
        </w:rPr>
        <w:t xml:space="preserve"> </w:t>
      </w:r>
      <w:r w:rsidRPr="001B4CB4" w:rsidR="003C311A">
        <w:rPr>
          <w:rFonts w:ascii="Verdana" w:hAnsi="Verdana"/>
          <w:color w:val="auto"/>
          <w:sz w:val="18"/>
          <w:szCs w:val="18"/>
        </w:rPr>
        <w:t xml:space="preserve">in principe </w:t>
      </w:r>
      <w:r w:rsidRPr="001B4CB4" w:rsidR="00E42146">
        <w:rPr>
          <w:rFonts w:ascii="Verdana" w:hAnsi="Verdana"/>
          <w:color w:val="auto"/>
          <w:sz w:val="18"/>
          <w:szCs w:val="18"/>
        </w:rPr>
        <w:t>mogelijk is, maar uitsluitend als deze specialisten daadwerkelijk in fiscale zin</w:t>
      </w:r>
      <w:r w:rsidR="003D37BA">
        <w:rPr>
          <w:rFonts w:ascii="Verdana" w:hAnsi="Verdana"/>
          <w:color w:val="auto"/>
          <w:sz w:val="18"/>
          <w:szCs w:val="18"/>
        </w:rPr>
        <w:t>, onder meer voldoende</w:t>
      </w:r>
      <w:r w:rsidRPr="001B4CB4" w:rsidR="00E42146">
        <w:rPr>
          <w:rFonts w:ascii="Verdana" w:hAnsi="Verdana"/>
          <w:color w:val="auto"/>
          <w:sz w:val="18"/>
          <w:szCs w:val="18"/>
        </w:rPr>
        <w:t xml:space="preserve"> (ondernemers)risico</w:t>
      </w:r>
      <w:r w:rsidR="003D37BA">
        <w:rPr>
          <w:rFonts w:ascii="Verdana" w:hAnsi="Verdana"/>
          <w:color w:val="auto"/>
          <w:sz w:val="18"/>
          <w:szCs w:val="18"/>
        </w:rPr>
        <w:t>’s</w:t>
      </w:r>
      <w:r w:rsidRPr="001B4CB4" w:rsidR="00E42146">
        <w:rPr>
          <w:rFonts w:ascii="Verdana" w:hAnsi="Verdana"/>
          <w:color w:val="auto"/>
          <w:sz w:val="18"/>
          <w:szCs w:val="18"/>
        </w:rPr>
        <w:t xml:space="preserve"> lopen, net als alle andere ondernemers.</w:t>
      </w:r>
    </w:p>
    <w:p w:rsidR="003E0912" w:rsidP="009F6296" w:rsidRDefault="003E0912" w14:paraId="4D689CF1" w14:textId="77777777">
      <w:pPr>
        <w:contextualSpacing/>
        <w:rPr>
          <w:i/>
          <w:iCs/>
          <w:szCs w:val="18"/>
        </w:rPr>
      </w:pPr>
    </w:p>
    <w:p w:rsidRPr="00476427" w:rsidR="00476427" w:rsidP="00476427" w:rsidRDefault="009F6296" w14:paraId="5AA33C31" w14:textId="3F867DA6">
      <w:pPr>
        <w:contextualSpacing/>
        <w:rPr>
          <w:i/>
          <w:iCs/>
          <w:szCs w:val="18"/>
        </w:rPr>
      </w:pPr>
      <w:r w:rsidRPr="001B4CB4">
        <w:rPr>
          <w:i/>
          <w:iCs/>
          <w:szCs w:val="18"/>
        </w:rPr>
        <w:t xml:space="preserve">Fiscaal </w:t>
      </w:r>
      <w:r w:rsidR="00241325">
        <w:rPr>
          <w:i/>
          <w:iCs/>
          <w:szCs w:val="18"/>
        </w:rPr>
        <w:t>toetsingskader ondernemerschap</w:t>
      </w:r>
    </w:p>
    <w:p w:rsidR="00850879" w:rsidP="001932C1" w:rsidRDefault="00850879" w14:paraId="75C3DEAC" w14:textId="77777777">
      <w:pPr>
        <w:pStyle w:val="Default"/>
        <w:spacing w:line="240" w:lineRule="exact"/>
        <w:rPr>
          <w:rFonts w:ascii="Verdana" w:hAnsi="Verdana"/>
          <w:color w:val="auto"/>
          <w:sz w:val="18"/>
          <w:szCs w:val="18"/>
        </w:rPr>
      </w:pPr>
    </w:p>
    <w:p w:rsidR="001932C1" w:rsidP="001932C1" w:rsidRDefault="00317886" w14:paraId="14774F2E" w14:textId="519A741E">
      <w:pPr>
        <w:pStyle w:val="Default"/>
        <w:spacing w:line="240" w:lineRule="exact"/>
        <w:rPr>
          <w:rFonts w:ascii="Verdana" w:hAnsi="Verdana"/>
          <w:color w:val="auto"/>
          <w:sz w:val="18"/>
          <w:szCs w:val="18"/>
        </w:rPr>
      </w:pPr>
      <w:r>
        <w:rPr>
          <w:rFonts w:ascii="Verdana" w:hAnsi="Verdana"/>
          <w:color w:val="auto"/>
          <w:sz w:val="18"/>
          <w:szCs w:val="18"/>
        </w:rPr>
        <w:t xml:space="preserve">Zoals hierboven aangegeven, speelt het vraagstuk van fiscaal ondernemerschap uitsluitend bij transparante </w:t>
      </w:r>
      <w:r w:rsidR="001B5D7A">
        <w:rPr>
          <w:rFonts w:ascii="Verdana" w:hAnsi="Verdana"/>
          <w:color w:val="auto"/>
          <w:sz w:val="18"/>
          <w:szCs w:val="18"/>
        </w:rPr>
        <w:t xml:space="preserve">samenwerkingsmodellen. </w:t>
      </w:r>
      <w:r w:rsidRPr="00D82AA7" w:rsidR="00C112F7">
        <w:rPr>
          <w:rFonts w:ascii="Verdana" w:hAnsi="Verdana"/>
          <w:color w:val="auto"/>
          <w:sz w:val="18"/>
          <w:szCs w:val="18"/>
        </w:rPr>
        <w:t xml:space="preserve">Het startpunt van </w:t>
      </w:r>
      <w:r w:rsidR="002B352A">
        <w:rPr>
          <w:rFonts w:ascii="Verdana" w:hAnsi="Verdana"/>
          <w:color w:val="auto"/>
          <w:sz w:val="18"/>
          <w:szCs w:val="18"/>
        </w:rPr>
        <w:t>de</w:t>
      </w:r>
      <w:r w:rsidRPr="00D82AA7" w:rsidR="00C112F7">
        <w:rPr>
          <w:rFonts w:ascii="Verdana" w:hAnsi="Verdana"/>
          <w:color w:val="auto"/>
          <w:sz w:val="18"/>
          <w:szCs w:val="18"/>
        </w:rPr>
        <w:t xml:space="preserve"> beoordel</w:t>
      </w:r>
      <w:r w:rsidR="002B352A">
        <w:rPr>
          <w:rFonts w:ascii="Verdana" w:hAnsi="Verdana"/>
          <w:color w:val="auto"/>
          <w:sz w:val="18"/>
          <w:szCs w:val="18"/>
        </w:rPr>
        <w:t>i</w:t>
      </w:r>
      <w:r w:rsidRPr="00D82AA7" w:rsidR="00C112F7">
        <w:rPr>
          <w:rFonts w:ascii="Verdana" w:hAnsi="Verdana"/>
          <w:color w:val="auto"/>
          <w:sz w:val="18"/>
          <w:szCs w:val="18"/>
        </w:rPr>
        <w:t>n</w:t>
      </w:r>
      <w:r w:rsidR="002B352A">
        <w:rPr>
          <w:rFonts w:ascii="Verdana" w:hAnsi="Verdana"/>
          <w:color w:val="auto"/>
          <w:sz w:val="18"/>
          <w:szCs w:val="18"/>
        </w:rPr>
        <w:t>g</w:t>
      </w:r>
      <w:r w:rsidRPr="002B352A" w:rsidR="002B352A">
        <w:rPr>
          <w:rFonts w:ascii="Verdana" w:hAnsi="Verdana"/>
          <w:color w:val="auto"/>
          <w:sz w:val="18"/>
          <w:szCs w:val="18"/>
        </w:rPr>
        <w:t xml:space="preserve"> </w:t>
      </w:r>
      <w:r w:rsidRPr="00D82AA7" w:rsidR="002B352A">
        <w:rPr>
          <w:rFonts w:ascii="Verdana" w:hAnsi="Verdana"/>
          <w:color w:val="auto"/>
          <w:sz w:val="18"/>
          <w:szCs w:val="18"/>
        </w:rPr>
        <w:t>is de civielrechtelijke overeenkomst</w:t>
      </w:r>
      <w:r w:rsidRPr="00D82AA7" w:rsidR="00C112F7">
        <w:rPr>
          <w:rFonts w:ascii="Verdana" w:hAnsi="Verdana"/>
          <w:color w:val="auto"/>
          <w:sz w:val="18"/>
          <w:szCs w:val="18"/>
        </w:rPr>
        <w:t xml:space="preserve"> tussen het msb en het ziekenhuis waarin de samenwerking of opdracht is vastgelegd. Op basis van die overeenkomst en de</w:t>
      </w:r>
      <w:r w:rsidR="003D37BA">
        <w:rPr>
          <w:rFonts w:ascii="Verdana" w:hAnsi="Verdana"/>
          <w:color w:val="auto"/>
          <w:sz w:val="18"/>
          <w:szCs w:val="18"/>
        </w:rPr>
        <w:t xml:space="preserve"> daadwerkelijke</w:t>
      </w:r>
      <w:r w:rsidRPr="00D82AA7" w:rsidR="00C112F7">
        <w:rPr>
          <w:rFonts w:ascii="Verdana" w:hAnsi="Verdana"/>
          <w:color w:val="auto"/>
          <w:sz w:val="18"/>
          <w:szCs w:val="18"/>
        </w:rPr>
        <w:t xml:space="preserve"> feiten en omstandigheden </w:t>
      </w:r>
      <w:r w:rsidR="00F9623D">
        <w:rPr>
          <w:rFonts w:ascii="Verdana" w:hAnsi="Verdana"/>
          <w:color w:val="auto"/>
          <w:sz w:val="18"/>
          <w:szCs w:val="18"/>
        </w:rPr>
        <w:t>wordt</w:t>
      </w:r>
      <w:r w:rsidRPr="00D82AA7" w:rsidR="001932C1">
        <w:rPr>
          <w:rFonts w:ascii="Verdana" w:hAnsi="Verdana"/>
          <w:color w:val="auto"/>
          <w:sz w:val="18"/>
          <w:szCs w:val="18"/>
        </w:rPr>
        <w:t xml:space="preserve">  getoetst of sprake is van ondernemerschap voor de inkomstenbelasting en dus van ‘winst uit onderneming’. </w:t>
      </w:r>
    </w:p>
    <w:p w:rsidR="001932C1" w:rsidP="001932C1" w:rsidRDefault="001932C1" w14:paraId="70A88EC8" w14:textId="77777777">
      <w:pPr>
        <w:pStyle w:val="Default"/>
        <w:spacing w:line="240" w:lineRule="exact"/>
        <w:rPr>
          <w:rFonts w:ascii="Verdana" w:hAnsi="Verdana"/>
          <w:color w:val="auto"/>
          <w:sz w:val="18"/>
          <w:szCs w:val="18"/>
        </w:rPr>
      </w:pPr>
    </w:p>
    <w:p w:rsidRPr="001932C1" w:rsidR="001D56C1" w:rsidP="001932C1" w:rsidRDefault="001D56C1" w14:paraId="6BEF6C5F" w14:textId="2D6AD04E">
      <w:pPr>
        <w:pStyle w:val="Default"/>
        <w:spacing w:line="240" w:lineRule="exact"/>
        <w:rPr>
          <w:rFonts w:ascii="Verdana" w:hAnsi="Verdana"/>
          <w:color w:val="auto"/>
          <w:sz w:val="18"/>
          <w:szCs w:val="18"/>
        </w:rPr>
      </w:pPr>
      <w:r w:rsidRPr="001D56C1">
        <w:rPr>
          <w:rFonts w:ascii="Verdana" w:hAnsi="Verdana"/>
          <w:sz w:val="18"/>
          <w:szCs w:val="18"/>
        </w:rPr>
        <w:t xml:space="preserve">Bij de beantwoording van de vraag of iemand </w:t>
      </w:r>
      <w:r w:rsidR="00411580">
        <w:rPr>
          <w:rFonts w:ascii="Verdana" w:hAnsi="Verdana"/>
          <w:sz w:val="18"/>
          <w:szCs w:val="18"/>
        </w:rPr>
        <w:t>voor de inkomstenbelasting</w:t>
      </w:r>
      <w:r w:rsidRPr="001D56C1">
        <w:rPr>
          <w:rFonts w:ascii="Verdana" w:hAnsi="Verdana"/>
          <w:sz w:val="18"/>
          <w:szCs w:val="18"/>
        </w:rPr>
        <w:t xml:space="preserve"> als ondernemer kan worden aangemerkt, gelden voor medisch specialisten geen bijzondere bepalingen.</w:t>
      </w:r>
      <w:r w:rsidR="008E5A8A">
        <w:rPr>
          <w:rFonts w:ascii="Verdana" w:hAnsi="Verdana"/>
          <w:sz w:val="18"/>
          <w:szCs w:val="18"/>
        </w:rPr>
        <w:t xml:space="preserve"> De vraag of sprake is van een onderneming voor de inkomstenbelasting wordt (</w:t>
      </w:r>
      <w:r w:rsidR="00F9623D">
        <w:rPr>
          <w:rFonts w:ascii="Verdana" w:hAnsi="Verdana"/>
          <w:sz w:val="18"/>
          <w:szCs w:val="18"/>
        </w:rPr>
        <w:t xml:space="preserve">aan de hand van </w:t>
      </w:r>
      <w:r w:rsidR="008E5A8A">
        <w:rPr>
          <w:rFonts w:ascii="Verdana" w:hAnsi="Verdana"/>
          <w:sz w:val="18"/>
          <w:szCs w:val="18"/>
        </w:rPr>
        <w:t>de hieronder benoemde criteria) beoordeeld op het niveau van het samenwerkingsverband, het msb. Als sprake is van een onderneming moet</w:t>
      </w:r>
      <w:r w:rsidR="003D37BA">
        <w:rPr>
          <w:rFonts w:ascii="Verdana" w:hAnsi="Verdana"/>
          <w:sz w:val="18"/>
          <w:szCs w:val="18"/>
        </w:rPr>
        <w:t xml:space="preserve"> vervolgens</w:t>
      </w:r>
      <w:r w:rsidR="008E5A8A">
        <w:rPr>
          <w:rFonts w:ascii="Verdana" w:hAnsi="Verdana"/>
          <w:sz w:val="18"/>
          <w:szCs w:val="18"/>
        </w:rPr>
        <w:t xml:space="preserve"> beoordeeld worden of de onderneming voor rekening en risico van de medisch specialist wordt gedreven.</w:t>
      </w:r>
      <w:r w:rsidR="00393B2B">
        <w:rPr>
          <w:rFonts w:ascii="Verdana" w:hAnsi="Verdana"/>
          <w:sz w:val="18"/>
          <w:szCs w:val="18"/>
        </w:rPr>
        <w:t xml:space="preserve"> </w:t>
      </w:r>
      <w:r w:rsidRPr="001D56C1">
        <w:rPr>
          <w:rFonts w:ascii="Verdana" w:hAnsi="Verdana"/>
          <w:sz w:val="18"/>
          <w:szCs w:val="18"/>
        </w:rPr>
        <w:t xml:space="preserve">Bij de beoordeling spelen </w:t>
      </w:r>
      <w:r w:rsidR="00602ABA">
        <w:rPr>
          <w:rFonts w:ascii="Verdana" w:hAnsi="Verdana"/>
          <w:sz w:val="18"/>
          <w:szCs w:val="18"/>
        </w:rPr>
        <w:t xml:space="preserve">onder andere </w:t>
      </w:r>
      <w:r w:rsidRPr="001D56C1">
        <w:rPr>
          <w:rFonts w:ascii="Verdana" w:hAnsi="Verdana"/>
          <w:sz w:val="18"/>
          <w:szCs w:val="18"/>
        </w:rPr>
        <w:t xml:space="preserve">de volgende </w:t>
      </w:r>
      <w:r w:rsidR="00F9623D">
        <w:rPr>
          <w:rFonts w:ascii="Verdana" w:hAnsi="Verdana"/>
          <w:sz w:val="18"/>
          <w:szCs w:val="18"/>
        </w:rPr>
        <w:t>in</w:t>
      </w:r>
      <w:r w:rsidRPr="001D56C1" w:rsidR="00F9623D">
        <w:rPr>
          <w:rFonts w:ascii="Verdana" w:hAnsi="Verdana"/>
          <w:sz w:val="18"/>
          <w:szCs w:val="18"/>
        </w:rPr>
        <w:t xml:space="preserve"> </w:t>
      </w:r>
      <w:r w:rsidRPr="001D56C1">
        <w:rPr>
          <w:rFonts w:ascii="Verdana" w:hAnsi="Verdana"/>
          <w:sz w:val="18"/>
          <w:szCs w:val="18"/>
        </w:rPr>
        <w:t xml:space="preserve">de jurisprudentie </w:t>
      </w:r>
      <w:r w:rsidR="009426E9">
        <w:rPr>
          <w:rFonts w:ascii="Verdana" w:hAnsi="Verdana"/>
          <w:sz w:val="18"/>
          <w:szCs w:val="18"/>
        </w:rPr>
        <w:t>ontwikkelde aspecten van het ondernemerschap</w:t>
      </w:r>
      <w:r w:rsidRPr="001D56C1">
        <w:rPr>
          <w:rFonts w:ascii="Verdana" w:hAnsi="Verdana"/>
          <w:sz w:val="18"/>
          <w:szCs w:val="18"/>
        </w:rPr>
        <w:t xml:space="preserve"> – in onderlinge samenhang bekeken – een rol:</w:t>
      </w:r>
    </w:p>
    <w:p w:rsidRPr="001D56C1" w:rsidR="001D56C1" w:rsidP="001D56C1" w:rsidRDefault="001D56C1" w14:paraId="5B1D5EF0" w14:textId="77777777">
      <w:pPr>
        <w:pStyle w:val="Normaalweb"/>
        <w:shd w:val="clear" w:color="auto" w:fill="FFFFFF"/>
        <w:spacing w:before="0" w:beforeAutospacing="0" w:after="0" w:afterAutospacing="0" w:line="240" w:lineRule="exact"/>
        <w:rPr>
          <w:rFonts w:ascii="Verdana" w:hAnsi="Verdana" w:cs="Arial"/>
          <w:sz w:val="18"/>
          <w:szCs w:val="18"/>
        </w:rPr>
      </w:pPr>
      <w:r w:rsidRPr="001D56C1">
        <w:rPr>
          <w:rFonts w:ascii="Verdana" w:hAnsi="Verdana" w:cs="Arial"/>
          <w:sz w:val="18"/>
          <w:szCs w:val="18"/>
        </w:rPr>
        <w:t>– de duurzaamheid en de omvang van de werkzaamheden;</w:t>
      </w:r>
    </w:p>
    <w:p w:rsidRPr="001D56C1" w:rsidR="001D56C1" w:rsidP="001D56C1" w:rsidRDefault="001D56C1" w14:paraId="10D002B8" w14:textId="77777777">
      <w:pPr>
        <w:pStyle w:val="Normaalweb"/>
        <w:shd w:val="clear" w:color="auto" w:fill="FFFFFF"/>
        <w:spacing w:before="0" w:beforeAutospacing="0" w:after="0" w:afterAutospacing="0" w:line="240" w:lineRule="exact"/>
        <w:rPr>
          <w:rFonts w:ascii="Verdana" w:hAnsi="Verdana" w:cs="Arial"/>
          <w:sz w:val="18"/>
          <w:szCs w:val="18"/>
        </w:rPr>
      </w:pPr>
      <w:r w:rsidRPr="001D56C1">
        <w:rPr>
          <w:rFonts w:ascii="Verdana" w:hAnsi="Verdana" w:cs="Arial"/>
          <w:sz w:val="18"/>
          <w:szCs w:val="18"/>
        </w:rPr>
        <w:t>– de grootte van de bruto baten;</w:t>
      </w:r>
    </w:p>
    <w:p w:rsidRPr="001D56C1" w:rsidR="001D56C1" w:rsidP="001D56C1" w:rsidRDefault="001D56C1" w14:paraId="1705050B" w14:textId="77777777">
      <w:pPr>
        <w:pStyle w:val="Normaalweb"/>
        <w:shd w:val="clear" w:color="auto" w:fill="FFFFFF"/>
        <w:spacing w:before="0" w:beforeAutospacing="0" w:after="0" w:afterAutospacing="0" w:line="240" w:lineRule="exact"/>
        <w:rPr>
          <w:rFonts w:ascii="Verdana" w:hAnsi="Verdana" w:cs="Arial"/>
          <w:sz w:val="18"/>
          <w:szCs w:val="18"/>
        </w:rPr>
      </w:pPr>
      <w:r w:rsidRPr="001D56C1">
        <w:rPr>
          <w:rFonts w:ascii="Verdana" w:hAnsi="Verdana" w:cs="Arial"/>
          <w:sz w:val="18"/>
          <w:szCs w:val="18"/>
        </w:rPr>
        <w:t>– de winstverwachting;</w:t>
      </w:r>
    </w:p>
    <w:p w:rsidRPr="001D56C1" w:rsidR="001D56C1" w:rsidP="001D56C1" w:rsidRDefault="001D56C1" w14:paraId="369F3350" w14:textId="0BAAE58F">
      <w:pPr>
        <w:pStyle w:val="Normaalweb"/>
        <w:shd w:val="clear" w:color="auto" w:fill="FFFFFF"/>
        <w:spacing w:before="0" w:beforeAutospacing="0" w:after="0" w:afterAutospacing="0" w:line="240" w:lineRule="exact"/>
        <w:rPr>
          <w:rFonts w:ascii="Verdana" w:hAnsi="Verdana" w:cs="Arial"/>
          <w:sz w:val="18"/>
          <w:szCs w:val="18"/>
        </w:rPr>
      </w:pPr>
      <w:r w:rsidRPr="001D56C1">
        <w:rPr>
          <w:rFonts w:ascii="Verdana" w:hAnsi="Verdana" w:cs="Arial"/>
          <w:sz w:val="18"/>
          <w:szCs w:val="18"/>
        </w:rPr>
        <w:t xml:space="preserve">– </w:t>
      </w:r>
      <w:r w:rsidR="00815228">
        <w:rPr>
          <w:rFonts w:ascii="Verdana" w:hAnsi="Verdana" w:cs="Arial"/>
          <w:sz w:val="18"/>
          <w:szCs w:val="18"/>
        </w:rPr>
        <w:t xml:space="preserve">zelfstandigheid en </w:t>
      </w:r>
      <w:r w:rsidRPr="001D56C1">
        <w:rPr>
          <w:rFonts w:ascii="Verdana" w:hAnsi="Verdana" w:cs="Arial"/>
          <w:sz w:val="18"/>
          <w:szCs w:val="18"/>
        </w:rPr>
        <w:t>het lopen van ondernemersrisico (niet ieder risico is overigens een ondernemersrisico);</w:t>
      </w:r>
    </w:p>
    <w:p w:rsidRPr="001D56C1" w:rsidR="001D56C1" w:rsidP="001D56C1" w:rsidRDefault="001D56C1" w14:paraId="1480665F" w14:textId="77777777">
      <w:pPr>
        <w:pStyle w:val="Normaalweb"/>
        <w:shd w:val="clear" w:color="auto" w:fill="FFFFFF"/>
        <w:spacing w:before="0" w:beforeAutospacing="0" w:after="0" w:afterAutospacing="0" w:line="240" w:lineRule="exact"/>
        <w:rPr>
          <w:rFonts w:ascii="Verdana" w:hAnsi="Verdana" w:cs="Arial"/>
          <w:sz w:val="18"/>
          <w:szCs w:val="18"/>
        </w:rPr>
      </w:pPr>
      <w:r w:rsidRPr="001D56C1">
        <w:rPr>
          <w:rFonts w:ascii="Verdana" w:hAnsi="Verdana" w:cs="Arial"/>
          <w:sz w:val="18"/>
          <w:szCs w:val="18"/>
        </w:rPr>
        <w:t>– de beschikbare tijd;</w:t>
      </w:r>
    </w:p>
    <w:p w:rsidRPr="001D56C1" w:rsidR="001D56C1" w:rsidP="001D56C1" w:rsidRDefault="001D56C1" w14:paraId="1CE409FA" w14:textId="77777777">
      <w:pPr>
        <w:pStyle w:val="Normaalweb"/>
        <w:shd w:val="clear" w:color="auto" w:fill="FFFFFF"/>
        <w:spacing w:before="0" w:beforeAutospacing="0" w:after="0" w:afterAutospacing="0" w:line="240" w:lineRule="exact"/>
        <w:rPr>
          <w:rFonts w:ascii="Verdana" w:hAnsi="Verdana" w:cs="Arial"/>
          <w:sz w:val="18"/>
          <w:szCs w:val="18"/>
        </w:rPr>
      </w:pPr>
      <w:r w:rsidRPr="001D56C1">
        <w:rPr>
          <w:rFonts w:ascii="Verdana" w:hAnsi="Verdana" w:cs="Arial"/>
          <w:sz w:val="18"/>
          <w:szCs w:val="18"/>
        </w:rPr>
        <w:t>– de bekendheid die naar buiten toe aan de werkzaamheden wordt gegeven;</w:t>
      </w:r>
    </w:p>
    <w:p w:rsidRPr="001D56C1" w:rsidR="001D56C1" w:rsidP="001D56C1" w:rsidRDefault="001D56C1" w14:paraId="735F8FE3" w14:textId="77777777">
      <w:pPr>
        <w:pStyle w:val="Normaalweb"/>
        <w:shd w:val="clear" w:color="auto" w:fill="FFFFFF"/>
        <w:spacing w:before="0" w:beforeAutospacing="0" w:after="0" w:afterAutospacing="0" w:line="240" w:lineRule="exact"/>
        <w:rPr>
          <w:rFonts w:ascii="Verdana" w:hAnsi="Verdana" w:cs="Arial"/>
          <w:sz w:val="18"/>
          <w:szCs w:val="18"/>
        </w:rPr>
      </w:pPr>
      <w:r w:rsidRPr="001D56C1">
        <w:rPr>
          <w:rFonts w:ascii="Verdana" w:hAnsi="Verdana" w:cs="Arial"/>
          <w:sz w:val="18"/>
          <w:szCs w:val="18"/>
        </w:rPr>
        <w:t>– het aantal opdrachtgevers;</w:t>
      </w:r>
    </w:p>
    <w:p w:rsidRPr="001D56C1" w:rsidR="001D56C1" w:rsidP="001D56C1" w:rsidRDefault="001D56C1" w14:paraId="341FF007" w14:textId="75C61467">
      <w:pPr>
        <w:pStyle w:val="Normaalweb"/>
        <w:shd w:val="clear" w:color="auto" w:fill="FFFFFF"/>
        <w:spacing w:before="0" w:beforeAutospacing="0" w:after="0" w:afterAutospacing="0" w:line="240" w:lineRule="exact"/>
        <w:rPr>
          <w:rFonts w:ascii="Verdana" w:hAnsi="Verdana" w:cs="Arial"/>
          <w:sz w:val="18"/>
          <w:szCs w:val="18"/>
        </w:rPr>
      </w:pPr>
      <w:r w:rsidRPr="001D56C1">
        <w:rPr>
          <w:rFonts w:ascii="Verdana" w:hAnsi="Verdana" w:cs="Arial"/>
          <w:sz w:val="18"/>
          <w:szCs w:val="18"/>
        </w:rPr>
        <w:t xml:space="preserve">– </w:t>
      </w:r>
      <w:r w:rsidR="001B5D7A">
        <w:rPr>
          <w:rFonts w:ascii="Verdana" w:hAnsi="Verdana" w:cs="Arial"/>
          <w:sz w:val="18"/>
          <w:szCs w:val="18"/>
        </w:rPr>
        <w:t>of naar</w:t>
      </w:r>
      <w:r w:rsidRPr="001D56C1" w:rsidR="001B5D7A">
        <w:rPr>
          <w:rFonts w:ascii="Verdana" w:hAnsi="Verdana" w:cs="Arial"/>
          <w:sz w:val="18"/>
          <w:szCs w:val="18"/>
        </w:rPr>
        <w:t xml:space="preserve"> </w:t>
      </w:r>
      <w:r w:rsidRPr="001D56C1">
        <w:rPr>
          <w:rFonts w:ascii="Verdana" w:hAnsi="Verdana" w:cs="Arial"/>
          <w:sz w:val="18"/>
          <w:szCs w:val="18"/>
        </w:rPr>
        <w:t>spraakgebruik</w:t>
      </w:r>
      <w:r w:rsidR="001B5D7A">
        <w:rPr>
          <w:rFonts w:ascii="Verdana" w:hAnsi="Verdana" w:cs="Arial"/>
          <w:sz w:val="18"/>
          <w:szCs w:val="18"/>
        </w:rPr>
        <w:t xml:space="preserve"> sprake is van ondernemingsactiviteiten</w:t>
      </w:r>
      <w:r w:rsidRPr="001D56C1">
        <w:rPr>
          <w:rFonts w:ascii="Verdana" w:hAnsi="Verdana" w:cs="Arial"/>
          <w:sz w:val="18"/>
          <w:szCs w:val="18"/>
        </w:rPr>
        <w:t>.</w:t>
      </w:r>
      <w:r>
        <w:rPr>
          <w:rStyle w:val="Voetnootmarkering"/>
          <w:rFonts w:ascii="Verdana" w:hAnsi="Verdana" w:cs="Arial"/>
          <w:sz w:val="18"/>
          <w:szCs w:val="18"/>
        </w:rPr>
        <w:footnoteReference w:id="7"/>
      </w:r>
    </w:p>
    <w:p w:rsidR="002C7B07" w:rsidP="009F6296" w:rsidRDefault="002C7B07" w14:paraId="6F8E94F9" w14:textId="77777777">
      <w:pPr>
        <w:contextualSpacing/>
        <w:rPr>
          <w:szCs w:val="18"/>
        </w:rPr>
      </w:pPr>
    </w:p>
    <w:p w:rsidR="009F6296" w:rsidP="009F6296" w:rsidRDefault="009F6296" w14:paraId="7039B86D" w14:textId="4D1779B3">
      <w:pPr>
        <w:contextualSpacing/>
        <w:rPr>
          <w:szCs w:val="18"/>
        </w:rPr>
      </w:pPr>
      <w:r w:rsidRPr="001B4CB4">
        <w:rPr>
          <w:szCs w:val="18"/>
        </w:rPr>
        <w:t xml:space="preserve">De medisch specialist kan </w:t>
      </w:r>
      <w:r w:rsidR="00C6179C">
        <w:rPr>
          <w:szCs w:val="18"/>
        </w:rPr>
        <w:t>voor de inkomstenbelasting</w:t>
      </w:r>
      <w:r w:rsidRPr="001B4CB4">
        <w:rPr>
          <w:szCs w:val="18"/>
        </w:rPr>
        <w:t xml:space="preserve"> ondernemer zijn als </w:t>
      </w:r>
      <w:r w:rsidR="00E63B92">
        <w:rPr>
          <w:szCs w:val="18"/>
        </w:rPr>
        <w:t>voldoende</w:t>
      </w:r>
      <w:r w:rsidR="001C5807">
        <w:rPr>
          <w:szCs w:val="18"/>
        </w:rPr>
        <w:t xml:space="preserve"> aan de voornoemde </w:t>
      </w:r>
      <w:r w:rsidR="00E56104">
        <w:rPr>
          <w:szCs w:val="18"/>
        </w:rPr>
        <w:t>aspecten</w:t>
      </w:r>
      <w:r w:rsidR="001C5807">
        <w:rPr>
          <w:szCs w:val="18"/>
        </w:rPr>
        <w:t xml:space="preserve"> wordt voldaan</w:t>
      </w:r>
      <w:r w:rsidRPr="001B4CB4">
        <w:rPr>
          <w:szCs w:val="18"/>
        </w:rPr>
        <w:t xml:space="preserve">. </w:t>
      </w:r>
      <w:r w:rsidR="001C5807">
        <w:rPr>
          <w:szCs w:val="18"/>
        </w:rPr>
        <w:t>Bij het lopen van ondernemersrisico’s</w:t>
      </w:r>
      <w:r w:rsidRPr="001B4CB4">
        <w:rPr>
          <w:szCs w:val="18"/>
        </w:rPr>
        <w:t xml:space="preserve"> kan worden gedacht aan het investeren in bedrijfsmiddelen (apparatuur), het in dienst nemen van personeel of het anderszins lopen van financiële risico’s. Deze risico’s dienen reële en substantiële betekenis te hebben. Dat vloeit ook voort uit de jurisprudentie. Uiteindelijk gaat het om een totaalbeeld van </w:t>
      </w:r>
      <w:r w:rsidR="001C5807">
        <w:rPr>
          <w:szCs w:val="18"/>
        </w:rPr>
        <w:t xml:space="preserve">de </w:t>
      </w:r>
      <w:r w:rsidRPr="001B4CB4">
        <w:rPr>
          <w:szCs w:val="18"/>
        </w:rPr>
        <w:t>risico’s die gelopen worden.</w:t>
      </w:r>
      <w:r w:rsidR="001D56C1">
        <w:rPr>
          <w:szCs w:val="18"/>
        </w:rPr>
        <w:t xml:space="preserve"> </w:t>
      </w:r>
      <w:r w:rsidRPr="001B4CB4">
        <w:rPr>
          <w:szCs w:val="18"/>
        </w:rPr>
        <w:t>Bij de beoordeling van het ondernemerschap worden alle relevante feiten en omstandigheden</w:t>
      </w:r>
      <w:r w:rsidR="001C5807">
        <w:rPr>
          <w:szCs w:val="18"/>
        </w:rPr>
        <w:t xml:space="preserve"> aan de hand van de hierboven opgenomen </w:t>
      </w:r>
      <w:r w:rsidR="00E56104">
        <w:rPr>
          <w:szCs w:val="18"/>
        </w:rPr>
        <w:t>aspecten</w:t>
      </w:r>
      <w:r w:rsidR="001C5807">
        <w:rPr>
          <w:szCs w:val="18"/>
        </w:rPr>
        <w:t xml:space="preserve"> in onderlinge samenhang bekeken en</w:t>
      </w:r>
      <w:r w:rsidRPr="001B4CB4">
        <w:rPr>
          <w:szCs w:val="18"/>
        </w:rPr>
        <w:t xml:space="preserve"> in de beschouwing betrokken. Daarbij wegen niet alle aspecten van het ondernemerschap zoals die in de jurisprudentie zijn ontwikkeld even zwaar. </w:t>
      </w:r>
      <w:r w:rsidR="006B219F">
        <w:rPr>
          <w:szCs w:val="18"/>
        </w:rPr>
        <w:t>A</w:t>
      </w:r>
      <w:r w:rsidRPr="001B4CB4">
        <w:rPr>
          <w:szCs w:val="18"/>
        </w:rPr>
        <w:t xml:space="preserve">ls men op één element minder scoort, kan dat </w:t>
      </w:r>
      <w:r w:rsidR="00035F81">
        <w:rPr>
          <w:szCs w:val="18"/>
        </w:rPr>
        <w:t xml:space="preserve">mogelijk </w:t>
      </w:r>
      <w:r w:rsidRPr="001B4CB4">
        <w:rPr>
          <w:szCs w:val="18"/>
        </w:rPr>
        <w:t>worden gecompenseerd door op een ander element beter te scoren, zodat het totaalbeeld wat betreft het ondernemerschap per saldo toch positief kan uitvallen. Het fisca</w:t>
      </w:r>
      <w:r w:rsidR="00BD0C38">
        <w:rPr>
          <w:szCs w:val="18"/>
        </w:rPr>
        <w:t>a</w:t>
      </w:r>
      <w:r w:rsidRPr="001B4CB4">
        <w:rPr>
          <w:szCs w:val="18"/>
        </w:rPr>
        <w:t xml:space="preserve">l </w:t>
      </w:r>
      <w:r w:rsidR="00BD0C38">
        <w:rPr>
          <w:szCs w:val="18"/>
        </w:rPr>
        <w:t>toetsings</w:t>
      </w:r>
      <w:r w:rsidRPr="001B4CB4">
        <w:rPr>
          <w:szCs w:val="18"/>
        </w:rPr>
        <w:t>kader</w:t>
      </w:r>
      <w:r w:rsidR="00BD0C38">
        <w:rPr>
          <w:szCs w:val="18"/>
        </w:rPr>
        <w:t xml:space="preserve"> </w:t>
      </w:r>
      <w:r w:rsidRPr="001B4CB4">
        <w:rPr>
          <w:szCs w:val="18"/>
        </w:rPr>
        <w:t>geeft dus geen objectieve grens wanneer er sprake is van fiscaal ondernemerschap. Zie in dat verband onder meer de brief van mijn ambtsvoorganger aan de Tweede Kamer van 18 december 2013</w:t>
      </w:r>
      <w:r w:rsidR="00996161">
        <w:rPr>
          <w:szCs w:val="18"/>
        </w:rPr>
        <w:t>.</w:t>
      </w:r>
      <w:r w:rsidR="00996161">
        <w:rPr>
          <w:rStyle w:val="Voetnootmarkering"/>
          <w:szCs w:val="18"/>
        </w:rPr>
        <w:footnoteReference w:id="8"/>
      </w:r>
    </w:p>
    <w:p w:rsidR="002B352A" w:rsidP="003A4F75" w:rsidRDefault="002B352A" w14:paraId="75CA965E" w14:textId="77777777">
      <w:pPr>
        <w:pStyle w:val="Default"/>
        <w:spacing w:line="240" w:lineRule="exact"/>
        <w:rPr>
          <w:rFonts w:ascii="Verdana" w:hAnsi="Verdana"/>
          <w:i/>
          <w:iCs/>
          <w:color w:val="auto"/>
          <w:sz w:val="18"/>
          <w:szCs w:val="18"/>
        </w:rPr>
      </w:pPr>
    </w:p>
    <w:p w:rsidRPr="00667331" w:rsidR="00667331" w:rsidP="003A4F75" w:rsidRDefault="00667331" w14:paraId="60873548" w14:textId="75BD2F40">
      <w:pPr>
        <w:pStyle w:val="Default"/>
        <w:spacing w:line="240" w:lineRule="exact"/>
        <w:rPr>
          <w:rFonts w:ascii="Verdana" w:hAnsi="Verdana"/>
          <w:i/>
          <w:iCs/>
          <w:color w:val="auto"/>
          <w:sz w:val="18"/>
          <w:szCs w:val="18"/>
        </w:rPr>
      </w:pPr>
      <w:r w:rsidRPr="00667331">
        <w:rPr>
          <w:rFonts w:ascii="Verdana" w:hAnsi="Verdana"/>
          <w:i/>
          <w:iCs/>
          <w:color w:val="auto"/>
          <w:sz w:val="18"/>
          <w:szCs w:val="18"/>
        </w:rPr>
        <w:t>De rol van de fiscaliteit</w:t>
      </w:r>
      <w:r>
        <w:rPr>
          <w:rFonts w:ascii="Verdana" w:hAnsi="Verdana"/>
          <w:i/>
          <w:iCs/>
          <w:color w:val="auto"/>
          <w:sz w:val="18"/>
          <w:szCs w:val="18"/>
        </w:rPr>
        <w:t xml:space="preserve"> bij vormgeving van de samenwerking</w:t>
      </w:r>
    </w:p>
    <w:p w:rsidR="00850879" w:rsidP="00D66C16" w:rsidRDefault="00850879" w14:paraId="75509B63" w14:textId="77777777">
      <w:pPr>
        <w:contextualSpacing/>
        <w:rPr>
          <w:szCs w:val="18"/>
        </w:rPr>
      </w:pPr>
    </w:p>
    <w:p w:rsidR="00655526" w:rsidP="00D66C16" w:rsidRDefault="0074435A" w14:paraId="6CC2E9A5" w14:textId="45E3B46E">
      <w:pPr>
        <w:contextualSpacing/>
        <w:rPr>
          <w:szCs w:val="18"/>
        </w:rPr>
      </w:pPr>
      <w:r>
        <w:rPr>
          <w:szCs w:val="18"/>
        </w:rPr>
        <w:t xml:space="preserve">Zoals hiervoor toegelicht </w:t>
      </w:r>
      <w:r w:rsidR="003E0912">
        <w:rPr>
          <w:szCs w:val="18"/>
        </w:rPr>
        <w:t>was</w:t>
      </w:r>
      <w:r>
        <w:rPr>
          <w:szCs w:val="18"/>
        </w:rPr>
        <w:t xml:space="preserve"> e</w:t>
      </w:r>
      <w:r w:rsidR="00D70AF4">
        <w:rPr>
          <w:szCs w:val="18"/>
        </w:rPr>
        <w:t xml:space="preserve">en belangrijk onderdeel van het </w:t>
      </w:r>
      <w:r>
        <w:rPr>
          <w:szCs w:val="18"/>
        </w:rPr>
        <w:t xml:space="preserve">bestuurlijk akkoord van 16 juli 2013 </w:t>
      </w:r>
      <w:r w:rsidR="003E0912">
        <w:rPr>
          <w:szCs w:val="18"/>
        </w:rPr>
        <w:t>voor de</w:t>
      </w:r>
      <w:r w:rsidR="00D70AF4">
        <w:rPr>
          <w:szCs w:val="18"/>
        </w:rPr>
        <w:t xml:space="preserve"> invoering van de integrale bekostiging</w:t>
      </w:r>
      <w:r>
        <w:rPr>
          <w:szCs w:val="18"/>
        </w:rPr>
        <w:t>,</w:t>
      </w:r>
      <w:r w:rsidR="00D70AF4">
        <w:rPr>
          <w:szCs w:val="18"/>
        </w:rPr>
        <w:t xml:space="preserve"> de afspraak </w:t>
      </w:r>
      <w:r w:rsidRPr="001B4CB4" w:rsidR="003A4F75">
        <w:rPr>
          <w:szCs w:val="18"/>
        </w:rPr>
        <w:t xml:space="preserve">dat er ook vanaf 2015 </w:t>
      </w:r>
      <w:r w:rsidR="00815228">
        <w:rPr>
          <w:szCs w:val="18"/>
        </w:rPr>
        <w:t xml:space="preserve">mogelijkheid </w:t>
      </w:r>
      <w:r w:rsidRPr="001B4CB4" w:rsidR="003A4F75">
        <w:rPr>
          <w:szCs w:val="18"/>
        </w:rPr>
        <w:t>moet zijn</w:t>
      </w:r>
      <w:r w:rsidR="000003E4">
        <w:rPr>
          <w:szCs w:val="18"/>
        </w:rPr>
        <w:t xml:space="preserve"> om</w:t>
      </w:r>
      <w:r w:rsidRPr="001B4CB4" w:rsidR="003A4F75">
        <w:rPr>
          <w:szCs w:val="18"/>
        </w:rPr>
        <w:t xml:space="preserve"> </w:t>
      </w:r>
      <w:r w:rsidR="00815228">
        <w:rPr>
          <w:szCs w:val="18"/>
        </w:rPr>
        <w:t xml:space="preserve">– afhankelijk van de feiten en omstandigheden – </w:t>
      </w:r>
      <w:r w:rsidRPr="001B4CB4" w:rsidR="003A4F75">
        <w:rPr>
          <w:szCs w:val="18"/>
        </w:rPr>
        <w:t>als medisch specialist te werken in vrij beroep</w:t>
      </w:r>
      <w:r w:rsidR="00C6179C">
        <w:rPr>
          <w:szCs w:val="18"/>
        </w:rPr>
        <w:t>.</w:t>
      </w:r>
      <w:r w:rsidRPr="0034391F">
        <w:rPr>
          <w:vertAlign w:val="superscript"/>
        </w:rPr>
        <w:footnoteReference w:id="9"/>
      </w:r>
      <w:r w:rsidRPr="0034391F" w:rsidR="00D70AF4">
        <w:rPr>
          <w:vertAlign w:val="superscript"/>
        </w:rPr>
        <w:t xml:space="preserve"> </w:t>
      </w:r>
      <w:r>
        <w:rPr>
          <w:szCs w:val="18"/>
        </w:rPr>
        <w:t>Vanuit die invalshoek zijn de samenwerkingsmodellen vormgegeven</w:t>
      </w:r>
      <w:r w:rsidR="00F9623D">
        <w:rPr>
          <w:szCs w:val="18"/>
        </w:rPr>
        <w:t>,</w:t>
      </w:r>
      <w:r>
        <w:rPr>
          <w:szCs w:val="18"/>
        </w:rPr>
        <w:t xml:space="preserve"> waarbij onder voorwaarden sprake kan zijn van ondernemerschap</w:t>
      </w:r>
      <w:r w:rsidR="00C6179C">
        <w:rPr>
          <w:szCs w:val="18"/>
        </w:rPr>
        <w:t xml:space="preserve"> voor de inkomstenbelasting</w:t>
      </w:r>
      <w:r>
        <w:rPr>
          <w:szCs w:val="18"/>
        </w:rPr>
        <w:t xml:space="preserve">. </w:t>
      </w:r>
      <w:r w:rsidR="00096E3D">
        <w:rPr>
          <w:szCs w:val="18"/>
        </w:rPr>
        <w:t xml:space="preserve">De ondernemer onderscheidt zich voornamelijk van de werknemer door zijn zelfstandigheid en het werken voor </w:t>
      </w:r>
      <w:r w:rsidR="00096E3D">
        <w:rPr>
          <w:szCs w:val="18"/>
        </w:rPr>
        <w:lastRenderedPageBreak/>
        <w:t xml:space="preserve">eigen rekening en risico. </w:t>
      </w:r>
      <w:r>
        <w:rPr>
          <w:szCs w:val="18"/>
        </w:rPr>
        <w:t xml:space="preserve">Als niet wordt voldaan aan de voorwaarden voor ondernemerschap </w:t>
      </w:r>
      <w:r w:rsidR="00C6179C">
        <w:rPr>
          <w:szCs w:val="18"/>
        </w:rPr>
        <w:t xml:space="preserve">voor de inkomstenbelasting </w:t>
      </w:r>
      <w:r>
        <w:rPr>
          <w:szCs w:val="18"/>
        </w:rPr>
        <w:t>zal in beginsel sprake zijn van loon uit dienstbetrekking.</w:t>
      </w:r>
      <w:r w:rsidR="002B352A">
        <w:rPr>
          <w:szCs w:val="18"/>
        </w:rPr>
        <w:t xml:space="preserve"> </w:t>
      </w:r>
    </w:p>
    <w:p w:rsidR="00D04C36" w:rsidP="00D66C16" w:rsidRDefault="00D04C36" w14:paraId="47D6E2CC" w14:textId="77777777">
      <w:pPr>
        <w:contextualSpacing/>
        <w:rPr>
          <w:szCs w:val="18"/>
        </w:rPr>
      </w:pPr>
    </w:p>
    <w:p w:rsidR="00BB63A7" w:rsidP="00E826A6" w:rsidRDefault="00655526" w14:paraId="797640DD" w14:textId="03A3AE85">
      <w:pPr>
        <w:widowControl/>
        <w:suppressAutoHyphens w:val="0"/>
        <w:autoSpaceDN/>
        <w:spacing w:after="160"/>
        <w:textAlignment w:val="auto"/>
        <w:rPr>
          <w:szCs w:val="18"/>
        </w:rPr>
      </w:pPr>
      <w:r>
        <w:rPr>
          <w:szCs w:val="18"/>
        </w:rPr>
        <w:t>Voor</w:t>
      </w:r>
      <w:r w:rsidR="00D66C16">
        <w:rPr>
          <w:szCs w:val="18"/>
        </w:rPr>
        <w:t xml:space="preserve"> het antwoord op</w:t>
      </w:r>
      <w:r>
        <w:rPr>
          <w:szCs w:val="18"/>
        </w:rPr>
        <w:t xml:space="preserve"> de vraag </w:t>
      </w:r>
      <w:r w:rsidR="00D66C16">
        <w:rPr>
          <w:szCs w:val="18"/>
        </w:rPr>
        <w:t>of</w:t>
      </w:r>
      <w:r>
        <w:rPr>
          <w:szCs w:val="18"/>
        </w:rPr>
        <w:t xml:space="preserve"> de fiscaliteit een</w:t>
      </w:r>
      <w:r w:rsidR="003E0912">
        <w:rPr>
          <w:szCs w:val="18"/>
        </w:rPr>
        <w:t xml:space="preserve"> </w:t>
      </w:r>
      <w:r w:rsidR="00D04C36">
        <w:rPr>
          <w:szCs w:val="18"/>
        </w:rPr>
        <w:t xml:space="preserve">belemmering oplevert voor een </w:t>
      </w:r>
      <w:r w:rsidR="003E0912">
        <w:rPr>
          <w:szCs w:val="18"/>
        </w:rPr>
        <w:t>(toekomstige)</w:t>
      </w:r>
      <w:r>
        <w:rPr>
          <w:szCs w:val="18"/>
        </w:rPr>
        <w:t xml:space="preserve"> meer gelijkgerichte samenwerking tussen het ziekenhuis en het msb</w:t>
      </w:r>
      <w:r w:rsidR="00F9623D">
        <w:rPr>
          <w:szCs w:val="18"/>
        </w:rPr>
        <w:t>,</w:t>
      </w:r>
      <w:r>
        <w:rPr>
          <w:szCs w:val="18"/>
        </w:rPr>
        <w:t xml:space="preserve"> </w:t>
      </w:r>
      <w:r w:rsidR="00D04C36">
        <w:rPr>
          <w:szCs w:val="18"/>
        </w:rPr>
        <w:t>kunnen</w:t>
      </w:r>
      <w:r>
        <w:rPr>
          <w:szCs w:val="18"/>
        </w:rPr>
        <w:t xml:space="preserve"> de resultaten </w:t>
      </w:r>
      <w:r w:rsidR="00E826A6">
        <w:rPr>
          <w:szCs w:val="18"/>
        </w:rPr>
        <w:t xml:space="preserve">uit </w:t>
      </w:r>
      <w:r>
        <w:rPr>
          <w:szCs w:val="18"/>
        </w:rPr>
        <w:t xml:space="preserve">de enquête die de NZa heeft gehouden voor de </w:t>
      </w:r>
      <w:r w:rsidR="001B5D7A">
        <w:rPr>
          <w:szCs w:val="18"/>
        </w:rPr>
        <w:t>m</w:t>
      </w:r>
      <w:r w:rsidRPr="001B4CB4">
        <w:rPr>
          <w:szCs w:val="18"/>
        </w:rPr>
        <w:t>onitor</w:t>
      </w:r>
      <w:r>
        <w:rPr>
          <w:szCs w:val="18"/>
        </w:rPr>
        <w:t xml:space="preserve"> een indicatie geven. In de enquête is als stelling opgenomen:</w:t>
      </w:r>
      <w:r w:rsidRPr="00E826A6" w:rsidR="0074435A">
        <w:rPr>
          <w:szCs w:val="18"/>
        </w:rPr>
        <w:t xml:space="preserve"> </w:t>
      </w:r>
      <w:r w:rsidRPr="003E0912" w:rsidR="0074435A">
        <w:rPr>
          <w:i/>
          <w:iCs/>
          <w:szCs w:val="18"/>
        </w:rPr>
        <w:t>“Een belemmering voor volledige gelijkgerichtheid, zowel financieel als bestuurlijk, tussen msb en ziekenhuis is het risico dat het msb daarmee de status van fiscale onderneming, resp. het fiscaal ondernemerschap, kwijtraakt.”</w:t>
      </w:r>
      <w:r w:rsidRPr="003E0912" w:rsidR="00E826A6">
        <w:rPr>
          <w:i/>
          <w:iCs/>
          <w:szCs w:val="18"/>
        </w:rPr>
        <w:t xml:space="preserve"> </w:t>
      </w:r>
      <w:r>
        <w:rPr>
          <w:szCs w:val="18"/>
        </w:rPr>
        <w:t xml:space="preserve">Uit de resultaten van de enquête blijkt </w:t>
      </w:r>
      <w:r w:rsidRPr="001B4CB4">
        <w:rPr>
          <w:szCs w:val="18"/>
        </w:rPr>
        <w:t xml:space="preserve">dat 23,3% van de ziekenhuizen </w:t>
      </w:r>
      <w:r w:rsidR="00445D4F">
        <w:rPr>
          <w:szCs w:val="18"/>
        </w:rPr>
        <w:t xml:space="preserve">en 17,5% van de msb’s </w:t>
      </w:r>
      <w:r w:rsidRPr="001B4CB4">
        <w:rPr>
          <w:szCs w:val="18"/>
        </w:rPr>
        <w:t xml:space="preserve">het met </w:t>
      </w:r>
      <w:r>
        <w:rPr>
          <w:szCs w:val="18"/>
        </w:rPr>
        <w:t xml:space="preserve">de </w:t>
      </w:r>
      <w:r w:rsidR="00815228">
        <w:rPr>
          <w:szCs w:val="18"/>
        </w:rPr>
        <w:t>bovenstaande</w:t>
      </w:r>
      <w:r w:rsidRPr="001B4CB4" w:rsidR="00815228">
        <w:rPr>
          <w:szCs w:val="18"/>
        </w:rPr>
        <w:t xml:space="preserve"> </w:t>
      </w:r>
      <w:r w:rsidRPr="001B4CB4">
        <w:rPr>
          <w:szCs w:val="18"/>
        </w:rPr>
        <w:t>stelling (volledig) eens is</w:t>
      </w:r>
      <w:r w:rsidR="00445D4F">
        <w:rPr>
          <w:szCs w:val="18"/>
        </w:rPr>
        <w:t xml:space="preserve">. </w:t>
      </w:r>
      <w:r>
        <w:rPr>
          <w:szCs w:val="18"/>
        </w:rPr>
        <w:t xml:space="preserve">Hieruit kan </w:t>
      </w:r>
      <w:r w:rsidR="003554D7">
        <w:rPr>
          <w:szCs w:val="18"/>
        </w:rPr>
        <w:t>niet</w:t>
      </w:r>
      <w:r w:rsidR="0074435A">
        <w:rPr>
          <w:szCs w:val="18"/>
        </w:rPr>
        <w:t xml:space="preserve"> </w:t>
      </w:r>
      <w:r w:rsidR="0076396D">
        <w:rPr>
          <w:szCs w:val="18"/>
        </w:rPr>
        <w:t xml:space="preserve">in algemene zin </w:t>
      </w:r>
      <w:r w:rsidR="00AB3B87">
        <w:rPr>
          <w:szCs w:val="18"/>
        </w:rPr>
        <w:t xml:space="preserve">worden </w:t>
      </w:r>
      <w:r w:rsidR="0074435A">
        <w:rPr>
          <w:szCs w:val="18"/>
        </w:rPr>
        <w:t>geconcludeerd dat</w:t>
      </w:r>
      <w:r>
        <w:rPr>
          <w:szCs w:val="18"/>
        </w:rPr>
        <w:t xml:space="preserve"> de fiscaliteit </w:t>
      </w:r>
      <w:r w:rsidR="00137555">
        <w:rPr>
          <w:szCs w:val="18"/>
        </w:rPr>
        <w:t xml:space="preserve">als een belemmering wordt ervaren. </w:t>
      </w:r>
      <w:r w:rsidR="003554D7">
        <w:rPr>
          <w:szCs w:val="18"/>
        </w:rPr>
        <w:t xml:space="preserve">Er </w:t>
      </w:r>
      <w:r w:rsidR="00137555">
        <w:rPr>
          <w:szCs w:val="18"/>
        </w:rPr>
        <w:t xml:space="preserve">zijn </w:t>
      </w:r>
      <w:r>
        <w:rPr>
          <w:szCs w:val="18"/>
        </w:rPr>
        <w:t xml:space="preserve">dus </w:t>
      </w:r>
      <w:r w:rsidR="0034391F">
        <w:rPr>
          <w:szCs w:val="18"/>
        </w:rPr>
        <w:t xml:space="preserve">mogelijk </w:t>
      </w:r>
      <w:r>
        <w:rPr>
          <w:szCs w:val="18"/>
        </w:rPr>
        <w:t xml:space="preserve">ook andere factoren </w:t>
      </w:r>
      <w:r w:rsidR="00C93D4B">
        <w:rPr>
          <w:szCs w:val="18"/>
        </w:rPr>
        <w:t xml:space="preserve">die </w:t>
      </w:r>
      <w:r w:rsidR="00137555">
        <w:rPr>
          <w:szCs w:val="18"/>
        </w:rPr>
        <w:t xml:space="preserve">bij </w:t>
      </w:r>
      <w:r w:rsidR="00C93D4B">
        <w:rPr>
          <w:szCs w:val="18"/>
        </w:rPr>
        <w:t xml:space="preserve">de samenwerking </w:t>
      </w:r>
      <w:r w:rsidR="00137555">
        <w:rPr>
          <w:szCs w:val="18"/>
        </w:rPr>
        <w:t xml:space="preserve">als </w:t>
      </w:r>
      <w:r w:rsidR="00C93D4B">
        <w:rPr>
          <w:szCs w:val="18"/>
        </w:rPr>
        <w:t>belemmer</w:t>
      </w:r>
      <w:r w:rsidR="00137555">
        <w:rPr>
          <w:szCs w:val="18"/>
        </w:rPr>
        <w:t>ing worden ervaren</w:t>
      </w:r>
      <w:r>
        <w:rPr>
          <w:szCs w:val="18"/>
        </w:rPr>
        <w:t>.</w:t>
      </w:r>
      <w:r w:rsidR="0076396D">
        <w:rPr>
          <w:szCs w:val="18"/>
        </w:rPr>
        <w:t xml:space="preserve"> </w:t>
      </w:r>
    </w:p>
    <w:p w:rsidRPr="001B4CB4" w:rsidR="00E21663" w:rsidP="00BB63A7" w:rsidRDefault="009F6296" w14:paraId="24E24716" w14:textId="23C3FFF1">
      <w:pPr>
        <w:contextualSpacing/>
        <w:rPr>
          <w:szCs w:val="18"/>
        </w:rPr>
      </w:pPr>
      <w:r>
        <w:rPr>
          <w:szCs w:val="18"/>
        </w:rPr>
        <w:t xml:space="preserve">Zoals hiervoor </w:t>
      </w:r>
      <w:r w:rsidR="00F9623D">
        <w:rPr>
          <w:szCs w:val="18"/>
        </w:rPr>
        <w:t xml:space="preserve">is </w:t>
      </w:r>
      <w:r>
        <w:rPr>
          <w:szCs w:val="18"/>
        </w:rPr>
        <w:t>aangegeven</w:t>
      </w:r>
      <w:r w:rsidR="00D04C36">
        <w:rPr>
          <w:szCs w:val="18"/>
        </w:rPr>
        <w:t xml:space="preserve"> geeft het fisca</w:t>
      </w:r>
      <w:r w:rsidR="00BD0C38">
        <w:rPr>
          <w:szCs w:val="18"/>
        </w:rPr>
        <w:t>a</w:t>
      </w:r>
      <w:r w:rsidR="00D04C36">
        <w:rPr>
          <w:szCs w:val="18"/>
        </w:rPr>
        <w:t xml:space="preserve">l </w:t>
      </w:r>
      <w:r w:rsidR="00BD0C38">
        <w:rPr>
          <w:szCs w:val="18"/>
        </w:rPr>
        <w:t>toetsings</w:t>
      </w:r>
      <w:r w:rsidR="00D04C36">
        <w:rPr>
          <w:szCs w:val="18"/>
        </w:rPr>
        <w:t>kader geen objectieve grens wanneer er sprake is van fiscaal ondernemerschap. Om die reden</w:t>
      </w:r>
      <w:r>
        <w:rPr>
          <w:szCs w:val="18"/>
        </w:rPr>
        <w:t xml:space="preserve"> is het </w:t>
      </w:r>
      <w:r w:rsidR="00D04C36">
        <w:rPr>
          <w:szCs w:val="18"/>
        </w:rPr>
        <w:t>ook</w:t>
      </w:r>
      <w:r>
        <w:rPr>
          <w:szCs w:val="18"/>
        </w:rPr>
        <w:t xml:space="preserve"> niet mogelijk om</w:t>
      </w:r>
      <w:r w:rsidR="00F9623D">
        <w:rPr>
          <w:szCs w:val="18"/>
        </w:rPr>
        <w:t>,</w:t>
      </w:r>
      <w:r>
        <w:rPr>
          <w:szCs w:val="18"/>
        </w:rPr>
        <w:t xml:space="preserve"> conform de aanbeveling die de NZa doet in de </w:t>
      </w:r>
      <w:r w:rsidR="00676820">
        <w:rPr>
          <w:szCs w:val="18"/>
        </w:rPr>
        <w:t>monitor</w:t>
      </w:r>
      <w:r w:rsidR="00F9623D">
        <w:rPr>
          <w:szCs w:val="18"/>
        </w:rPr>
        <w:t>,</w:t>
      </w:r>
      <w:r w:rsidR="00676820">
        <w:rPr>
          <w:szCs w:val="18"/>
        </w:rPr>
        <w:t xml:space="preserve"> </w:t>
      </w:r>
      <w:r>
        <w:rPr>
          <w:szCs w:val="18"/>
        </w:rPr>
        <w:t xml:space="preserve">een objectieve grens aan te geven </w:t>
      </w:r>
      <w:r w:rsidR="006B219F">
        <w:rPr>
          <w:szCs w:val="18"/>
        </w:rPr>
        <w:t xml:space="preserve">waarmee </w:t>
      </w:r>
      <w:r>
        <w:rPr>
          <w:szCs w:val="18"/>
        </w:rPr>
        <w:t xml:space="preserve">vastgesteld kan worden </w:t>
      </w:r>
      <w:r w:rsidR="004B356C">
        <w:rPr>
          <w:szCs w:val="18"/>
        </w:rPr>
        <w:t xml:space="preserve">of en in hoeverre </w:t>
      </w:r>
      <w:r w:rsidRPr="009F6296">
        <w:rPr>
          <w:szCs w:val="18"/>
        </w:rPr>
        <w:t>de</w:t>
      </w:r>
      <w:r w:rsidR="004B356C">
        <w:rPr>
          <w:szCs w:val="18"/>
        </w:rPr>
        <w:t xml:space="preserve"> concrete invulling van de</w:t>
      </w:r>
      <w:r w:rsidRPr="009F6296">
        <w:rPr>
          <w:szCs w:val="18"/>
        </w:rPr>
        <w:t xml:space="preserve"> bestuurlijke en financiële samenwerking tussen msb’s en ziekenhuizen</w:t>
      </w:r>
      <w:r w:rsidR="004B356C">
        <w:rPr>
          <w:szCs w:val="18"/>
        </w:rPr>
        <w:t xml:space="preserve"> invloed heeft op</w:t>
      </w:r>
      <w:r w:rsidRPr="009F6296">
        <w:rPr>
          <w:szCs w:val="18"/>
        </w:rPr>
        <w:t xml:space="preserve"> de fiscale positie van medisch specialisten</w:t>
      </w:r>
      <w:r>
        <w:rPr>
          <w:szCs w:val="18"/>
        </w:rPr>
        <w:t>.</w:t>
      </w:r>
      <w:r w:rsidR="00AB0683">
        <w:rPr>
          <w:szCs w:val="18"/>
        </w:rPr>
        <w:t xml:space="preserve"> </w:t>
      </w:r>
      <w:r w:rsidR="00035F81">
        <w:rPr>
          <w:szCs w:val="18"/>
        </w:rPr>
        <w:t xml:space="preserve">In zijn algemeenheid kan wel worden aangegeven dat als de </w:t>
      </w:r>
      <w:r w:rsidR="0019785B">
        <w:rPr>
          <w:szCs w:val="18"/>
        </w:rPr>
        <w:t>concrete invulling van</w:t>
      </w:r>
      <w:r w:rsidR="00035F81">
        <w:rPr>
          <w:szCs w:val="18"/>
        </w:rPr>
        <w:t xml:space="preserve"> een aanbeveling ertoe leidt dat de ondernemersrisico’s of de mate van zelfstandigheid van de medisch specialist ten opzichte van het ziekenhuis afnemen</w:t>
      </w:r>
      <w:r w:rsidR="00F9623D">
        <w:rPr>
          <w:szCs w:val="18"/>
        </w:rPr>
        <w:t>,</w:t>
      </w:r>
      <w:r w:rsidR="00035F81">
        <w:rPr>
          <w:szCs w:val="18"/>
        </w:rPr>
        <w:t xml:space="preserve"> dit invloed kan hebben op het</w:t>
      </w:r>
      <w:r w:rsidR="00E75F6F">
        <w:rPr>
          <w:szCs w:val="18"/>
        </w:rPr>
        <w:t xml:space="preserve"> al dan niet concluderen tot</w:t>
      </w:r>
      <w:r w:rsidR="00035F81">
        <w:rPr>
          <w:szCs w:val="18"/>
        </w:rPr>
        <w:t xml:space="preserve"> ondernemerschap van de medisch specialist. </w:t>
      </w:r>
      <w:r w:rsidR="00AB0683">
        <w:rPr>
          <w:szCs w:val="18"/>
        </w:rPr>
        <w:t>Uit de</w:t>
      </w:r>
      <w:r w:rsidR="00BB63A7">
        <w:rPr>
          <w:szCs w:val="18"/>
        </w:rPr>
        <w:t xml:space="preserve"> aanbeveling </w:t>
      </w:r>
      <w:r w:rsidR="00AB0683">
        <w:rPr>
          <w:szCs w:val="18"/>
        </w:rPr>
        <w:t xml:space="preserve">van de NZa </w:t>
      </w:r>
      <w:r w:rsidR="00C93D4B">
        <w:rPr>
          <w:szCs w:val="18"/>
        </w:rPr>
        <w:t>blijkt</w:t>
      </w:r>
      <w:r w:rsidR="00BB63A7">
        <w:rPr>
          <w:szCs w:val="18"/>
        </w:rPr>
        <w:t xml:space="preserve"> </w:t>
      </w:r>
      <w:r w:rsidR="00C93D4B">
        <w:rPr>
          <w:szCs w:val="18"/>
        </w:rPr>
        <w:t xml:space="preserve">dat </w:t>
      </w:r>
      <w:r w:rsidR="00BB63A7">
        <w:rPr>
          <w:szCs w:val="18"/>
        </w:rPr>
        <w:t xml:space="preserve">bij het ziekenhuis en de medisch specialisten behoefte bestaat aan duidelijkheid over de fiscale gevolgen. Hieronder zal </w:t>
      </w:r>
      <w:r w:rsidR="000A6723">
        <w:rPr>
          <w:szCs w:val="18"/>
        </w:rPr>
        <w:t>worden</w:t>
      </w:r>
      <w:r w:rsidR="00BB63A7">
        <w:rPr>
          <w:szCs w:val="18"/>
        </w:rPr>
        <w:t xml:space="preserve"> in</w:t>
      </w:r>
      <w:r w:rsidR="000A6723">
        <w:rPr>
          <w:szCs w:val="18"/>
        </w:rPr>
        <w:t>ge</w:t>
      </w:r>
      <w:r w:rsidR="00BB63A7">
        <w:rPr>
          <w:szCs w:val="18"/>
        </w:rPr>
        <w:t xml:space="preserve">gaan op de acht verbeterpunten die de NZa heeft benoemd in de </w:t>
      </w:r>
      <w:r w:rsidR="00676820">
        <w:rPr>
          <w:szCs w:val="18"/>
        </w:rPr>
        <w:t>m</w:t>
      </w:r>
      <w:r w:rsidRPr="001B4CB4" w:rsidR="00676820">
        <w:rPr>
          <w:szCs w:val="18"/>
        </w:rPr>
        <w:t>onitor</w:t>
      </w:r>
      <w:r w:rsidR="00850879">
        <w:rPr>
          <w:szCs w:val="18"/>
        </w:rPr>
        <w:t>,</w:t>
      </w:r>
      <w:r w:rsidRPr="00850879" w:rsidR="00850879">
        <w:rPr>
          <w:szCs w:val="18"/>
        </w:rPr>
        <w:t xml:space="preserve"> </w:t>
      </w:r>
      <w:r w:rsidR="00850879">
        <w:rPr>
          <w:szCs w:val="18"/>
        </w:rPr>
        <w:t>de mogelijke fiscale gevolgen daarvan</w:t>
      </w:r>
      <w:r w:rsidR="00676820">
        <w:rPr>
          <w:szCs w:val="18"/>
        </w:rPr>
        <w:t xml:space="preserve"> </w:t>
      </w:r>
      <w:r w:rsidR="00AB0683">
        <w:rPr>
          <w:szCs w:val="18"/>
        </w:rPr>
        <w:t>en de mogelijkheid om vooraf duidelijkheid te krijgen over de</w:t>
      </w:r>
      <w:r w:rsidR="00E826A6">
        <w:rPr>
          <w:szCs w:val="18"/>
        </w:rPr>
        <w:t xml:space="preserve"> impact van een meer gelijkgerichte samenwerking op de</w:t>
      </w:r>
      <w:r w:rsidR="00AB0683">
        <w:rPr>
          <w:szCs w:val="18"/>
        </w:rPr>
        <w:t xml:space="preserve"> fiscale positie van de medisch specialist</w:t>
      </w:r>
      <w:r w:rsidR="00BB63A7">
        <w:rPr>
          <w:szCs w:val="18"/>
        </w:rPr>
        <w:t>.</w:t>
      </w:r>
    </w:p>
    <w:p w:rsidRPr="001B4CB4" w:rsidR="00722DE0" w:rsidP="003A4F75" w:rsidRDefault="00722DE0" w14:paraId="70048191" w14:textId="77777777">
      <w:pPr>
        <w:contextualSpacing/>
        <w:rPr>
          <w:i/>
          <w:iCs/>
          <w:szCs w:val="18"/>
        </w:rPr>
      </w:pPr>
    </w:p>
    <w:p w:rsidRPr="0069016D" w:rsidR="00F9623D" w:rsidP="0069016D" w:rsidRDefault="00557322" w14:paraId="6FCF1096" w14:textId="1C5D904C">
      <w:pPr>
        <w:contextualSpacing/>
        <w:rPr>
          <w:i/>
          <w:iCs/>
          <w:szCs w:val="18"/>
        </w:rPr>
      </w:pPr>
      <w:r>
        <w:rPr>
          <w:i/>
          <w:iCs/>
          <w:szCs w:val="18"/>
        </w:rPr>
        <w:t>Fiscale gevolgen v</w:t>
      </w:r>
      <w:r w:rsidRPr="001B4CB4" w:rsidR="00DE3503">
        <w:rPr>
          <w:i/>
          <w:iCs/>
          <w:szCs w:val="18"/>
        </w:rPr>
        <w:t>erbeterpunten</w:t>
      </w:r>
      <w:r>
        <w:rPr>
          <w:i/>
          <w:iCs/>
          <w:szCs w:val="18"/>
        </w:rPr>
        <w:t xml:space="preserve"> </w:t>
      </w:r>
      <w:r w:rsidR="006B6239">
        <w:rPr>
          <w:i/>
          <w:iCs/>
          <w:szCs w:val="18"/>
        </w:rPr>
        <w:t>‘bestuurbaarheid van ziekenhuizen’</w:t>
      </w:r>
    </w:p>
    <w:p w:rsidR="00850879" w:rsidP="003C312A" w:rsidRDefault="00850879" w14:paraId="6061E4B2" w14:textId="77777777">
      <w:pPr>
        <w:pStyle w:val="Default"/>
        <w:spacing w:line="240" w:lineRule="exact"/>
        <w:rPr>
          <w:rFonts w:ascii="Verdana" w:hAnsi="Verdana"/>
          <w:color w:val="auto"/>
          <w:sz w:val="18"/>
          <w:szCs w:val="18"/>
        </w:rPr>
      </w:pPr>
    </w:p>
    <w:p w:rsidRPr="003C312A" w:rsidR="003C312A" w:rsidP="003C312A" w:rsidRDefault="003C312A" w14:paraId="16722218" w14:textId="2978A359">
      <w:pPr>
        <w:pStyle w:val="Default"/>
        <w:spacing w:line="240" w:lineRule="exact"/>
        <w:rPr>
          <w:rFonts w:ascii="Verdana" w:hAnsi="Verdana"/>
          <w:color w:val="auto"/>
          <w:sz w:val="18"/>
          <w:szCs w:val="18"/>
        </w:rPr>
      </w:pPr>
      <w:r w:rsidRPr="003C312A">
        <w:rPr>
          <w:rFonts w:ascii="Verdana" w:hAnsi="Verdana"/>
          <w:color w:val="auto"/>
          <w:sz w:val="18"/>
          <w:szCs w:val="18"/>
        </w:rPr>
        <w:t xml:space="preserve">De NZa heeft in de monitor </w:t>
      </w:r>
      <w:r w:rsidR="00850879">
        <w:rPr>
          <w:rFonts w:ascii="Verdana" w:hAnsi="Verdana"/>
          <w:color w:val="auto"/>
          <w:sz w:val="18"/>
          <w:szCs w:val="18"/>
        </w:rPr>
        <w:t xml:space="preserve">het verbeterpotentieel van msb’s in kaart gebracht. De NZa heeft deze conclusies verwerkt tot </w:t>
      </w:r>
      <w:r w:rsidRPr="003C312A">
        <w:rPr>
          <w:rFonts w:ascii="Verdana" w:hAnsi="Verdana"/>
          <w:color w:val="auto"/>
          <w:sz w:val="18"/>
          <w:szCs w:val="18"/>
        </w:rPr>
        <w:t>acht verbeterpunten</w:t>
      </w:r>
      <w:r w:rsidR="00850879">
        <w:rPr>
          <w:rFonts w:ascii="Verdana" w:hAnsi="Verdana"/>
          <w:color w:val="auto"/>
          <w:sz w:val="18"/>
          <w:szCs w:val="18"/>
        </w:rPr>
        <w:t xml:space="preserve"> (in willekeurige volgorde)</w:t>
      </w:r>
      <w:r w:rsidR="00850879">
        <w:rPr>
          <w:rStyle w:val="Voetnootmarkering"/>
          <w:rFonts w:ascii="Verdana" w:hAnsi="Verdana"/>
          <w:color w:val="auto"/>
          <w:sz w:val="18"/>
          <w:szCs w:val="18"/>
        </w:rPr>
        <w:footnoteReference w:id="10"/>
      </w:r>
      <w:r w:rsidRPr="003C312A">
        <w:rPr>
          <w:rFonts w:ascii="Verdana" w:hAnsi="Verdana"/>
          <w:color w:val="auto"/>
          <w:sz w:val="18"/>
          <w:szCs w:val="18"/>
        </w:rPr>
        <w:t>:</w:t>
      </w:r>
    </w:p>
    <w:p w:rsidRPr="003C312A" w:rsidR="003C312A" w:rsidP="003C312A" w:rsidRDefault="003C312A" w14:paraId="3C7145BC" w14:textId="22739DEB">
      <w:pPr>
        <w:pStyle w:val="Default"/>
        <w:numPr>
          <w:ilvl w:val="0"/>
          <w:numId w:val="12"/>
        </w:numPr>
        <w:spacing w:line="240" w:lineRule="exact"/>
        <w:rPr>
          <w:rFonts w:ascii="Verdana" w:hAnsi="Verdana" w:eastAsia="Times New Roman" w:cs="Segoe UI"/>
          <w:sz w:val="18"/>
          <w:szCs w:val="18"/>
          <w:lang w:eastAsia="nl-NL"/>
          <w14:ligatures w14:val="none"/>
        </w:rPr>
      </w:pPr>
      <w:r w:rsidRPr="003C312A">
        <w:rPr>
          <w:rFonts w:ascii="Verdana" w:hAnsi="Verdana" w:eastAsia="Times New Roman" w:cs="Segoe UI"/>
          <w:sz w:val="18"/>
          <w:szCs w:val="18"/>
          <w:lang w:eastAsia="nl-NL"/>
          <w14:ligatures w14:val="none"/>
        </w:rPr>
        <w:t>Stel als msb en ziekenhuis een gezamenlijke (meerjaren)strategie op en leg die vast.</w:t>
      </w:r>
    </w:p>
    <w:p w:rsidRPr="003C312A" w:rsidR="003C312A" w:rsidP="003C312A" w:rsidRDefault="003C312A" w14:paraId="293BB94C" w14:textId="56CE6638">
      <w:pPr>
        <w:pStyle w:val="Default"/>
        <w:numPr>
          <w:ilvl w:val="0"/>
          <w:numId w:val="12"/>
        </w:numPr>
        <w:spacing w:line="240" w:lineRule="exact"/>
        <w:rPr>
          <w:rFonts w:ascii="Verdana" w:hAnsi="Verdana" w:eastAsia="Times New Roman" w:cs="Segoe UI"/>
          <w:sz w:val="18"/>
          <w:szCs w:val="18"/>
          <w:lang w:eastAsia="nl-NL"/>
          <w14:ligatures w14:val="none"/>
        </w:rPr>
      </w:pPr>
      <w:r w:rsidRPr="003C312A">
        <w:rPr>
          <w:rFonts w:ascii="Verdana" w:hAnsi="Verdana" w:eastAsia="Times New Roman" w:cs="Segoe UI"/>
          <w:sz w:val="18"/>
          <w:szCs w:val="18"/>
          <w:lang w:eastAsia="nl-NL"/>
          <w14:ligatures w14:val="none"/>
        </w:rPr>
        <w:t>Maak als msb het eigen belang ondergeschikt aan het overkoepelende ziekenhuisbelang en het maatschappelijk belang.</w:t>
      </w:r>
    </w:p>
    <w:p w:rsidRPr="003C312A" w:rsidR="003C312A" w:rsidP="003C312A" w:rsidRDefault="003C312A" w14:paraId="76548502" w14:textId="473444FD">
      <w:pPr>
        <w:pStyle w:val="Default"/>
        <w:numPr>
          <w:ilvl w:val="0"/>
          <w:numId w:val="12"/>
        </w:numPr>
        <w:spacing w:line="240" w:lineRule="exact"/>
        <w:rPr>
          <w:rFonts w:ascii="Verdana" w:hAnsi="Verdana" w:eastAsia="Times New Roman" w:cs="Segoe UI"/>
          <w:sz w:val="18"/>
          <w:szCs w:val="18"/>
          <w:lang w:eastAsia="nl-NL"/>
          <w14:ligatures w14:val="none"/>
        </w:rPr>
      </w:pPr>
      <w:r w:rsidRPr="003C312A">
        <w:rPr>
          <w:rFonts w:ascii="Verdana" w:hAnsi="Verdana" w:eastAsia="Times New Roman" w:cs="Segoe UI"/>
          <w:sz w:val="18"/>
          <w:szCs w:val="18"/>
          <w:lang w:eastAsia="nl-NL"/>
          <w14:ligatures w14:val="none"/>
        </w:rPr>
        <w:t>Versterk als msb het mandaat van het eigen bestuur en investeer in de professionaliteit van de bestuursleden.</w:t>
      </w:r>
    </w:p>
    <w:p w:rsidRPr="003C312A" w:rsidR="003C312A" w:rsidP="003C312A" w:rsidRDefault="003C312A" w14:paraId="1C204675" w14:textId="77777777">
      <w:pPr>
        <w:pStyle w:val="Default"/>
        <w:numPr>
          <w:ilvl w:val="0"/>
          <w:numId w:val="12"/>
        </w:numPr>
        <w:spacing w:line="240" w:lineRule="exact"/>
        <w:rPr>
          <w:rFonts w:ascii="Verdana" w:hAnsi="Verdana" w:eastAsia="Times New Roman" w:cs="Segoe UI"/>
          <w:sz w:val="18"/>
          <w:szCs w:val="18"/>
          <w:lang w:eastAsia="nl-NL"/>
          <w14:ligatures w14:val="none"/>
        </w:rPr>
      </w:pPr>
      <w:r w:rsidRPr="003C312A">
        <w:rPr>
          <w:rFonts w:ascii="Verdana" w:hAnsi="Verdana" w:eastAsia="Times New Roman" w:cs="Segoe UI"/>
          <w:sz w:val="18"/>
          <w:szCs w:val="18"/>
          <w:lang w:eastAsia="nl-NL"/>
          <w14:ligatures w14:val="none"/>
        </w:rPr>
        <w:t>Verbeter als msb de eigen financiële transparantie.</w:t>
      </w:r>
    </w:p>
    <w:p w:rsidRPr="003C312A" w:rsidR="003C312A" w:rsidP="003C312A" w:rsidRDefault="003C312A" w14:paraId="19484528" w14:textId="77777777">
      <w:pPr>
        <w:pStyle w:val="Default"/>
        <w:numPr>
          <w:ilvl w:val="0"/>
          <w:numId w:val="12"/>
        </w:numPr>
        <w:spacing w:line="240" w:lineRule="exact"/>
        <w:rPr>
          <w:rFonts w:ascii="Verdana" w:hAnsi="Verdana" w:eastAsia="Times New Roman" w:cs="Segoe UI"/>
          <w:sz w:val="18"/>
          <w:szCs w:val="18"/>
          <w:lang w:eastAsia="nl-NL"/>
          <w14:ligatures w14:val="none"/>
        </w:rPr>
      </w:pPr>
      <w:r w:rsidRPr="003C312A">
        <w:rPr>
          <w:rFonts w:ascii="Verdana" w:hAnsi="Verdana" w:eastAsia="Times New Roman" w:cs="Segoe UI"/>
          <w:sz w:val="18"/>
          <w:szCs w:val="18"/>
          <w:lang w:eastAsia="nl-NL"/>
          <w14:ligatures w14:val="none"/>
        </w:rPr>
        <w:t>Beslis als msb en ziekenhuis samen over het aannemen van vrijgevestigde medisch specialisten.</w:t>
      </w:r>
    </w:p>
    <w:p w:rsidRPr="003C312A" w:rsidR="003C312A" w:rsidP="003C312A" w:rsidRDefault="003C312A" w14:paraId="36728EEA" w14:textId="77777777">
      <w:pPr>
        <w:pStyle w:val="Default"/>
        <w:numPr>
          <w:ilvl w:val="0"/>
          <w:numId w:val="12"/>
        </w:numPr>
        <w:spacing w:line="240" w:lineRule="exact"/>
        <w:rPr>
          <w:rFonts w:ascii="Verdana" w:hAnsi="Verdana" w:eastAsia="Times New Roman" w:cs="Segoe UI"/>
          <w:sz w:val="18"/>
          <w:szCs w:val="18"/>
          <w:lang w:eastAsia="nl-NL"/>
          <w14:ligatures w14:val="none"/>
        </w:rPr>
      </w:pPr>
      <w:r w:rsidRPr="003C312A">
        <w:rPr>
          <w:rFonts w:ascii="Verdana" w:hAnsi="Verdana" w:eastAsia="Times New Roman" w:cs="Segoe UI"/>
          <w:sz w:val="18"/>
          <w:szCs w:val="18"/>
          <w:lang w:eastAsia="nl-NL"/>
          <w14:ligatures w14:val="none"/>
        </w:rPr>
        <w:t>Verenig losse msb’s, die ieder afzonderlijk aan één ziekenhuis zijn verbonden, tot één geïntegreerd msb.</w:t>
      </w:r>
    </w:p>
    <w:p w:rsidRPr="003C312A" w:rsidR="003C312A" w:rsidP="003C312A" w:rsidRDefault="003C312A" w14:paraId="7EB5A77C" w14:textId="77777777">
      <w:pPr>
        <w:pStyle w:val="Default"/>
        <w:numPr>
          <w:ilvl w:val="0"/>
          <w:numId w:val="12"/>
        </w:numPr>
        <w:spacing w:line="240" w:lineRule="exact"/>
        <w:rPr>
          <w:rFonts w:ascii="Verdana" w:hAnsi="Verdana" w:eastAsia="Times New Roman" w:cs="Segoe UI"/>
          <w:sz w:val="18"/>
          <w:szCs w:val="18"/>
          <w:lang w:eastAsia="nl-NL"/>
          <w14:ligatures w14:val="none"/>
        </w:rPr>
      </w:pPr>
      <w:r w:rsidRPr="003C312A">
        <w:rPr>
          <w:rFonts w:ascii="Verdana" w:hAnsi="Verdana" w:eastAsia="Times New Roman" w:cs="Segoe UI"/>
          <w:sz w:val="18"/>
          <w:szCs w:val="18"/>
          <w:lang w:eastAsia="nl-NL"/>
          <w14:ligatures w14:val="none"/>
        </w:rPr>
        <w:t>Maak als msb geen financiële afspraken die sterkere productieprikkels bevatten dan de bovenliggende financiële afspraken.</w:t>
      </w:r>
    </w:p>
    <w:p w:rsidRPr="003C312A" w:rsidR="003C312A" w:rsidP="003C312A" w:rsidRDefault="003C312A" w14:paraId="75D16A9B" w14:textId="42C0EFA0">
      <w:pPr>
        <w:pStyle w:val="Default"/>
        <w:numPr>
          <w:ilvl w:val="0"/>
          <w:numId w:val="12"/>
        </w:numPr>
        <w:spacing w:line="240" w:lineRule="exact"/>
        <w:rPr>
          <w:rFonts w:ascii="Verdana" w:hAnsi="Verdana" w:eastAsia="Times New Roman" w:cs="Segoe UI"/>
          <w:sz w:val="18"/>
          <w:szCs w:val="18"/>
          <w:lang w:eastAsia="nl-NL"/>
          <w14:ligatures w14:val="none"/>
        </w:rPr>
      </w:pPr>
      <w:r w:rsidRPr="003C312A">
        <w:rPr>
          <w:rFonts w:ascii="Verdana" w:hAnsi="Verdana" w:eastAsia="Times New Roman" w:cs="Segoe UI"/>
          <w:sz w:val="18"/>
          <w:szCs w:val="18"/>
          <w:lang w:eastAsia="nl-NL"/>
          <w14:ligatures w14:val="none"/>
        </w:rPr>
        <w:t>Zorg als msb dat de eigen financiële belangen meer aansluiten bij die van ziekenhuizen.</w:t>
      </w:r>
    </w:p>
    <w:p w:rsidR="00850879" w:rsidP="003A4F75" w:rsidRDefault="00850879" w14:paraId="567B9C5D" w14:textId="77777777">
      <w:pPr>
        <w:pStyle w:val="Default"/>
        <w:spacing w:line="240" w:lineRule="exact"/>
        <w:rPr>
          <w:rFonts w:ascii="Verdana" w:hAnsi="Verdana"/>
          <w:color w:val="auto"/>
          <w:sz w:val="18"/>
          <w:szCs w:val="18"/>
        </w:rPr>
      </w:pPr>
    </w:p>
    <w:p w:rsidRPr="001B4CB4" w:rsidR="00D13028" w:rsidP="003A4F75" w:rsidRDefault="00722DE0" w14:paraId="44CC2030" w14:textId="546C46D4">
      <w:pPr>
        <w:pStyle w:val="Default"/>
        <w:spacing w:line="240" w:lineRule="exact"/>
        <w:rPr>
          <w:rFonts w:ascii="Verdana" w:hAnsi="Verdana"/>
          <w:color w:val="auto"/>
          <w:sz w:val="18"/>
          <w:szCs w:val="18"/>
        </w:rPr>
      </w:pPr>
      <w:r w:rsidRPr="001B4CB4">
        <w:rPr>
          <w:rFonts w:ascii="Verdana" w:hAnsi="Verdana"/>
          <w:color w:val="auto"/>
          <w:sz w:val="18"/>
          <w:szCs w:val="18"/>
        </w:rPr>
        <w:t>Zoals blijkt uit het fisca</w:t>
      </w:r>
      <w:r w:rsidR="00BD0C38">
        <w:rPr>
          <w:rFonts w:ascii="Verdana" w:hAnsi="Verdana"/>
          <w:color w:val="auto"/>
          <w:sz w:val="18"/>
          <w:szCs w:val="18"/>
        </w:rPr>
        <w:t>a</w:t>
      </w:r>
      <w:r w:rsidRPr="001B4CB4">
        <w:rPr>
          <w:rFonts w:ascii="Verdana" w:hAnsi="Verdana"/>
          <w:color w:val="auto"/>
          <w:sz w:val="18"/>
          <w:szCs w:val="18"/>
        </w:rPr>
        <w:t xml:space="preserve">l </w:t>
      </w:r>
      <w:r w:rsidR="00BD0C38">
        <w:rPr>
          <w:rFonts w:ascii="Verdana" w:hAnsi="Verdana"/>
          <w:color w:val="auto"/>
          <w:sz w:val="18"/>
          <w:szCs w:val="18"/>
        </w:rPr>
        <w:t>toetsings</w:t>
      </w:r>
      <w:r w:rsidRPr="001B4CB4">
        <w:rPr>
          <w:rFonts w:ascii="Verdana" w:hAnsi="Verdana"/>
          <w:color w:val="auto"/>
          <w:sz w:val="18"/>
          <w:szCs w:val="18"/>
        </w:rPr>
        <w:t xml:space="preserve">kader </w:t>
      </w:r>
      <w:r w:rsidRPr="001B4CB4" w:rsidR="00BC7AF1">
        <w:rPr>
          <w:rFonts w:ascii="Verdana" w:hAnsi="Verdana"/>
          <w:color w:val="auto"/>
          <w:sz w:val="18"/>
          <w:szCs w:val="18"/>
        </w:rPr>
        <w:t xml:space="preserve">dat </w:t>
      </w:r>
      <w:r w:rsidRPr="001B4CB4">
        <w:rPr>
          <w:rFonts w:ascii="Verdana" w:hAnsi="Verdana"/>
          <w:color w:val="auto"/>
          <w:sz w:val="18"/>
          <w:szCs w:val="18"/>
        </w:rPr>
        <w:t xml:space="preserve">hiervoor </w:t>
      </w:r>
      <w:r w:rsidRPr="001B4CB4" w:rsidR="00BC7AF1">
        <w:rPr>
          <w:rFonts w:ascii="Verdana" w:hAnsi="Verdana"/>
          <w:color w:val="auto"/>
          <w:sz w:val="18"/>
          <w:szCs w:val="18"/>
        </w:rPr>
        <w:t xml:space="preserve">is </w:t>
      </w:r>
      <w:r w:rsidRPr="001B4CB4">
        <w:rPr>
          <w:rFonts w:ascii="Verdana" w:hAnsi="Verdana"/>
          <w:color w:val="auto"/>
          <w:sz w:val="18"/>
          <w:szCs w:val="18"/>
        </w:rPr>
        <w:t>geschetst</w:t>
      </w:r>
      <w:r w:rsidR="00AB3B87">
        <w:rPr>
          <w:rFonts w:ascii="Verdana" w:hAnsi="Verdana"/>
          <w:color w:val="auto"/>
          <w:sz w:val="18"/>
          <w:szCs w:val="18"/>
        </w:rPr>
        <w:t>,</w:t>
      </w:r>
      <w:r w:rsidRPr="001B4CB4">
        <w:rPr>
          <w:rFonts w:ascii="Verdana" w:hAnsi="Verdana"/>
          <w:color w:val="auto"/>
          <w:sz w:val="18"/>
          <w:szCs w:val="18"/>
        </w:rPr>
        <w:t xml:space="preserve"> </w:t>
      </w:r>
      <w:r w:rsidRPr="001B4CB4" w:rsidR="00D13028">
        <w:rPr>
          <w:rFonts w:ascii="Verdana" w:hAnsi="Verdana"/>
          <w:color w:val="auto"/>
          <w:sz w:val="18"/>
          <w:szCs w:val="18"/>
        </w:rPr>
        <w:t xml:space="preserve">kan de medisch specialist </w:t>
      </w:r>
      <w:r w:rsidR="008F0D8D">
        <w:rPr>
          <w:rFonts w:ascii="Verdana" w:hAnsi="Verdana"/>
          <w:color w:val="auto"/>
          <w:sz w:val="18"/>
          <w:szCs w:val="18"/>
        </w:rPr>
        <w:t xml:space="preserve">die participeert in een fiscaal transparant msb </w:t>
      </w:r>
      <w:r w:rsidR="00CF5D3E">
        <w:rPr>
          <w:rFonts w:ascii="Verdana" w:hAnsi="Verdana"/>
          <w:color w:val="auto"/>
          <w:sz w:val="18"/>
          <w:szCs w:val="18"/>
        </w:rPr>
        <w:t>voor de inkomstenbelasting</w:t>
      </w:r>
      <w:r w:rsidRPr="001B4CB4" w:rsidR="00D13028">
        <w:rPr>
          <w:rFonts w:ascii="Verdana" w:hAnsi="Verdana"/>
          <w:color w:val="auto"/>
          <w:sz w:val="18"/>
          <w:szCs w:val="18"/>
        </w:rPr>
        <w:t xml:space="preserve"> ondernemer zijn als</w:t>
      </w:r>
      <w:r w:rsidR="00E75F6F">
        <w:rPr>
          <w:rFonts w:ascii="Verdana" w:hAnsi="Verdana"/>
          <w:color w:val="auto"/>
          <w:sz w:val="18"/>
          <w:szCs w:val="18"/>
        </w:rPr>
        <w:t>, in onderlinge samenhang bezien,</w:t>
      </w:r>
      <w:r w:rsidRPr="001B4CB4" w:rsidR="00D13028">
        <w:rPr>
          <w:rFonts w:ascii="Verdana" w:hAnsi="Verdana"/>
          <w:color w:val="auto"/>
          <w:sz w:val="18"/>
          <w:szCs w:val="18"/>
        </w:rPr>
        <w:t xml:space="preserve"> </w:t>
      </w:r>
      <w:r w:rsidR="00746BAF">
        <w:rPr>
          <w:rFonts w:ascii="Verdana" w:hAnsi="Verdana"/>
          <w:color w:val="auto"/>
          <w:sz w:val="18"/>
          <w:szCs w:val="18"/>
        </w:rPr>
        <w:t xml:space="preserve">voldoende wordt voldaan aan de </w:t>
      </w:r>
      <w:r w:rsidR="00E56104">
        <w:rPr>
          <w:rFonts w:ascii="Verdana" w:hAnsi="Verdana"/>
          <w:color w:val="auto"/>
          <w:sz w:val="18"/>
          <w:szCs w:val="18"/>
        </w:rPr>
        <w:t xml:space="preserve">aspecten </w:t>
      </w:r>
      <w:r w:rsidR="00746BAF">
        <w:rPr>
          <w:rFonts w:ascii="Verdana" w:hAnsi="Verdana"/>
          <w:color w:val="auto"/>
          <w:sz w:val="18"/>
          <w:szCs w:val="18"/>
        </w:rPr>
        <w:t>zoals in de jurisprudentie ontwikkeld</w:t>
      </w:r>
      <w:r w:rsidRPr="001B4CB4" w:rsidR="00D13028">
        <w:rPr>
          <w:rFonts w:ascii="Verdana" w:hAnsi="Verdana"/>
          <w:color w:val="auto"/>
          <w:sz w:val="18"/>
          <w:szCs w:val="18"/>
        </w:rPr>
        <w:t>. Bij de beoordeling van het ondernemerschap worden alle relevante feiten en omstandigheden betrokken</w:t>
      </w:r>
      <w:r w:rsidR="00BB0FB6">
        <w:rPr>
          <w:rFonts w:ascii="Verdana" w:hAnsi="Verdana"/>
          <w:color w:val="auto"/>
          <w:sz w:val="18"/>
          <w:szCs w:val="18"/>
        </w:rPr>
        <w:t xml:space="preserve"> (het</w:t>
      </w:r>
      <w:r w:rsidRPr="001B4CB4" w:rsidR="00BB0FB6">
        <w:rPr>
          <w:rFonts w:ascii="Verdana" w:hAnsi="Verdana"/>
          <w:color w:val="auto"/>
          <w:sz w:val="18"/>
          <w:szCs w:val="18"/>
        </w:rPr>
        <w:t xml:space="preserve"> totaalbeeld</w:t>
      </w:r>
      <w:r w:rsidR="00BB0FB6">
        <w:rPr>
          <w:rFonts w:ascii="Verdana" w:hAnsi="Verdana"/>
          <w:color w:val="auto"/>
          <w:sz w:val="18"/>
          <w:szCs w:val="18"/>
        </w:rPr>
        <w:t>)</w:t>
      </w:r>
      <w:r w:rsidRPr="001B4CB4" w:rsidR="00BB0FB6">
        <w:rPr>
          <w:rFonts w:ascii="Verdana" w:hAnsi="Verdana"/>
          <w:color w:val="auto"/>
          <w:sz w:val="18"/>
          <w:szCs w:val="18"/>
        </w:rPr>
        <w:t>.</w:t>
      </w:r>
      <w:r w:rsidRPr="001B4CB4" w:rsidR="00D13028">
        <w:rPr>
          <w:rFonts w:ascii="Verdana" w:hAnsi="Verdana"/>
          <w:color w:val="auto"/>
          <w:sz w:val="18"/>
          <w:szCs w:val="18"/>
        </w:rPr>
        <w:t xml:space="preserve"> Het is daarom in zijn algemeenheid ook niet aan te geven wat het doorvoeren van één of meer van de door de NZ</w:t>
      </w:r>
      <w:r w:rsidR="0069016D">
        <w:rPr>
          <w:rFonts w:ascii="Verdana" w:hAnsi="Verdana"/>
          <w:color w:val="auto"/>
          <w:sz w:val="18"/>
          <w:szCs w:val="18"/>
        </w:rPr>
        <w:t>a</w:t>
      </w:r>
      <w:r w:rsidRPr="001B4CB4" w:rsidR="00D13028">
        <w:rPr>
          <w:rFonts w:ascii="Verdana" w:hAnsi="Verdana"/>
          <w:color w:val="auto"/>
          <w:sz w:val="18"/>
          <w:szCs w:val="18"/>
        </w:rPr>
        <w:t xml:space="preserve"> geformuleerde verbeterpunten</w:t>
      </w:r>
      <w:r w:rsidR="0069016D">
        <w:rPr>
          <w:rFonts w:ascii="Verdana" w:hAnsi="Verdana"/>
          <w:color w:val="auto"/>
          <w:sz w:val="18"/>
          <w:szCs w:val="18"/>
        </w:rPr>
        <w:t xml:space="preserve"> uit de </w:t>
      </w:r>
      <w:r w:rsidR="00C93D4B">
        <w:rPr>
          <w:rFonts w:ascii="Verdana" w:hAnsi="Verdana"/>
          <w:color w:val="auto"/>
          <w:sz w:val="18"/>
          <w:szCs w:val="18"/>
        </w:rPr>
        <w:t>monitor</w:t>
      </w:r>
      <w:r w:rsidR="006B6239">
        <w:rPr>
          <w:rStyle w:val="Voetnootmarkering"/>
          <w:rFonts w:ascii="Verdana" w:hAnsi="Verdana"/>
          <w:color w:val="auto"/>
          <w:sz w:val="18"/>
          <w:szCs w:val="18"/>
        </w:rPr>
        <w:footnoteReference w:id="11"/>
      </w:r>
      <w:r w:rsidRPr="001B4CB4" w:rsidR="00D13028">
        <w:rPr>
          <w:rFonts w:ascii="Verdana" w:hAnsi="Verdana"/>
          <w:color w:val="auto"/>
          <w:sz w:val="18"/>
          <w:szCs w:val="18"/>
        </w:rPr>
        <w:t xml:space="preserve"> betekent voor het fiscale ondernemerschap van de </w:t>
      </w:r>
      <w:r w:rsidR="00901CA2">
        <w:rPr>
          <w:rFonts w:ascii="Verdana" w:hAnsi="Verdana"/>
          <w:color w:val="auto"/>
          <w:sz w:val="18"/>
          <w:szCs w:val="18"/>
        </w:rPr>
        <w:t xml:space="preserve">individuele </w:t>
      </w:r>
      <w:r w:rsidRPr="001B4CB4" w:rsidR="00D13028">
        <w:rPr>
          <w:rFonts w:ascii="Verdana" w:hAnsi="Verdana"/>
          <w:color w:val="auto"/>
          <w:sz w:val="18"/>
          <w:szCs w:val="18"/>
        </w:rPr>
        <w:t>medisch specialisten</w:t>
      </w:r>
      <w:r w:rsidRPr="001B4CB4" w:rsidR="00196B2B">
        <w:rPr>
          <w:rFonts w:ascii="Verdana" w:hAnsi="Verdana"/>
          <w:color w:val="auto"/>
          <w:sz w:val="18"/>
          <w:szCs w:val="18"/>
        </w:rPr>
        <w:t xml:space="preserve">. </w:t>
      </w:r>
      <w:r w:rsidRPr="001B4CB4" w:rsidR="0069016D">
        <w:rPr>
          <w:rFonts w:ascii="Verdana" w:hAnsi="Verdana"/>
          <w:color w:val="auto"/>
          <w:sz w:val="18"/>
          <w:szCs w:val="18"/>
        </w:rPr>
        <w:t>De NZ</w:t>
      </w:r>
      <w:r w:rsidR="0069016D">
        <w:rPr>
          <w:rFonts w:ascii="Verdana" w:hAnsi="Verdana"/>
          <w:color w:val="auto"/>
          <w:sz w:val="18"/>
          <w:szCs w:val="18"/>
        </w:rPr>
        <w:t>a</w:t>
      </w:r>
      <w:r w:rsidRPr="001B4CB4" w:rsidR="0069016D">
        <w:rPr>
          <w:rFonts w:ascii="Verdana" w:hAnsi="Verdana"/>
          <w:color w:val="auto"/>
          <w:sz w:val="18"/>
          <w:szCs w:val="18"/>
        </w:rPr>
        <w:t xml:space="preserve"> komt in </w:t>
      </w:r>
      <w:r w:rsidR="0069016D">
        <w:rPr>
          <w:rFonts w:ascii="Verdana" w:hAnsi="Verdana"/>
          <w:color w:val="auto"/>
          <w:sz w:val="18"/>
          <w:szCs w:val="18"/>
        </w:rPr>
        <w:t>de</w:t>
      </w:r>
      <w:r w:rsidRPr="001B4CB4" w:rsidR="0069016D">
        <w:rPr>
          <w:rFonts w:ascii="Verdana" w:hAnsi="Verdana"/>
          <w:color w:val="auto"/>
          <w:sz w:val="18"/>
          <w:szCs w:val="18"/>
        </w:rPr>
        <w:t xml:space="preserve"> </w:t>
      </w:r>
      <w:r w:rsidR="00C93D4B">
        <w:rPr>
          <w:rFonts w:ascii="Verdana" w:hAnsi="Verdana"/>
          <w:color w:val="auto"/>
          <w:sz w:val="18"/>
          <w:szCs w:val="18"/>
        </w:rPr>
        <w:t xml:space="preserve">monitor </w:t>
      </w:r>
      <w:r w:rsidRPr="001B4CB4" w:rsidR="0069016D">
        <w:rPr>
          <w:rFonts w:ascii="Verdana" w:hAnsi="Verdana"/>
          <w:color w:val="auto"/>
          <w:sz w:val="18"/>
          <w:szCs w:val="18"/>
        </w:rPr>
        <w:t>tot acht</w:t>
      </w:r>
      <w:r w:rsidR="0069016D">
        <w:rPr>
          <w:rFonts w:ascii="Verdana" w:hAnsi="Verdana"/>
          <w:color w:val="auto"/>
          <w:sz w:val="18"/>
          <w:szCs w:val="18"/>
        </w:rPr>
        <w:t xml:space="preserve"> </w:t>
      </w:r>
      <w:r w:rsidRPr="001B4CB4" w:rsidR="0069016D">
        <w:rPr>
          <w:rFonts w:ascii="Verdana" w:hAnsi="Verdana"/>
          <w:color w:val="auto"/>
          <w:sz w:val="18"/>
          <w:szCs w:val="18"/>
        </w:rPr>
        <w:t>verbeterpunten, maar geeft ook aan dat er onderwerpen zijn waar geen of bijna geen verbeterpotentieel voor</w:t>
      </w:r>
      <w:r w:rsidR="0069016D">
        <w:rPr>
          <w:rFonts w:ascii="Verdana" w:hAnsi="Verdana"/>
          <w:color w:val="auto"/>
          <w:sz w:val="18"/>
          <w:szCs w:val="18"/>
        </w:rPr>
        <w:t xml:space="preserve"> de gelijkgerichtheid tussen ziekenhuizen en</w:t>
      </w:r>
      <w:r w:rsidRPr="001B4CB4" w:rsidR="0069016D">
        <w:rPr>
          <w:rFonts w:ascii="Verdana" w:hAnsi="Verdana"/>
          <w:color w:val="auto"/>
          <w:sz w:val="18"/>
          <w:szCs w:val="18"/>
        </w:rPr>
        <w:t xml:space="preserve"> msb’s </w:t>
      </w:r>
      <w:r w:rsidRPr="001B4CB4" w:rsidR="0069016D">
        <w:rPr>
          <w:rFonts w:ascii="Verdana" w:hAnsi="Verdana"/>
          <w:color w:val="auto"/>
          <w:sz w:val="18"/>
          <w:szCs w:val="18"/>
        </w:rPr>
        <w:lastRenderedPageBreak/>
        <w:t>is aangetroffen, dan</w:t>
      </w:r>
      <w:r w:rsidR="00AB3B87">
        <w:rPr>
          <w:rFonts w:ascii="Verdana" w:hAnsi="Verdana"/>
          <w:color w:val="auto"/>
          <w:sz w:val="18"/>
          <w:szCs w:val="18"/>
        </w:rPr>
        <w:t xml:space="preserve"> </w:t>
      </w:r>
      <w:r w:rsidRPr="001B4CB4" w:rsidR="0069016D">
        <w:rPr>
          <w:rFonts w:ascii="Verdana" w:hAnsi="Verdana"/>
          <w:color w:val="auto"/>
          <w:sz w:val="18"/>
          <w:szCs w:val="18"/>
        </w:rPr>
        <w:t xml:space="preserve">wel dat zij onvoldoende informatie had om uitspraken te kunnen doen over het verbeterpotentieel. </w:t>
      </w:r>
      <w:r w:rsidR="0069016D">
        <w:rPr>
          <w:rFonts w:ascii="Verdana" w:hAnsi="Verdana"/>
          <w:color w:val="auto"/>
          <w:sz w:val="18"/>
          <w:szCs w:val="18"/>
        </w:rPr>
        <w:t xml:space="preserve">Het gaat dan bijvoorbeeld om </w:t>
      </w:r>
      <w:r w:rsidRPr="001B4CB4" w:rsidR="0069016D">
        <w:rPr>
          <w:rFonts w:ascii="Verdana" w:hAnsi="Verdana"/>
          <w:color w:val="auto"/>
          <w:sz w:val="18"/>
          <w:szCs w:val="18"/>
        </w:rPr>
        <w:t>de aanwezigheid van eventuele andere opdrachtgevers (nevenactiviteiten en neveninkomsten) en het aangaan van investeringen door msb’s (bij grote ziekenhuisaangelegenheden).</w:t>
      </w:r>
      <w:r w:rsidR="003C312A">
        <w:rPr>
          <w:rStyle w:val="Voetnootmarkering"/>
          <w:rFonts w:ascii="Verdana" w:hAnsi="Verdana"/>
          <w:color w:val="auto"/>
          <w:sz w:val="18"/>
          <w:szCs w:val="18"/>
        </w:rPr>
        <w:footnoteReference w:id="12"/>
      </w:r>
      <w:r w:rsidR="0069016D">
        <w:rPr>
          <w:rFonts w:ascii="Verdana" w:hAnsi="Verdana"/>
          <w:color w:val="auto"/>
          <w:sz w:val="18"/>
          <w:szCs w:val="18"/>
        </w:rPr>
        <w:t xml:space="preserve"> Zoals blijkt uit het fisca</w:t>
      </w:r>
      <w:r w:rsidR="00BD0C38">
        <w:rPr>
          <w:rFonts w:ascii="Verdana" w:hAnsi="Verdana"/>
          <w:color w:val="auto"/>
          <w:sz w:val="18"/>
          <w:szCs w:val="18"/>
        </w:rPr>
        <w:t>a</w:t>
      </w:r>
      <w:r w:rsidR="0069016D">
        <w:rPr>
          <w:rFonts w:ascii="Verdana" w:hAnsi="Verdana"/>
          <w:color w:val="auto"/>
          <w:sz w:val="18"/>
          <w:szCs w:val="18"/>
        </w:rPr>
        <w:t xml:space="preserve">l </w:t>
      </w:r>
      <w:r w:rsidR="00BD0C38">
        <w:rPr>
          <w:rFonts w:ascii="Verdana" w:hAnsi="Verdana"/>
          <w:color w:val="auto"/>
          <w:sz w:val="18"/>
          <w:szCs w:val="18"/>
        </w:rPr>
        <w:t>toetsings</w:t>
      </w:r>
      <w:r w:rsidR="0069016D">
        <w:rPr>
          <w:rFonts w:ascii="Verdana" w:hAnsi="Verdana"/>
          <w:color w:val="auto"/>
          <w:sz w:val="18"/>
          <w:szCs w:val="18"/>
        </w:rPr>
        <w:t>kader zijn deze factoren</w:t>
      </w:r>
      <w:r w:rsidR="00CC0069">
        <w:rPr>
          <w:rFonts w:ascii="Verdana" w:hAnsi="Verdana"/>
          <w:color w:val="auto"/>
          <w:sz w:val="18"/>
          <w:szCs w:val="18"/>
        </w:rPr>
        <w:t xml:space="preserve"> mede</w:t>
      </w:r>
      <w:r w:rsidR="0069016D">
        <w:rPr>
          <w:rFonts w:ascii="Verdana" w:hAnsi="Verdana"/>
          <w:color w:val="auto"/>
          <w:sz w:val="18"/>
          <w:szCs w:val="18"/>
        </w:rPr>
        <w:t xml:space="preserve"> van</w:t>
      </w:r>
      <w:r w:rsidR="00E75F6F">
        <w:rPr>
          <w:rFonts w:ascii="Verdana" w:hAnsi="Verdana"/>
          <w:color w:val="auto"/>
          <w:sz w:val="18"/>
          <w:szCs w:val="18"/>
        </w:rPr>
        <w:t xml:space="preserve"> </w:t>
      </w:r>
      <w:r w:rsidR="0069016D">
        <w:rPr>
          <w:rFonts w:ascii="Verdana" w:hAnsi="Verdana"/>
          <w:color w:val="auto"/>
          <w:sz w:val="18"/>
          <w:szCs w:val="18"/>
        </w:rPr>
        <w:t xml:space="preserve">belang </w:t>
      </w:r>
      <w:r w:rsidR="001932C1">
        <w:rPr>
          <w:rFonts w:ascii="Verdana" w:hAnsi="Verdana"/>
          <w:color w:val="auto"/>
          <w:sz w:val="18"/>
          <w:szCs w:val="18"/>
        </w:rPr>
        <w:t xml:space="preserve">bij </w:t>
      </w:r>
      <w:r w:rsidRPr="001B4CB4" w:rsidR="0069016D">
        <w:rPr>
          <w:rFonts w:ascii="Verdana" w:hAnsi="Verdana"/>
          <w:color w:val="auto"/>
          <w:sz w:val="18"/>
          <w:szCs w:val="18"/>
        </w:rPr>
        <w:t>d</w:t>
      </w:r>
      <w:r w:rsidR="00BB0FB6">
        <w:rPr>
          <w:rFonts w:ascii="Verdana" w:hAnsi="Verdana"/>
          <w:color w:val="auto"/>
          <w:sz w:val="18"/>
          <w:szCs w:val="18"/>
        </w:rPr>
        <w:t xml:space="preserve">e beoordeling van </w:t>
      </w:r>
      <w:r w:rsidR="001932C1">
        <w:rPr>
          <w:rFonts w:ascii="Verdana" w:hAnsi="Verdana"/>
          <w:color w:val="auto"/>
          <w:sz w:val="18"/>
          <w:szCs w:val="18"/>
        </w:rPr>
        <w:t>alle relevante feiten en omstandigheden (het totaalbeeld)</w:t>
      </w:r>
      <w:r w:rsidRPr="001B4CB4" w:rsidR="0069016D">
        <w:rPr>
          <w:rFonts w:ascii="Verdana" w:hAnsi="Verdana"/>
          <w:color w:val="auto"/>
          <w:sz w:val="18"/>
          <w:szCs w:val="18"/>
        </w:rPr>
        <w:t xml:space="preserve"> of een medisch specialist </w:t>
      </w:r>
      <w:r w:rsidR="00AB3B87">
        <w:rPr>
          <w:rFonts w:ascii="Verdana" w:hAnsi="Verdana"/>
          <w:color w:val="auto"/>
          <w:sz w:val="18"/>
          <w:szCs w:val="18"/>
        </w:rPr>
        <w:t>voor de inkomstenbelasting</w:t>
      </w:r>
      <w:r w:rsidRPr="001B4CB4" w:rsidR="0069016D">
        <w:rPr>
          <w:rFonts w:ascii="Verdana" w:hAnsi="Verdana"/>
          <w:color w:val="auto"/>
          <w:sz w:val="18"/>
          <w:szCs w:val="18"/>
        </w:rPr>
        <w:t xml:space="preserve"> ondernemer is</w:t>
      </w:r>
      <w:r w:rsidR="00764CEF">
        <w:rPr>
          <w:rFonts w:ascii="Verdana" w:hAnsi="Verdana"/>
          <w:color w:val="auto"/>
          <w:sz w:val="18"/>
          <w:szCs w:val="18"/>
        </w:rPr>
        <w:t xml:space="preserve">. </w:t>
      </w:r>
      <w:r w:rsidR="00A22B7A">
        <w:rPr>
          <w:rFonts w:ascii="Verdana" w:hAnsi="Verdana"/>
          <w:color w:val="auto"/>
          <w:sz w:val="18"/>
          <w:szCs w:val="18"/>
        </w:rPr>
        <w:t xml:space="preserve">Mede gelet op de algemene </w:t>
      </w:r>
      <w:r w:rsidR="00C47C65">
        <w:rPr>
          <w:rFonts w:ascii="Verdana" w:hAnsi="Verdana"/>
          <w:color w:val="auto"/>
          <w:sz w:val="18"/>
          <w:szCs w:val="18"/>
        </w:rPr>
        <w:t>formulering</w:t>
      </w:r>
      <w:r w:rsidR="00A22B7A">
        <w:rPr>
          <w:rFonts w:ascii="Verdana" w:hAnsi="Verdana"/>
          <w:color w:val="auto"/>
          <w:sz w:val="18"/>
          <w:szCs w:val="18"/>
        </w:rPr>
        <w:t xml:space="preserve"> van de acht verbeterpunten kan op </w:t>
      </w:r>
      <w:r w:rsidRPr="001B4CB4" w:rsidR="00196B2B">
        <w:rPr>
          <w:rFonts w:ascii="Verdana" w:hAnsi="Verdana"/>
          <w:color w:val="auto"/>
          <w:sz w:val="18"/>
          <w:szCs w:val="18"/>
        </w:rPr>
        <w:t>voorhand dus niet worden gezegd dat het doorvoeren van de verbeterpunten leidt tot het</w:t>
      </w:r>
      <w:r w:rsidR="008E5A8A">
        <w:rPr>
          <w:rFonts w:ascii="Verdana" w:hAnsi="Verdana"/>
          <w:color w:val="auto"/>
          <w:sz w:val="18"/>
          <w:szCs w:val="18"/>
        </w:rPr>
        <w:t xml:space="preserve"> einde </w:t>
      </w:r>
      <w:r w:rsidRPr="001B4CB4" w:rsidR="00196B2B">
        <w:rPr>
          <w:rFonts w:ascii="Verdana" w:hAnsi="Verdana"/>
          <w:color w:val="auto"/>
          <w:sz w:val="18"/>
          <w:szCs w:val="18"/>
        </w:rPr>
        <w:t xml:space="preserve">van het fiscale ondernemerschap </w:t>
      </w:r>
      <w:r w:rsidR="00C47C65">
        <w:rPr>
          <w:rFonts w:ascii="Verdana" w:hAnsi="Verdana"/>
          <w:color w:val="auto"/>
          <w:sz w:val="18"/>
          <w:szCs w:val="18"/>
        </w:rPr>
        <w:t xml:space="preserve">en dus ook niet </w:t>
      </w:r>
      <w:r w:rsidRPr="001B4CB4" w:rsidR="00196B2B">
        <w:rPr>
          <w:rFonts w:ascii="Verdana" w:hAnsi="Verdana"/>
          <w:color w:val="auto"/>
          <w:sz w:val="18"/>
          <w:szCs w:val="18"/>
        </w:rPr>
        <w:t xml:space="preserve">of </w:t>
      </w:r>
      <w:r w:rsidR="00A22B7A">
        <w:rPr>
          <w:rFonts w:ascii="Verdana" w:hAnsi="Verdana"/>
          <w:color w:val="auto"/>
          <w:sz w:val="18"/>
          <w:szCs w:val="18"/>
        </w:rPr>
        <w:t>daarmee</w:t>
      </w:r>
      <w:r w:rsidRPr="001B4CB4" w:rsidR="0027528B">
        <w:rPr>
          <w:rFonts w:ascii="Verdana" w:hAnsi="Verdana"/>
          <w:color w:val="auto"/>
          <w:sz w:val="18"/>
          <w:szCs w:val="18"/>
        </w:rPr>
        <w:t xml:space="preserve"> d</w:t>
      </w:r>
      <w:r w:rsidRPr="001B4CB4" w:rsidR="00CA06BD">
        <w:rPr>
          <w:rFonts w:ascii="Verdana" w:hAnsi="Verdana"/>
          <w:color w:val="auto"/>
          <w:sz w:val="18"/>
          <w:szCs w:val="18"/>
        </w:rPr>
        <w:t>e samenwerking tussen het ziekenhuis en het msb</w:t>
      </w:r>
      <w:r w:rsidRPr="001B4CB4" w:rsidR="00196B2B">
        <w:rPr>
          <w:rFonts w:ascii="Verdana" w:hAnsi="Verdana"/>
          <w:color w:val="auto"/>
          <w:sz w:val="18"/>
          <w:szCs w:val="18"/>
        </w:rPr>
        <w:t xml:space="preserve"> </w:t>
      </w:r>
      <w:r w:rsidRPr="001B4CB4" w:rsidR="0027528B">
        <w:rPr>
          <w:rFonts w:ascii="Verdana" w:hAnsi="Verdana"/>
          <w:color w:val="auto"/>
          <w:sz w:val="18"/>
          <w:szCs w:val="18"/>
        </w:rPr>
        <w:t xml:space="preserve">wordt </w:t>
      </w:r>
      <w:r w:rsidRPr="001B4CB4" w:rsidR="00196B2B">
        <w:rPr>
          <w:rFonts w:ascii="Verdana" w:hAnsi="Verdana"/>
          <w:color w:val="auto"/>
          <w:sz w:val="18"/>
          <w:szCs w:val="18"/>
        </w:rPr>
        <w:t>belemmer</w:t>
      </w:r>
      <w:r w:rsidRPr="001B4CB4" w:rsidR="00CA06BD">
        <w:rPr>
          <w:rFonts w:ascii="Verdana" w:hAnsi="Verdana"/>
          <w:color w:val="auto"/>
          <w:sz w:val="18"/>
          <w:szCs w:val="18"/>
        </w:rPr>
        <w:t xml:space="preserve">d door de fiscaliteit. </w:t>
      </w:r>
      <w:r w:rsidR="001932C1">
        <w:rPr>
          <w:rFonts w:ascii="Verdana" w:hAnsi="Verdana"/>
          <w:color w:val="auto"/>
          <w:sz w:val="18"/>
          <w:szCs w:val="18"/>
        </w:rPr>
        <w:t xml:space="preserve">Als voorbeelden van verbeterpunten die in beginsel geen belemmering zullen vormen voor het fiscaal ondernemerschap, kunnen verbeterpunt 3 (het versterken van het mandaat van het eigen bestuur van de msb en de investering in de professionaliteit van de bestuursleden) en verbeterpunt 4 (verbetering van de financiële transparantie van msb’s) worden genoemd. </w:t>
      </w:r>
      <w:r w:rsidRPr="001B4CB4" w:rsidR="00196B2B">
        <w:rPr>
          <w:rFonts w:ascii="Verdana" w:hAnsi="Verdana"/>
          <w:color w:val="auto"/>
          <w:sz w:val="18"/>
          <w:szCs w:val="18"/>
        </w:rPr>
        <w:t xml:space="preserve">Wel is het zo dat </w:t>
      </w:r>
      <w:r w:rsidRPr="001B4CB4" w:rsidR="00CA06BD">
        <w:rPr>
          <w:rFonts w:ascii="Verdana" w:hAnsi="Verdana"/>
          <w:color w:val="auto"/>
          <w:sz w:val="18"/>
          <w:szCs w:val="18"/>
        </w:rPr>
        <w:t xml:space="preserve">afhankelijk van </w:t>
      </w:r>
      <w:r w:rsidRPr="001B4CB4" w:rsidR="00196B2B">
        <w:rPr>
          <w:rFonts w:ascii="Verdana" w:hAnsi="Verdana"/>
          <w:color w:val="auto"/>
          <w:sz w:val="18"/>
          <w:szCs w:val="18"/>
        </w:rPr>
        <w:t xml:space="preserve">de concrete invulling van (een aantal van) de </w:t>
      </w:r>
      <w:r w:rsidR="00901CA2">
        <w:rPr>
          <w:rFonts w:ascii="Verdana" w:hAnsi="Verdana"/>
          <w:color w:val="auto"/>
          <w:sz w:val="18"/>
          <w:szCs w:val="18"/>
        </w:rPr>
        <w:t xml:space="preserve">overige </w:t>
      </w:r>
      <w:r w:rsidRPr="001B4CB4" w:rsidR="00196B2B">
        <w:rPr>
          <w:rFonts w:ascii="Verdana" w:hAnsi="Verdana"/>
          <w:color w:val="auto"/>
          <w:sz w:val="18"/>
          <w:szCs w:val="18"/>
        </w:rPr>
        <w:t>verbeterpunten</w:t>
      </w:r>
      <w:r w:rsidRPr="001B4CB4" w:rsidR="00CA06BD">
        <w:rPr>
          <w:rFonts w:ascii="Verdana" w:hAnsi="Verdana"/>
          <w:color w:val="auto"/>
          <w:sz w:val="18"/>
          <w:szCs w:val="18"/>
        </w:rPr>
        <w:t xml:space="preserve">, deze </w:t>
      </w:r>
      <w:r w:rsidRPr="001B4CB4" w:rsidR="00196B2B">
        <w:rPr>
          <w:rFonts w:ascii="Verdana" w:hAnsi="Verdana"/>
          <w:color w:val="auto"/>
          <w:sz w:val="18"/>
          <w:szCs w:val="18"/>
        </w:rPr>
        <w:t>wel</w:t>
      </w:r>
      <w:r w:rsidR="0044082E">
        <w:rPr>
          <w:rFonts w:ascii="Verdana" w:hAnsi="Verdana"/>
          <w:color w:val="auto"/>
          <w:sz w:val="18"/>
          <w:szCs w:val="18"/>
        </w:rPr>
        <w:t xml:space="preserve"> </w:t>
      </w:r>
      <w:r w:rsidRPr="001B4CB4" w:rsidR="00196B2B">
        <w:rPr>
          <w:rFonts w:ascii="Verdana" w:hAnsi="Verdana"/>
          <w:color w:val="auto"/>
          <w:sz w:val="18"/>
          <w:szCs w:val="18"/>
        </w:rPr>
        <w:t xml:space="preserve">invloed </w:t>
      </w:r>
      <w:r w:rsidRPr="001B4CB4" w:rsidR="00CA06BD">
        <w:rPr>
          <w:rFonts w:ascii="Verdana" w:hAnsi="Verdana"/>
          <w:color w:val="auto"/>
          <w:sz w:val="18"/>
          <w:szCs w:val="18"/>
        </w:rPr>
        <w:t xml:space="preserve">kunnen </w:t>
      </w:r>
      <w:r w:rsidRPr="001B4CB4" w:rsidR="00196B2B">
        <w:rPr>
          <w:rFonts w:ascii="Verdana" w:hAnsi="Verdana"/>
          <w:color w:val="auto"/>
          <w:sz w:val="18"/>
          <w:szCs w:val="18"/>
        </w:rPr>
        <w:t xml:space="preserve">hebben op </w:t>
      </w:r>
      <w:r w:rsidR="00241325">
        <w:rPr>
          <w:rFonts w:ascii="Verdana" w:hAnsi="Verdana"/>
          <w:color w:val="auto"/>
          <w:sz w:val="18"/>
          <w:szCs w:val="18"/>
        </w:rPr>
        <w:t xml:space="preserve">de </w:t>
      </w:r>
      <w:r w:rsidR="001932C1">
        <w:rPr>
          <w:rFonts w:ascii="Verdana" w:hAnsi="Verdana"/>
          <w:color w:val="auto"/>
          <w:sz w:val="18"/>
          <w:szCs w:val="18"/>
        </w:rPr>
        <w:t xml:space="preserve">mate van zelfstandigheid van de medisch specialist en </w:t>
      </w:r>
      <w:r w:rsidRPr="001B4CB4" w:rsidR="00196B2B">
        <w:rPr>
          <w:rFonts w:ascii="Verdana" w:hAnsi="Verdana"/>
          <w:color w:val="auto"/>
          <w:sz w:val="18"/>
          <w:szCs w:val="18"/>
        </w:rPr>
        <w:t xml:space="preserve">de </w:t>
      </w:r>
      <w:r w:rsidRPr="001B4CB4" w:rsidR="00E75F6F">
        <w:rPr>
          <w:rFonts w:ascii="Verdana" w:hAnsi="Verdana"/>
          <w:color w:val="auto"/>
          <w:sz w:val="18"/>
          <w:szCs w:val="18"/>
        </w:rPr>
        <w:t>ondernem</w:t>
      </w:r>
      <w:r w:rsidR="00E75F6F">
        <w:rPr>
          <w:rFonts w:ascii="Verdana" w:hAnsi="Verdana"/>
          <w:color w:val="auto"/>
          <w:sz w:val="18"/>
          <w:szCs w:val="18"/>
        </w:rPr>
        <w:t>ers</w:t>
      </w:r>
      <w:r w:rsidRPr="001B4CB4" w:rsidR="00E75F6F">
        <w:rPr>
          <w:rFonts w:ascii="Verdana" w:hAnsi="Verdana"/>
          <w:color w:val="auto"/>
          <w:sz w:val="18"/>
          <w:szCs w:val="18"/>
        </w:rPr>
        <w:t xml:space="preserve">risico’s </w:t>
      </w:r>
      <w:r w:rsidRPr="001B4CB4" w:rsidR="00196B2B">
        <w:rPr>
          <w:rFonts w:ascii="Verdana" w:hAnsi="Verdana"/>
          <w:color w:val="auto"/>
          <w:sz w:val="18"/>
          <w:szCs w:val="18"/>
        </w:rPr>
        <w:t>die de medisch specialist lo</w:t>
      </w:r>
      <w:r w:rsidR="001932C1">
        <w:rPr>
          <w:rFonts w:ascii="Verdana" w:hAnsi="Verdana"/>
          <w:color w:val="auto"/>
          <w:sz w:val="18"/>
          <w:szCs w:val="18"/>
        </w:rPr>
        <w:t>opt</w:t>
      </w:r>
      <w:r w:rsidRPr="001B4CB4" w:rsidR="00196B2B">
        <w:rPr>
          <w:rFonts w:ascii="Verdana" w:hAnsi="Verdana"/>
          <w:color w:val="auto"/>
          <w:sz w:val="18"/>
          <w:szCs w:val="18"/>
        </w:rPr>
        <w:t xml:space="preserve">. </w:t>
      </w:r>
      <w:r w:rsidR="001932C1">
        <w:rPr>
          <w:rFonts w:ascii="Verdana" w:hAnsi="Verdana"/>
          <w:color w:val="auto"/>
          <w:sz w:val="18"/>
          <w:szCs w:val="18"/>
        </w:rPr>
        <w:t>Een voorbeeld van een verbeterpunt dat zeker</w:t>
      </w:r>
      <w:r w:rsidR="00E75F6F">
        <w:rPr>
          <w:rFonts w:ascii="Verdana" w:hAnsi="Verdana"/>
          <w:color w:val="auto"/>
          <w:sz w:val="18"/>
          <w:szCs w:val="18"/>
        </w:rPr>
        <w:t xml:space="preserve"> van</w:t>
      </w:r>
      <w:r w:rsidR="001932C1">
        <w:rPr>
          <w:rFonts w:ascii="Verdana" w:hAnsi="Verdana"/>
          <w:color w:val="auto"/>
          <w:sz w:val="18"/>
          <w:szCs w:val="18"/>
        </w:rPr>
        <w:t xml:space="preserve"> invloed </w:t>
      </w:r>
      <w:r w:rsidR="00E75F6F">
        <w:rPr>
          <w:rFonts w:ascii="Verdana" w:hAnsi="Verdana"/>
          <w:color w:val="auto"/>
          <w:sz w:val="18"/>
          <w:szCs w:val="18"/>
        </w:rPr>
        <w:t xml:space="preserve">zal zijn </w:t>
      </w:r>
      <w:r w:rsidR="001932C1">
        <w:rPr>
          <w:rFonts w:ascii="Verdana" w:hAnsi="Verdana"/>
          <w:color w:val="auto"/>
          <w:sz w:val="18"/>
          <w:szCs w:val="18"/>
        </w:rPr>
        <w:t xml:space="preserve">op de mate van zelfstandigheid van de medisch specialist is verbeterpunt 5, waarbij ook het ziekenhuis zeggenschap krijgt over </w:t>
      </w:r>
      <w:r w:rsidR="008C3CE2">
        <w:rPr>
          <w:rFonts w:ascii="Verdana" w:hAnsi="Verdana"/>
          <w:color w:val="auto"/>
          <w:sz w:val="18"/>
          <w:szCs w:val="18"/>
        </w:rPr>
        <w:t>het aan</w:t>
      </w:r>
      <w:r w:rsidR="00162A89">
        <w:rPr>
          <w:rFonts w:ascii="Verdana" w:hAnsi="Verdana"/>
          <w:color w:val="auto"/>
          <w:sz w:val="18"/>
          <w:szCs w:val="18"/>
        </w:rPr>
        <w:t>trekken</w:t>
      </w:r>
      <w:r w:rsidR="001932C1">
        <w:rPr>
          <w:rFonts w:ascii="Verdana" w:hAnsi="Verdana"/>
          <w:color w:val="auto"/>
          <w:sz w:val="18"/>
          <w:szCs w:val="18"/>
        </w:rPr>
        <w:t xml:space="preserve"> van een </w:t>
      </w:r>
      <w:r w:rsidR="008C3CE2">
        <w:rPr>
          <w:rFonts w:ascii="Verdana" w:hAnsi="Verdana"/>
          <w:color w:val="auto"/>
          <w:sz w:val="18"/>
          <w:szCs w:val="18"/>
        </w:rPr>
        <w:t xml:space="preserve">vrijgevestigde </w:t>
      </w:r>
      <w:r w:rsidR="001932C1">
        <w:rPr>
          <w:rFonts w:ascii="Verdana" w:hAnsi="Verdana"/>
          <w:color w:val="auto"/>
          <w:sz w:val="18"/>
          <w:szCs w:val="18"/>
        </w:rPr>
        <w:t>medisch specialist</w:t>
      </w:r>
      <w:r w:rsidR="00162A89">
        <w:rPr>
          <w:rFonts w:ascii="Verdana" w:hAnsi="Verdana"/>
          <w:color w:val="auto"/>
          <w:sz w:val="18"/>
          <w:szCs w:val="18"/>
        </w:rPr>
        <w:t xml:space="preserve"> bij het msb</w:t>
      </w:r>
      <w:r w:rsidR="001932C1">
        <w:rPr>
          <w:rFonts w:ascii="Verdana" w:hAnsi="Verdana"/>
          <w:color w:val="auto"/>
          <w:sz w:val="18"/>
          <w:szCs w:val="18"/>
        </w:rPr>
        <w:t xml:space="preserve">. Bij de vraag of het doorvoeren van verbeterpunten in een individueel geval zou leiden tot het </w:t>
      </w:r>
      <w:r w:rsidR="008E5A8A">
        <w:rPr>
          <w:rFonts w:ascii="Verdana" w:hAnsi="Verdana"/>
          <w:color w:val="auto"/>
          <w:sz w:val="18"/>
          <w:szCs w:val="18"/>
        </w:rPr>
        <w:t xml:space="preserve">einde </w:t>
      </w:r>
      <w:r w:rsidR="001932C1">
        <w:rPr>
          <w:rFonts w:ascii="Verdana" w:hAnsi="Verdana"/>
          <w:color w:val="auto"/>
          <w:sz w:val="18"/>
          <w:szCs w:val="18"/>
        </w:rPr>
        <w:t>van</w:t>
      </w:r>
      <w:r w:rsidR="008E5A8A">
        <w:rPr>
          <w:rFonts w:ascii="Verdana" w:hAnsi="Verdana"/>
          <w:color w:val="auto"/>
          <w:sz w:val="18"/>
          <w:szCs w:val="18"/>
        </w:rPr>
        <w:t xml:space="preserve"> het</w:t>
      </w:r>
      <w:r w:rsidR="001932C1">
        <w:rPr>
          <w:rFonts w:ascii="Verdana" w:hAnsi="Verdana"/>
          <w:color w:val="auto"/>
          <w:sz w:val="18"/>
          <w:szCs w:val="18"/>
        </w:rPr>
        <w:t xml:space="preserve"> fiscal</w:t>
      </w:r>
      <w:r w:rsidR="00463C13">
        <w:rPr>
          <w:rFonts w:ascii="Verdana" w:hAnsi="Verdana"/>
          <w:color w:val="auto"/>
          <w:sz w:val="18"/>
          <w:szCs w:val="18"/>
        </w:rPr>
        <w:t>e</w:t>
      </w:r>
      <w:r w:rsidR="001932C1">
        <w:rPr>
          <w:rFonts w:ascii="Verdana" w:hAnsi="Verdana"/>
          <w:color w:val="auto"/>
          <w:sz w:val="18"/>
          <w:szCs w:val="18"/>
        </w:rPr>
        <w:t xml:space="preserve"> ondernemerschap</w:t>
      </w:r>
      <w:r w:rsidR="00463C13">
        <w:rPr>
          <w:rFonts w:ascii="Verdana" w:hAnsi="Verdana"/>
          <w:color w:val="auto"/>
          <w:sz w:val="18"/>
          <w:szCs w:val="18"/>
        </w:rPr>
        <w:t xml:space="preserve"> moet aan de hand</w:t>
      </w:r>
      <w:r w:rsidRPr="001B4CB4" w:rsidR="00D13028">
        <w:rPr>
          <w:rFonts w:ascii="Verdana" w:hAnsi="Verdana"/>
          <w:color w:val="auto"/>
          <w:sz w:val="18"/>
          <w:szCs w:val="18"/>
        </w:rPr>
        <w:t xml:space="preserve"> </w:t>
      </w:r>
      <w:r w:rsidR="001932C1">
        <w:rPr>
          <w:rFonts w:ascii="Verdana" w:hAnsi="Verdana"/>
          <w:color w:val="auto"/>
          <w:sz w:val="18"/>
          <w:szCs w:val="18"/>
        </w:rPr>
        <w:t xml:space="preserve">van alle feiten en omstandigheden </w:t>
      </w:r>
      <w:r w:rsidR="00463C13">
        <w:rPr>
          <w:rFonts w:ascii="Verdana" w:hAnsi="Verdana"/>
          <w:color w:val="auto"/>
          <w:sz w:val="18"/>
          <w:szCs w:val="18"/>
        </w:rPr>
        <w:t>worden beoordeeld</w:t>
      </w:r>
      <w:r w:rsidR="001932C1">
        <w:rPr>
          <w:rFonts w:ascii="Verdana" w:hAnsi="Verdana"/>
          <w:color w:val="auto"/>
          <w:sz w:val="18"/>
          <w:szCs w:val="18"/>
        </w:rPr>
        <w:t xml:space="preserve"> </w:t>
      </w:r>
      <w:r w:rsidRPr="001B4CB4" w:rsidR="00D13028">
        <w:rPr>
          <w:rFonts w:ascii="Verdana" w:hAnsi="Verdana"/>
          <w:color w:val="auto"/>
          <w:sz w:val="18"/>
          <w:szCs w:val="18"/>
        </w:rPr>
        <w:t xml:space="preserve">of er </w:t>
      </w:r>
      <w:r w:rsidR="00C47C65">
        <w:rPr>
          <w:rFonts w:ascii="Verdana" w:hAnsi="Verdana"/>
          <w:color w:val="auto"/>
          <w:sz w:val="18"/>
          <w:szCs w:val="18"/>
        </w:rPr>
        <w:t xml:space="preserve">(in onderlinge samenhang </w:t>
      </w:r>
      <w:r w:rsidR="00463C13">
        <w:rPr>
          <w:rFonts w:ascii="Verdana" w:hAnsi="Verdana"/>
          <w:color w:val="auto"/>
          <w:sz w:val="18"/>
          <w:szCs w:val="18"/>
        </w:rPr>
        <w:t>bezien</w:t>
      </w:r>
      <w:r w:rsidR="00C47C65">
        <w:rPr>
          <w:rFonts w:ascii="Verdana" w:hAnsi="Verdana"/>
          <w:color w:val="auto"/>
          <w:sz w:val="18"/>
          <w:szCs w:val="18"/>
        </w:rPr>
        <w:t xml:space="preserve">) </w:t>
      </w:r>
      <w:r w:rsidRPr="001B4CB4" w:rsidR="00D13028">
        <w:rPr>
          <w:rFonts w:ascii="Verdana" w:hAnsi="Verdana"/>
          <w:color w:val="auto"/>
          <w:sz w:val="18"/>
          <w:szCs w:val="18"/>
        </w:rPr>
        <w:t xml:space="preserve">voldoende </w:t>
      </w:r>
      <w:r w:rsidR="001932C1">
        <w:rPr>
          <w:rFonts w:ascii="Verdana" w:hAnsi="Verdana"/>
          <w:color w:val="auto"/>
          <w:sz w:val="18"/>
          <w:szCs w:val="18"/>
        </w:rPr>
        <w:t xml:space="preserve">aan de criteria van ondernemerschap voor de inkomstenbelasting wordt voldaan. </w:t>
      </w:r>
      <w:r w:rsidRPr="001B4CB4" w:rsidR="00CA06BD">
        <w:rPr>
          <w:rFonts w:ascii="Verdana" w:hAnsi="Verdana"/>
          <w:color w:val="auto"/>
          <w:sz w:val="18"/>
          <w:szCs w:val="18"/>
        </w:rPr>
        <w:t xml:space="preserve">Als het ziekenhuis en het msb </w:t>
      </w:r>
      <w:r w:rsidR="00BB0FB6">
        <w:rPr>
          <w:rFonts w:ascii="Verdana" w:hAnsi="Verdana"/>
          <w:color w:val="auto"/>
          <w:sz w:val="18"/>
          <w:szCs w:val="18"/>
        </w:rPr>
        <w:t xml:space="preserve">inzicht hebben in </w:t>
      </w:r>
      <w:r w:rsidRPr="001B4CB4" w:rsidR="00CA06BD">
        <w:rPr>
          <w:rFonts w:ascii="Verdana" w:hAnsi="Verdana"/>
          <w:color w:val="auto"/>
          <w:sz w:val="18"/>
          <w:szCs w:val="18"/>
        </w:rPr>
        <w:t xml:space="preserve">hun voorgenomen plannen omtrent de concrete invulling van één of meer verbeterpunten zoals geformuleerd door de </w:t>
      </w:r>
      <w:r w:rsidR="008C6199">
        <w:rPr>
          <w:rFonts w:ascii="Verdana" w:hAnsi="Verdana"/>
          <w:color w:val="auto"/>
          <w:sz w:val="18"/>
          <w:szCs w:val="18"/>
        </w:rPr>
        <w:t>NZa</w:t>
      </w:r>
      <w:r w:rsidRPr="001B4CB4" w:rsidR="00CA06BD">
        <w:rPr>
          <w:rFonts w:ascii="Verdana" w:hAnsi="Verdana"/>
          <w:color w:val="auto"/>
          <w:sz w:val="18"/>
          <w:szCs w:val="18"/>
        </w:rPr>
        <w:t>,</w:t>
      </w:r>
      <w:r w:rsidRPr="001B4CB4" w:rsidR="00D13028">
        <w:rPr>
          <w:rFonts w:ascii="Verdana" w:hAnsi="Verdana"/>
          <w:color w:val="auto"/>
          <w:sz w:val="18"/>
          <w:szCs w:val="18"/>
        </w:rPr>
        <w:t xml:space="preserve"> is</w:t>
      </w:r>
      <w:r w:rsidRPr="001B4CB4" w:rsidR="00CA06BD">
        <w:rPr>
          <w:rFonts w:ascii="Verdana" w:hAnsi="Verdana"/>
          <w:color w:val="auto"/>
          <w:sz w:val="18"/>
          <w:szCs w:val="18"/>
        </w:rPr>
        <w:t xml:space="preserve"> het </w:t>
      </w:r>
      <w:r w:rsidRPr="001B4CB4" w:rsidR="00D13028">
        <w:rPr>
          <w:rFonts w:ascii="Verdana" w:hAnsi="Verdana"/>
          <w:color w:val="auto"/>
          <w:sz w:val="18"/>
          <w:szCs w:val="18"/>
        </w:rPr>
        <w:t xml:space="preserve">mogelijk om </w:t>
      </w:r>
      <w:r w:rsidRPr="001B4CB4" w:rsidR="00CA06BD">
        <w:rPr>
          <w:rFonts w:ascii="Verdana" w:hAnsi="Verdana"/>
          <w:color w:val="auto"/>
          <w:sz w:val="18"/>
          <w:szCs w:val="18"/>
        </w:rPr>
        <w:t xml:space="preserve">in </w:t>
      </w:r>
      <w:r w:rsidRPr="001B4CB4" w:rsidR="00D13028">
        <w:rPr>
          <w:rFonts w:ascii="Verdana" w:hAnsi="Verdana"/>
          <w:color w:val="auto"/>
          <w:sz w:val="18"/>
          <w:szCs w:val="18"/>
        </w:rPr>
        <w:t>individue</w:t>
      </w:r>
      <w:r w:rsidR="00676820">
        <w:rPr>
          <w:rFonts w:ascii="Verdana" w:hAnsi="Verdana"/>
          <w:color w:val="auto"/>
          <w:sz w:val="18"/>
          <w:szCs w:val="18"/>
        </w:rPr>
        <w:t>le</w:t>
      </w:r>
      <w:r w:rsidRPr="001B4CB4" w:rsidR="00D13028">
        <w:rPr>
          <w:rFonts w:ascii="Verdana" w:hAnsi="Verdana"/>
          <w:color w:val="auto"/>
          <w:sz w:val="18"/>
          <w:szCs w:val="18"/>
        </w:rPr>
        <w:t xml:space="preserve"> geval</w:t>
      </w:r>
      <w:r w:rsidR="00676820">
        <w:rPr>
          <w:rFonts w:ascii="Verdana" w:hAnsi="Verdana"/>
          <w:color w:val="auto"/>
          <w:sz w:val="18"/>
          <w:szCs w:val="18"/>
        </w:rPr>
        <w:t>len</w:t>
      </w:r>
      <w:r w:rsidRPr="001B4CB4" w:rsidR="00D13028">
        <w:rPr>
          <w:rFonts w:ascii="Verdana" w:hAnsi="Verdana"/>
          <w:color w:val="auto"/>
          <w:sz w:val="18"/>
          <w:szCs w:val="18"/>
        </w:rPr>
        <w:t xml:space="preserve"> op voorhand duidelijkheid te krijgen </w:t>
      </w:r>
      <w:r w:rsidR="00F9623D">
        <w:rPr>
          <w:rFonts w:ascii="Verdana" w:hAnsi="Verdana"/>
          <w:color w:val="auto"/>
          <w:sz w:val="18"/>
          <w:szCs w:val="18"/>
        </w:rPr>
        <w:t xml:space="preserve">over </w:t>
      </w:r>
      <w:r w:rsidRPr="001B4CB4" w:rsidR="00CA06BD">
        <w:rPr>
          <w:rFonts w:ascii="Verdana" w:hAnsi="Verdana"/>
          <w:color w:val="auto"/>
          <w:sz w:val="18"/>
          <w:szCs w:val="18"/>
        </w:rPr>
        <w:t xml:space="preserve">wat deze plannen </w:t>
      </w:r>
      <w:r w:rsidRPr="001B4CB4" w:rsidR="00D13028">
        <w:rPr>
          <w:rFonts w:ascii="Verdana" w:hAnsi="Verdana"/>
          <w:color w:val="auto"/>
          <w:sz w:val="18"/>
          <w:szCs w:val="18"/>
        </w:rPr>
        <w:t>beteken</w:t>
      </w:r>
      <w:r w:rsidRPr="001B4CB4" w:rsidR="00CA06BD">
        <w:rPr>
          <w:rFonts w:ascii="Verdana" w:hAnsi="Verdana"/>
          <w:color w:val="auto"/>
          <w:sz w:val="18"/>
          <w:szCs w:val="18"/>
        </w:rPr>
        <w:t>en</w:t>
      </w:r>
      <w:r w:rsidRPr="001B4CB4" w:rsidR="00D13028">
        <w:rPr>
          <w:rFonts w:ascii="Verdana" w:hAnsi="Verdana"/>
          <w:color w:val="auto"/>
          <w:sz w:val="18"/>
          <w:szCs w:val="18"/>
        </w:rPr>
        <w:t xml:space="preserve"> voor het fiscal</w:t>
      </w:r>
      <w:r w:rsidR="00F9623D">
        <w:rPr>
          <w:rFonts w:ascii="Verdana" w:hAnsi="Verdana"/>
          <w:color w:val="auto"/>
          <w:sz w:val="18"/>
          <w:szCs w:val="18"/>
        </w:rPr>
        <w:t>e</w:t>
      </w:r>
      <w:r w:rsidRPr="001B4CB4" w:rsidR="00D13028">
        <w:rPr>
          <w:rFonts w:ascii="Verdana" w:hAnsi="Verdana"/>
          <w:color w:val="auto"/>
          <w:sz w:val="18"/>
          <w:szCs w:val="18"/>
        </w:rPr>
        <w:t xml:space="preserve"> ondernemerschap</w:t>
      </w:r>
      <w:r w:rsidR="0069016D">
        <w:rPr>
          <w:rFonts w:ascii="Verdana" w:hAnsi="Verdana"/>
          <w:color w:val="auto"/>
          <w:sz w:val="18"/>
          <w:szCs w:val="18"/>
        </w:rPr>
        <w:t xml:space="preserve">. Deze duidelijkheid kan worden </w:t>
      </w:r>
      <w:r w:rsidR="00186F56">
        <w:rPr>
          <w:rFonts w:ascii="Verdana" w:hAnsi="Verdana"/>
          <w:color w:val="auto"/>
          <w:sz w:val="18"/>
          <w:szCs w:val="18"/>
        </w:rPr>
        <w:t>verkregen</w:t>
      </w:r>
      <w:r w:rsidR="0069016D">
        <w:rPr>
          <w:rFonts w:ascii="Verdana" w:hAnsi="Verdana"/>
          <w:color w:val="auto"/>
          <w:sz w:val="18"/>
          <w:szCs w:val="18"/>
        </w:rPr>
        <w:t xml:space="preserve"> </w:t>
      </w:r>
      <w:r w:rsidRPr="001B4CB4" w:rsidR="00D13028">
        <w:rPr>
          <w:rFonts w:ascii="Verdana" w:hAnsi="Verdana"/>
          <w:color w:val="auto"/>
          <w:sz w:val="18"/>
          <w:szCs w:val="18"/>
        </w:rPr>
        <w:t xml:space="preserve">door </w:t>
      </w:r>
      <w:r w:rsidR="00CF5D3E">
        <w:rPr>
          <w:rFonts w:ascii="Verdana" w:hAnsi="Verdana"/>
          <w:color w:val="auto"/>
          <w:sz w:val="18"/>
          <w:szCs w:val="18"/>
        </w:rPr>
        <w:t xml:space="preserve">voor een specifieke casus </w:t>
      </w:r>
      <w:r w:rsidRPr="001B4CB4" w:rsidR="00D13028">
        <w:rPr>
          <w:rFonts w:ascii="Verdana" w:hAnsi="Verdana"/>
          <w:color w:val="auto"/>
          <w:sz w:val="18"/>
          <w:szCs w:val="18"/>
        </w:rPr>
        <w:t xml:space="preserve">een verzoek tot vooroverleg </w:t>
      </w:r>
      <w:r w:rsidR="00CF5D3E">
        <w:rPr>
          <w:rFonts w:ascii="Verdana" w:hAnsi="Verdana"/>
          <w:color w:val="auto"/>
          <w:sz w:val="18"/>
          <w:szCs w:val="18"/>
        </w:rPr>
        <w:t>te doen</w:t>
      </w:r>
      <w:r w:rsidRPr="001B4CB4" w:rsidR="00D13028">
        <w:rPr>
          <w:rFonts w:ascii="Verdana" w:hAnsi="Verdana"/>
          <w:color w:val="auto"/>
          <w:sz w:val="18"/>
          <w:szCs w:val="18"/>
        </w:rPr>
        <w:t xml:space="preserve"> conform de spelregels zoals deze zijn beschreven in het Besluit </w:t>
      </w:r>
      <w:r w:rsidR="00E75F6F">
        <w:rPr>
          <w:rFonts w:ascii="Verdana" w:hAnsi="Verdana"/>
          <w:color w:val="auto"/>
          <w:sz w:val="18"/>
          <w:szCs w:val="18"/>
        </w:rPr>
        <w:t>F</w:t>
      </w:r>
      <w:r w:rsidRPr="001B4CB4" w:rsidR="00E75F6F">
        <w:rPr>
          <w:rFonts w:ascii="Verdana" w:hAnsi="Verdana"/>
          <w:color w:val="auto"/>
          <w:sz w:val="18"/>
          <w:szCs w:val="18"/>
        </w:rPr>
        <w:t xml:space="preserve">iscaal </w:t>
      </w:r>
      <w:r w:rsidR="00E75F6F">
        <w:rPr>
          <w:rFonts w:ascii="Verdana" w:hAnsi="Verdana"/>
          <w:color w:val="auto"/>
          <w:sz w:val="18"/>
          <w:szCs w:val="18"/>
        </w:rPr>
        <w:t>B</w:t>
      </w:r>
      <w:r w:rsidRPr="001B4CB4" w:rsidR="00D13028">
        <w:rPr>
          <w:rFonts w:ascii="Verdana" w:hAnsi="Verdana"/>
          <w:color w:val="auto"/>
          <w:sz w:val="18"/>
          <w:szCs w:val="18"/>
        </w:rPr>
        <w:t>estuursrecht.</w:t>
      </w:r>
      <w:r w:rsidR="007A32CD">
        <w:rPr>
          <w:rFonts w:ascii="Verdana" w:hAnsi="Verdana"/>
          <w:color w:val="auto"/>
          <w:sz w:val="18"/>
          <w:szCs w:val="18"/>
        </w:rPr>
        <w:t xml:space="preserve"> </w:t>
      </w:r>
      <w:r w:rsidRPr="00D82AA7" w:rsidR="007A32CD">
        <w:rPr>
          <w:rFonts w:ascii="Verdana" w:hAnsi="Verdana"/>
          <w:color w:val="auto"/>
          <w:sz w:val="18"/>
          <w:szCs w:val="18"/>
        </w:rPr>
        <w:t>Bij invoering van de integrale bekostiging is ook regelmatig sprake geweest van vooroverleg waarbij de Belastingdienst in veel gevallen zekerheid vooraf heeft gegeven.</w:t>
      </w:r>
    </w:p>
    <w:p w:rsidR="00EA51D3" w:rsidP="003A4F75" w:rsidRDefault="00EA51D3" w14:paraId="0DC0B51B" w14:textId="405D3AA6">
      <w:pPr>
        <w:pStyle w:val="Default"/>
        <w:spacing w:line="240" w:lineRule="exact"/>
        <w:rPr>
          <w:rFonts w:ascii="Verdana" w:hAnsi="Verdana"/>
          <w:color w:val="auto"/>
          <w:sz w:val="18"/>
          <w:szCs w:val="18"/>
        </w:rPr>
      </w:pPr>
    </w:p>
    <w:p w:rsidR="00186F56" w:rsidP="003A4F75" w:rsidRDefault="00186F56" w14:paraId="4E93F0D3" w14:textId="40633AE6">
      <w:pPr>
        <w:pStyle w:val="Default"/>
        <w:spacing w:line="240" w:lineRule="exact"/>
        <w:rPr>
          <w:rFonts w:ascii="Verdana" w:hAnsi="Verdana"/>
          <w:i/>
          <w:iCs/>
          <w:color w:val="auto"/>
          <w:sz w:val="18"/>
          <w:szCs w:val="18"/>
        </w:rPr>
      </w:pPr>
      <w:r w:rsidRPr="00186F56">
        <w:rPr>
          <w:rFonts w:ascii="Verdana" w:hAnsi="Verdana"/>
          <w:i/>
          <w:iCs/>
          <w:color w:val="auto"/>
          <w:sz w:val="18"/>
          <w:szCs w:val="18"/>
        </w:rPr>
        <w:t>Conclusie</w:t>
      </w:r>
    </w:p>
    <w:p w:rsidR="00850879" w:rsidP="003A4F75" w:rsidRDefault="00850879" w14:paraId="31EBAD77" w14:textId="77777777">
      <w:pPr>
        <w:pStyle w:val="Default"/>
        <w:spacing w:line="240" w:lineRule="exact"/>
        <w:rPr>
          <w:rFonts w:ascii="Verdana" w:hAnsi="Verdana"/>
          <w:i/>
          <w:iCs/>
          <w:color w:val="auto"/>
          <w:sz w:val="18"/>
          <w:szCs w:val="18"/>
        </w:rPr>
      </w:pPr>
    </w:p>
    <w:p w:rsidRPr="006B6239" w:rsidR="006B6239" w:rsidP="00B313F7" w:rsidRDefault="00325A02" w14:paraId="17FA9D5A" w14:textId="58E61B64">
      <w:pPr>
        <w:widowControl/>
        <w:suppressAutoHyphens w:val="0"/>
        <w:autoSpaceDN/>
        <w:spacing w:after="160"/>
        <w:textAlignment w:val="auto"/>
        <w:rPr>
          <w:szCs w:val="18"/>
        </w:rPr>
      </w:pPr>
      <w:r>
        <w:rPr>
          <w:szCs w:val="18"/>
        </w:rPr>
        <w:t>Het is</w:t>
      </w:r>
      <w:r w:rsidR="00764CEF">
        <w:rPr>
          <w:szCs w:val="18"/>
        </w:rPr>
        <w:t xml:space="preserve"> </w:t>
      </w:r>
      <w:r w:rsidR="00B313F7">
        <w:rPr>
          <w:szCs w:val="18"/>
        </w:rPr>
        <w:t>niet mogelijk om een objectieve grens te bepalen</w:t>
      </w:r>
      <w:r w:rsidR="00764CEF">
        <w:rPr>
          <w:szCs w:val="18"/>
        </w:rPr>
        <w:t xml:space="preserve"> </w:t>
      </w:r>
      <w:r w:rsidRPr="001B4CB4" w:rsidR="00764CEF">
        <w:rPr>
          <w:szCs w:val="18"/>
        </w:rPr>
        <w:t xml:space="preserve">waarbij vastgesteld kan worden tot hoe ver de bestuurlijke en financiële samenwerking tussen msb’s en ziekenhuizen mag gaan zonder dat die samenwerking consequenties heeft voor de positie van medisch specialisten die als ondernemer </w:t>
      </w:r>
      <w:r w:rsidR="00CF5D3E">
        <w:rPr>
          <w:szCs w:val="18"/>
        </w:rPr>
        <w:t xml:space="preserve">voor de inkomstenbelasting </w:t>
      </w:r>
      <w:r w:rsidRPr="001B4CB4" w:rsidR="00764CEF">
        <w:rPr>
          <w:szCs w:val="18"/>
        </w:rPr>
        <w:t xml:space="preserve">participeren in </w:t>
      </w:r>
      <w:r w:rsidR="00CF5D3E">
        <w:rPr>
          <w:szCs w:val="18"/>
        </w:rPr>
        <w:t>een</w:t>
      </w:r>
      <w:r w:rsidRPr="001B4CB4" w:rsidR="00CF5D3E">
        <w:rPr>
          <w:szCs w:val="18"/>
        </w:rPr>
        <w:t xml:space="preserve"> </w:t>
      </w:r>
      <w:r w:rsidRPr="001B4CB4" w:rsidR="00764CEF">
        <w:rPr>
          <w:szCs w:val="18"/>
        </w:rPr>
        <w:t>fiscaal transparant msb.</w:t>
      </w:r>
      <w:r w:rsidR="00B313F7">
        <w:rPr>
          <w:szCs w:val="18"/>
        </w:rPr>
        <w:t xml:space="preserve"> </w:t>
      </w:r>
      <w:r w:rsidR="00764CEF">
        <w:rPr>
          <w:szCs w:val="18"/>
        </w:rPr>
        <w:t xml:space="preserve">De concrete invulling van </w:t>
      </w:r>
      <w:r>
        <w:rPr>
          <w:szCs w:val="18"/>
        </w:rPr>
        <w:t xml:space="preserve">die </w:t>
      </w:r>
      <w:r w:rsidR="00764CEF">
        <w:rPr>
          <w:szCs w:val="18"/>
        </w:rPr>
        <w:t xml:space="preserve">samenwerking maakt onderdeel uit van de relevante </w:t>
      </w:r>
      <w:r w:rsidR="00B313F7">
        <w:rPr>
          <w:szCs w:val="18"/>
        </w:rPr>
        <w:t>feiten en omstandigheden</w:t>
      </w:r>
      <w:r w:rsidR="00764CEF">
        <w:rPr>
          <w:szCs w:val="18"/>
        </w:rPr>
        <w:t xml:space="preserve"> </w:t>
      </w:r>
      <w:r>
        <w:rPr>
          <w:szCs w:val="18"/>
        </w:rPr>
        <w:t xml:space="preserve">bij </w:t>
      </w:r>
      <w:r w:rsidR="00764CEF">
        <w:rPr>
          <w:szCs w:val="18"/>
        </w:rPr>
        <w:t>de</w:t>
      </w:r>
      <w:r>
        <w:rPr>
          <w:szCs w:val="18"/>
        </w:rPr>
        <w:t xml:space="preserve"> </w:t>
      </w:r>
      <w:r w:rsidR="00764CEF">
        <w:rPr>
          <w:szCs w:val="18"/>
        </w:rPr>
        <w:t>beoordeling of sprake is van ondernemerschap</w:t>
      </w:r>
      <w:r w:rsidR="0044082E">
        <w:rPr>
          <w:szCs w:val="18"/>
        </w:rPr>
        <w:t xml:space="preserve"> voor de inkomstenbelasting</w:t>
      </w:r>
      <w:r w:rsidR="00764CEF">
        <w:rPr>
          <w:szCs w:val="18"/>
        </w:rPr>
        <w:t xml:space="preserve">. </w:t>
      </w:r>
      <w:r w:rsidR="00610DD9">
        <w:rPr>
          <w:szCs w:val="18"/>
        </w:rPr>
        <w:t>Een medisch specialist</w:t>
      </w:r>
      <w:r w:rsidR="001C5807">
        <w:rPr>
          <w:szCs w:val="18"/>
        </w:rPr>
        <w:t xml:space="preserve"> die participeert in een fiscaal transparant msb</w:t>
      </w:r>
      <w:r w:rsidR="00610DD9">
        <w:rPr>
          <w:szCs w:val="18"/>
        </w:rPr>
        <w:t xml:space="preserve"> kan bij de</w:t>
      </w:r>
      <w:r w:rsidR="00241325">
        <w:rPr>
          <w:szCs w:val="18"/>
        </w:rPr>
        <w:t xml:space="preserve"> competente</w:t>
      </w:r>
      <w:r w:rsidR="00610DD9">
        <w:rPr>
          <w:szCs w:val="18"/>
        </w:rPr>
        <w:t xml:space="preserve"> belastinginspecteur een verzoek om vooroverleg indienen om duidelijkheid</w:t>
      </w:r>
      <w:r w:rsidR="00E75F6F">
        <w:rPr>
          <w:szCs w:val="18"/>
        </w:rPr>
        <w:t xml:space="preserve"> (vooraf)</w:t>
      </w:r>
      <w:r w:rsidR="00610DD9">
        <w:rPr>
          <w:szCs w:val="18"/>
        </w:rPr>
        <w:t xml:space="preserve"> te verkrijgen </w:t>
      </w:r>
      <w:r w:rsidR="00F9623D">
        <w:rPr>
          <w:szCs w:val="18"/>
        </w:rPr>
        <w:t>over</w:t>
      </w:r>
      <w:r w:rsidR="00610DD9">
        <w:rPr>
          <w:szCs w:val="18"/>
        </w:rPr>
        <w:t xml:space="preserve"> deze beoordeling</w:t>
      </w:r>
      <w:r w:rsidR="00F9623D">
        <w:rPr>
          <w:szCs w:val="18"/>
        </w:rPr>
        <w:t xml:space="preserve"> in zijn concrete situatie</w:t>
      </w:r>
      <w:r w:rsidR="00610DD9">
        <w:rPr>
          <w:szCs w:val="18"/>
        </w:rPr>
        <w:t xml:space="preserve">. </w:t>
      </w:r>
    </w:p>
    <w:sectPr w:rsidRPr="006B6239" w:rsidR="006B62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B742" w14:textId="77777777" w:rsidR="0097385C" w:rsidRDefault="0097385C" w:rsidP="002F3F06">
      <w:pPr>
        <w:spacing w:line="240" w:lineRule="auto"/>
      </w:pPr>
      <w:r>
        <w:separator/>
      </w:r>
    </w:p>
  </w:endnote>
  <w:endnote w:type="continuationSeparator" w:id="0">
    <w:p w14:paraId="64868C26" w14:textId="77777777" w:rsidR="0097385C" w:rsidRDefault="0097385C" w:rsidP="002F3F06">
      <w:pPr>
        <w:spacing w:line="240" w:lineRule="auto"/>
      </w:pPr>
      <w:r>
        <w:continuationSeparator/>
      </w:r>
    </w:p>
  </w:endnote>
  <w:endnote w:type="continuationNotice" w:id="1">
    <w:p w14:paraId="6CC285BA" w14:textId="77777777" w:rsidR="0097385C" w:rsidRDefault="009738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MPNL F+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635B" w14:textId="77777777" w:rsidR="007D6C0E" w:rsidRDefault="007D6C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4C47" w14:textId="77777777" w:rsidR="00C34E2B" w:rsidRDefault="00C34E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026E" w14:textId="77777777" w:rsidR="007D6C0E" w:rsidRDefault="007D6C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3479A" w14:textId="77777777" w:rsidR="0097385C" w:rsidRDefault="0097385C" w:rsidP="002F3F06">
      <w:pPr>
        <w:spacing w:line="240" w:lineRule="auto"/>
      </w:pPr>
      <w:r>
        <w:separator/>
      </w:r>
    </w:p>
  </w:footnote>
  <w:footnote w:type="continuationSeparator" w:id="0">
    <w:p w14:paraId="09059F41" w14:textId="77777777" w:rsidR="0097385C" w:rsidRDefault="0097385C" w:rsidP="002F3F06">
      <w:pPr>
        <w:spacing w:line="240" w:lineRule="auto"/>
      </w:pPr>
      <w:r>
        <w:continuationSeparator/>
      </w:r>
    </w:p>
  </w:footnote>
  <w:footnote w:type="continuationNotice" w:id="1">
    <w:p w14:paraId="24A1BE54" w14:textId="77777777" w:rsidR="0097385C" w:rsidRDefault="0097385C">
      <w:pPr>
        <w:spacing w:line="240" w:lineRule="auto"/>
      </w:pPr>
    </w:p>
  </w:footnote>
  <w:footnote w:id="2">
    <w:p w14:paraId="4F806067" w14:textId="5B7CE4D8" w:rsidR="001B1971" w:rsidRDefault="001B1971">
      <w:pPr>
        <w:pStyle w:val="Voetnoottekst"/>
      </w:pPr>
      <w:r w:rsidRPr="001B4CB4">
        <w:rPr>
          <w:rStyle w:val="Voetnootmarkering"/>
          <w:sz w:val="13"/>
          <w:szCs w:val="13"/>
        </w:rPr>
        <w:footnoteRef/>
      </w:r>
      <w:r w:rsidRPr="001B4CB4">
        <w:rPr>
          <w:sz w:val="13"/>
          <w:szCs w:val="13"/>
        </w:rPr>
        <w:t xml:space="preserve"> </w:t>
      </w:r>
      <w:r w:rsidR="001B4CB4" w:rsidRPr="001B4CB4">
        <w:rPr>
          <w:sz w:val="13"/>
          <w:szCs w:val="13"/>
        </w:rPr>
        <w:t>Bijlage 1 bij Kamerstukken II 2023</w:t>
      </w:r>
      <w:r w:rsidR="006B56F5">
        <w:rPr>
          <w:sz w:val="13"/>
          <w:szCs w:val="13"/>
        </w:rPr>
        <w:t>/</w:t>
      </w:r>
      <w:r w:rsidR="001B4CB4" w:rsidRPr="001B4CB4">
        <w:rPr>
          <w:sz w:val="13"/>
          <w:szCs w:val="13"/>
        </w:rPr>
        <w:t>24, 31765, nr. 844.</w:t>
      </w:r>
    </w:p>
  </w:footnote>
  <w:footnote w:id="3">
    <w:p w14:paraId="534B70EB" w14:textId="37C9E77B" w:rsidR="00F9623D" w:rsidRDefault="00F9623D">
      <w:pPr>
        <w:pStyle w:val="Voetnoottekst"/>
      </w:pPr>
      <w:r w:rsidRPr="00F9623D">
        <w:rPr>
          <w:rStyle w:val="Voetnootmarkering"/>
          <w:sz w:val="13"/>
          <w:szCs w:val="13"/>
        </w:rPr>
        <w:footnoteRef/>
      </w:r>
      <w:r w:rsidRPr="00F9623D">
        <w:rPr>
          <w:sz w:val="13"/>
          <w:szCs w:val="13"/>
        </w:rPr>
        <w:t xml:space="preserve"> Als</w:t>
      </w:r>
      <w:r w:rsidRPr="00461EE9">
        <w:rPr>
          <w:sz w:val="13"/>
          <w:szCs w:val="13"/>
        </w:rPr>
        <w:t xml:space="preserve"> een rechtsvorm fiscaal transparant is (zoals bijvoorbeeld een maatschap), is deze niet zelfstandig belastingplichtig voor de vennootschapsbelasting. Er wordt als het ware doorheen gekeken en de achterliggers worden in de belastingheffing betrokken.</w:t>
      </w:r>
    </w:p>
  </w:footnote>
  <w:footnote w:id="4">
    <w:p w14:paraId="38565A1D" w14:textId="61640E67" w:rsidR="00727CBE" w:rsidRPr="00727CBE" w:rsidRDefault="00727CBE">
      <w:pPr>
        <w:pStyle w:val="Voetnoottekst"/>
        <w:rPr>
          <w:sz w:val="13"/>
          <w:szCs w:val="13"/>
        </w:rPr>
      </w:pPr>
      <w:r w:rsidRPr="00727CBE">
        <w:rPr>
          <w:rStyle w:val="Voetnootmarkering"/>
          <w:sz w:val="13"/>
          <w:szCs w:val="13"/>
        </w:rPr>
        <w:footnoteRef/>
      </w:r>
      <w:r w:rsidRPr="00727CBE">
        <w:rPr>
          <w:sz w:val="13"/>
          <w:szCs w:val="13"/>
        </w:rPr>
        <w:t xml:space="preserve"> Zie in dit kader o.a. Kamerstukken II</w:t>
      </w:r>
      <w:r w:rsidRPr="00727CBE">
        <w:rPr>
          <w:color w:val="211D1F"/>
          <w:sz w:val="13"/>
          <w:szCs w:val="13"/>
        </w:rPr>
        <w:t xml:space="preserve"> 2013</w:t>
      </w:r>
      <w:r w:rsidR="006B56F5">
        <w:rPr>
          <w:color w:val="211D1F"/>
          <w:sz w:val="13"/>
          <w:szCs w:val="13"/>
        </w:rPr>
        <w:t>/</w:t>
      </w:r>
      <w:r w:rsidRPr="00727CBE">
        <w:rPr>
          <w:color w:val="211D1F"/>
          <w:sz w:val="13"/>
          <w:szCs w:val="13"/>
        </w:rPr>
        <w:t>14, 32620, nr. 105.</w:t>
      </w:r>
    </w:p>
  </w:footnote>
  <w:footnote w:id="5">
    <w:p w14:paraId="15A3B25A" w14:textId="741D1ED6" w:rsidR="005024EF" w:rsidRPr="00727CBE" w:rsidRDefault="005024EF">
      <w:pPr>
        <w:pStyle w:val="Voetnoottekst"/>
        <w:rPr>
          <w:sz w:val="13"/>
          <w:szCs w:val="13"/>
        </w:rPr>
      </w:pPr>
      <w:r w:rsidRPr="00727CBE">
        <w:rPr>
          <w:rStyle w:val="Voetnootmarkering"/>
          <w:sz w:val="13"/>
          <w:szCs w:val="13"/>
        </w:rPr>
        <w:footnoteRef/>
      </w:r>
      <w:r w:rsidRPr="00727CBE">
        <w:rPr>
          <w:sz w:val="13"/>
          <w:szCs w:val="13"/>
        </w:rPr>
        <w:t xml:space="preserve"> </w:t>
      </w:r>
      <w:r w:rsidR="00751E5F">
        <w:rPr>
          <w:sz w:val="13"/>
          <w:szCs w:val="13"/>
        </w:rPr>
        <w:t>Kamerstukken II 2013</w:t>
      </w:r>
      <w:r w:rsidR="006B56F5">
        <w:rPr>
          <w:sz w:val="13"/>
          <w:szCs w:val="13"/>
        </w:rPr>
        <w:t>/</w:t>
      </w:r>
      <w:r w:rsidR="00751E5F">
        <w:rPr>
          <w:sz w:val="13"/>
          <w:szCs w:val="13"/>
        </w:rPr>
        <w:t>14, 29248, nr. 275, bijlage 241466.</w:t>
      </w:r>
    </w:p>
  </w:footnote>
  <w:footnote w:id="6">
    <w:p w14:paraId="3F5B9C5F" w14:textId="77777777" w:rsidR="009B68C6" w:rsidRPr="00727CBE" w:rsidRDefault="009B68C6" w:rsidP="009B68C6">
      <w:pPr>
        <w:pStyle w:val="Default"/>
        <w:rPr>
          <w:rFonts w:ascii="Verdana" w:hAnsi="Verdana"/>
          <w:sz w:val="13"/>
          <w:szCs w:val="13"/>
        </w:rPr>
      </w:pPr>
      <w:r w:rsidRPr="00727CBE">
        <w:rPr>
          <w:rStyle w:val="Voetnootmarkering"/>
          <w:rFonts w:ascii="Verdana" w:hAnsi="Verdana"/>
          <w:sz w:val="13"/>
          <w:szCs w:val="13"/>
        </w:rPr>
        <w:footnoteRef/>
      </w:r>
      <w:r w:rsidRPr="00727CBE">
        <w:rPr>
          <w:rFonts w:ascii="Verdana" w:hAnsi="Verdana"/>
          <w:sz w:val="13"/>
          <w:szCs w:val="13"/>
        </w:rPr>
        <w:t xml:space="preserve"> Zie in dit kader de brief van 17 december 2013 van de </w:t>
      </w:r>
      <w:r w:rsidRPr="00727CBE">
        <w:rPr>
          <w:rFonts w:ascii="Verdana" w:hAnsi="Verdana" w:cs="GMPNL F+ Univers"/>
          <w:sz w:val="13"/>
          <w:szCs w:val="13"/>
        </w:rPr>
        <w:t xml:space="preserve">NVZ </w:t>
      </w:r>
      <w:r w:rsidRPr="00727CBE">
        <w:rPr>
          <w:rFonts w:ascii="Verdana" w:hAnsi="Verdana" w:cs="GMPNL F+ Univers"/>
          <w:color w:val="211D1F"/>
          <w:sz w:val="13"/>
          <w:szCs w:val="13"/>
        </w:rPr>
        <w:t>en de Orde van Medisch Specialisten (thans de Federatie van Medisch Specialisten)</w:t>
      </w:r>
      <w:r>
        <w:rPr>
          <w:rFonts w:ascii="Verdana" w:hAnsi="Verdana" w:cs="GMPNL F+ Univers"/>
          <w:color w:val="211D1F"/>
          <w:sz w:val="13"/>
          <w:szCs w:val="13"/>
        </w:rPr>
        <w:t xml:space="preserve"> met</w:t>
      </w:r>
      <w:r w:rsidRPr="00727CBE">
        <w:rPr>
          <w:rFonts w:ascii="Verdana" w:hAnsi="Verdana" w:cs="GMPNL F+ Univers"/>
          <w:color w:val="211D1F"/>
          <w:sz w:val="13"/>
          <w:szCs w:val="13"/>
        </w:rPr>
        <w:t xml:space="preserve"> </w:t>
      </w:r>
      <w:r w:rsidRPr="004E5FC4">
        <w:rPr>
          <w:rFonts w:ascii="Verdana" w:hAnsi="Verdana"/>
          <w:color w:val="auto"/>
          <w:sz w:val="13"/>
          <w:szCs w:val="13"/>
          <w:shd w:val="clear" w:color="auto" w:fill="FFFFFF"/>
        </w:rPr>
        <w:t>referentie 10008350/kn.hp</w:t>
      </w:r>
      <w:r w:rsidRPr="004E5FC4">
        <w:rPr>
          <w:rFonts w:ascii="Verdana" w:hAnsi="Verdana"/>
          <w:color w:val="auto"/>
          <w:sz w:val="13"/>
          <w:szCs w:val="13"/>
        </w:rPr>
        <w:t xml:space="preserve"> </w:t>
      </w:r>
      <w:r w:rsidRPr="00727CBE">
        <w:rPr>
          <w:rFonts w:ascii="Verdana" w:hAnsi="Verdana"/>
          <w:sz w:val="13"/>
          <w:szCs w:val="13"/>
        </w:rPr>
        <w:t>en de brief van de Staatssecretaris van</w:t>
      </w:r>
      <w:r>
        <w:rPr>
          <w:rFonts w:ascii="Verdana" w:hAnsi="Verdana"/>
          <w:sz w:val="13"/>
          <w:szCs w:val="13"/>
        </w:rPr>
        <w:t xml:space="preserve"> Financiën van</w:t>
      </w:r>
      <w:r w:rsidRPr="00727CBE">
        <w:rPr>
          <w:rFonts w:ascii="Verdana" w:hAnsi="Verdana"/>
          <w:sz w:val="13"/>
          <w:szCs w:val="13"/>
        </w:rPr>
        <w:t xml:space="preserve"> 18 december 2013</w:t>
      </w:r>
      <w:r>
        <w:rPr>
          <w:rFonts w:ascii="Verdana" w:hAnsi="Verdana"/>
          <w:sz w:val="13"/>
          <w:szCs w:val="13"/>
        </w:rPr>
        <w:t xml:space="preserve"> (Kamerstukken II 2013/14, 32260, nr. 105</w:t>
      </w:r>
      <w:r>
        <w:rPr>
          <w:rFonts w:ascii="Verdana" w:hAnsi="Verdana"/>
          <w:color w:val="auto"/>
          <w:sz w:val="13"/>
          <w:szCs w:val="13"/>
          <w:shd w:val="clear" w:color="auto" w:fill="FFFFFF"/>
        </w:rPr>
        <w:t>)</w:t>
      </w:r>
      <w:r w:rsidRPr="00727CBE">
        <w:rPr>
          <w:rFonts w:ascii="Verdana" w:hAnsi="Verdana"/>
          <w:sz w:val="13"/>
          <w:szCs w:val="13"/>
        </w:rPr>
        <w:t>.</w:t>
      </w:r>
    </w:p>
  </w:footnote>
  <w:footnote w:id="7">
    <w:p w14:paraId="2CA700E9" w14:textId="5CE7B391" w:rsidR="001D56C1" w:rsidRPr="001D56C1" w:rsidRDefault="001D56C1">
      <w:pPr>
        <w:pStyle w:val="Voetnoottekst"/>
        <w:rPr>
          <w:sz w:val="13"/>
          <w:szCs w:val="13"/>
        </w:rPr>
      </w:pPr>
      <w:r w:rsidRPr="001D56C1">
        <w:rPr>
          <w:rStyle w:val="Voetnootmarkering"/>
          <w:sz w:val="13"/>
          <w:szCs w:val="13"/>
        </w:rPr>
        <w:footnoteRef/>
      </w:r>
      <w:r w:rsidRPr="001D56C1">
        <w:rPr>
          <w:sz w:val="13"/>
          <w:szCs w:val="13"/>
        </w:rPr>
        <w:t xml:space="preserve"> Kamerstukken II 2009</w:t>
      </w:r>
      <w:r w:rsidR="00FE06DD">
        <w:rPr>
          <w:sz w:val="13"/>
          <w:szCs w:val="13"/>
        </w:rPr>
        <w:t>/</w:t>
      </w:r>
      <w:r w:rsidRPr="001D56C1">
        <w:rPr>
          <w:sz w:val="13"/>
          <w:szCs w:val="13"/>
        </w:rPr>
        <w:t>10, 32222, nr. 11.</w:t>
      </w:r>
    </w:p>
  </w:footnote>
  <w:footnote w:id="8">
    <w:p w14:paraId="4FBFB52A" w14:textId="5CDB9FBD" w:rsidR="00996161" w:rsidRDefault="00996161">
      <w:pPr>
        <w:pStyle w:val="Voetnoottekst"/>
      </w:pPr>
      <w:r w:rsidRPr="00996161">
        <w:rPr>
          <w:rStyle w:val="Voetnootmarkering"/>
          <w:sz w:val="13"/>
          <w:szCs w:val="13"/>
        </w:rPr>
        <w:footnoteRef/>
      </w:r>
      <w:r w:rsidRPr="00996161">
        <w:rPr>
          <w:sz w:val="13"/>
          <w:szCs w:val="13"/>
        </w:rPr>
        <w:t xml:space="preserve"> </w:t>
      </w:r>
      <w:r>
        <w:rPr>
          <w:sz w:val="13"/>
          <w:szCs w:val="13"/>
        </w:rPr>
        <w:t>Kamerstukken II 2013</w:t>
      </w:r>
      <w:r w:rsidR="00FE06DD">
        <w:rPr>
          <w:sz w:val="13"/>
          <w:szCs w:val="13"/>
        </w:rPr>
        <w:t>/</w:t>
      </w:r>
      <w:r>
        <w:rPr>
          <w:sz w:val="13"/>
          <w:szCs w:val="13"/>
        </w:rPr>
        <w:t xml:space="preserve">14, </w:t>
      </w:r>
      <w:r w:rsidR="001B5D7A">
        <w:rPr>
          <w:sz w:val="13"/>
          <w:szCs w:val="13"/>
        </w:rPr>
        <w:t>32620</w:t>
      </w:r>
      <w:r>
        <w:rPr>
          <w:sz w:val="13"/>
          <w:szCs w:val="13"/>
        </w:rPr>
        <w:t>, nr. 105</w:t>
      </w:r>
      <w:r w:rsidR="00F70622">
        <w:rPr>
          <w:sz w:val="13"/>
          <w:szCs w:val="13"/>
        </w:rPr>
        <w:t>.</w:t>
      </w:r>
    </w:p>
  </w:footnote>
  <w:footnote w:id="9">
    <w:p w14:paraId="30F1C188" w14:textId="72085D1A" w:rsidR="0074435A" w:rsidRPr="0074435A" w:rsidRDefault="0074435A">
      <w:pPr>
        <w:pStyle w:val="Voetnoottekst"/>
        <w:rPr>
          <w:sz w:val="13"/>
          <w:szCs w:val="13"/>
        </w:rPr>
      </w:pPr>
      <w:r w:rsidRPr="0074435A">
        <w:rPr>
          <w:rStyle w:val="Voetnootmarkering"/>
          <w:sz w:val="13"/>
          <w:szCs w:val="13"/>
        </w:rPr>
        <w:footnoteRef/>
      </w:r>
      <w:r w:rsidRPr="0074435A">
        <w:rPr>
          <w:sz w:val="13"/>
          <w:szCs w:val="13"/>
        </w:rPr>
        <w:t xml:space="preserve"> </w:t>
      </w:r>
      <w:r>
        <w:rPr>
          <w:sz w:val="13"/>
          <w:szCs w:val="13"/>
        </w:rPr>
        <w:t>Zogenoemd</w:t>
      </w:r>
      <w:r w:rsidRPr="0074435A">
        <w:rPr>
          <w:sz w:val="13"/>
          <w:szCs w:val="13"/>
        </w:rPr>
        <w:t xml:space="preserve"> bestuurlijk akkoord van 16 juli 2013.</w:t>
      </w:r>
    </w:p>
  </w:footnote>
  <w:footnote w:id="10">
    <w:p w14:paraId="141F59E9" w14:textId="19476708" w:rsidR="00850879" w:rsidRDefault="00850879">
      <w:pPr>
        <w:pStyle w:val="Voetnoottekst"/>
      </w:pPr>
      <w:r w:rsidRPr="00850879">
        <w:rPr>
          <w:rStyle w:val="Voetnootmarkering"/>
          <w:sz w:val="13"/>
          <w:szCs w:val="13"/>
        </w:rPr>
        <w:footnoteRef/>
      </w:r>
      <w:r>
        <w:t xml:space="preserve"> </w:t>
      </w:r>
      <w:r w:rsidRPr="003C312A">
        <w:rPr>
          <w:sz w:val="13"/>
          <w:szCs w:val="13"/>
        </w:rPr>
        <w:t xml:space="preserve">Zie </w:t>
      </w:r>
      <w:hyperlink r:id="rId1" w:history="1">
        <w:r w:rsidR="000D0609" w:rsidRPr="000D0609">
          <w:rPr>
            <w:rStyle w:val="Hyperlink"/>
            <w:sz w:val="13"/>
            <w:szCs w:val="13"/>
          </w:rPr>
          <w:t>Monitor verbeterpotentieel medisch-specialistische bedrijven | Rapport | Rijksoverheid.nl</w:t>
        </w:r>
      </w:hyperlink>
      <w:r w:rsidRPr="000D0609">
        <w:rPr>
          <w:rFonts w:cs="Calibri"/>
          <w:color w:val="000000"/>
          <w:sz w:val="13"/>
          <w:szCs w:val="13"/>
        </w:rPr>
        <w:t>,</w:t>
      </w:r>
      <w:r w:rsidRPr="003C312A">
        <w:rPr>
          <w:rFonts w:cs="Calibri"/>
          <w:color w:val="000000"/>
          <w:sz w:val="13"/>
          <w:szCs w:val="13"/>
        </w:rPr>
        <w:t xml:space="preserve"> p. </w:t>
      </w:r>
      <w:r>
        <w:rPr>
          <w:rFonts w:cs="Calibri"/>
          <w:color w:val="000000"/>
          <w:sz w:val="13"/>
          <w:szCs w:val="13"/>
        </w:rPr>
        <w:t>2 t/m 4.</w:t>
      </w:r>
    </w:p>
  </w:footnote>
  <w:footnote w:id="11">
    <w:p w14:paraId="193C7930" w14:textId="095BB53F" w:rsidR="006B6239" w:rsidRPr="006B6239" w:rsidRDefault="006B6239">
      <w:pPr>
        <w:pStyle w:val="Voetnoottekst"/>
        <w:rPr>
          <w:sz w:val="13"/>
          <w:szCs w:val="13"/>
        </w:rPr>
      </w:pPr>
      <w:r w:rsidRPr="006B6239">
        <w:rPr>
          <w:rStyle w:val="Voetnootmarkering"/>
          <w:sz w:val="13"/>
          <w:szCs w:val="13"/>
        </w:rPr>
        <w:footnoteRef/>
      </w:r>
      <w:r w:rsidRPr="006B6239">
        <w:rPr>
          <w:sz w:val="13"/>
          <w:szCs w:val="13"/>
        </w:rPr>
        <w:t xml:space="preserve"> Bijlage 1</w:t>
      </w:r>
      <w:r>
        <w:rPr>
          <w:sz w:val="13"/>
          <w:szCs w:val="13"/>
        </w:rPr>
        <w:t>, p. 2 en 3</w:t>
      </w:r>
      <w:r w:rsidRPr="006B6239">
        <w:rPr>
          <w:sz w:val="13"/>
          <w:szCs w:val="13"/>
        </w:rPr>
        <w:t xml:space="preserve"> bij Kamerstukken II 2023</w:t>
      </w:r>
      <w:r w:rsidR="00C6179C">
        <w:rPr>
          <w:sz w:val="13"/>
          <w:szCs w:val="13"/>
        </w:rPr>
        <w:t>/</w:t>
      </w:r>
      <w:r w:rsidRPr="006B6239">
        <w:rPr>
          <w:sz w:val="13"/>
          <w:szCs w:val="13"/>
        </w:rPr>
        <w:t>24, 31765, nr. 844.</w:t>
      </w:r>
    </w:p>
  </w:footnote>
  <w:footnote w:id="12">
    <w:p w14:paraId="6C985DAC" w14:textId="58EDE041" w:rsidR="003C312A" w:rsidRPr="003C312A" w:rsidRDefault="003C312A">
      <w:pPr>
        <w:pStyle w:val="Voetnoottekst"/>
        <w:rPr>
          <w:sz w:val="13"/>
          <w:szCs w:val="13"/>
        </w:rPr>
      </w:pPr>
      <w:r w:rsidRPr="003C312A">
        <w:rPr>
          <w:rStyle w:val="Voetnootmarkering"/>
          <w:sz w:val="13"/>
          <w:szCs w:val="13"/>
        </w:rPr>
        <w:footnoteRef/>
      </w:r>
      <w:r w:rsidRPr="003C312A">
        <w:rPr>
          <w:sz w:val="13"/>
          <w:szCs w:val="13"/>
        </w:rPr>
        <w:t xml:space="preserve"> Zie </w:t>
      </w:r>
      <w:hyperlink r:id="rId2" w:history="1">
        <w:r w:rsidR="000D0609" w:rsidRPr="000D0609">
          <w:rPr>
            <w:rStyle w:val="Hyperlink"/>
            <w:sz w:val="13"/>
            <w:szCs w:val="13"/>
          </w:rPr>
          <w:t>Monitor verbeterpotentieel medisch-specialistische bedrijven | Rapport | Rijksoverheid.nl</w:t>
        </w:r>
      </w:hyperlink>
      <w:r w:rsidRPr="003C312A">
        <w:rPr>
          <w:rFonts w:cs="Calibri"/>
          <w:color w:val="000000"/>
          <w:sz w:val="13"/>
          <w:szCs w:val="13"/>
        </w:rPr>
        <w:t xml:space="preserve">, p. 10 en 55.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E2A7" w14:textId="77777777" w:rsidR="007D6C0E" w:rsidRDefault="007D6C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CEA3" w14:textId="77777777" w:rsidR="00C34E2B" w:rsidRDefault="00C34E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6B54" w14:textId="77777777" w:rsidR="007D6C0E" w:rsidRDefault="007D6C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CB7"/>
    <w:multiLevelType w:val="hybridMultilevel"/>
    <w:tmpl w:val="EC24DB62"/>
    <w:lvl w:ilvl="0" w:tplc="D51E5B28">
      <w:start w:val="1"/>
      <w:numFmt w:val="bullet"/>
      <w:lvlText w:val=""/>
      <w:lvlJc w:val="left"/>
      <w:pPr>
        <w:ind w:left="1440" w:hanging="360"/>
      </w:pPr>
      <w:rPr>
        <w:rFonts w:ascii="Symbol" w:hAnsi="Symbol"/>
      </w:rPr>
    </w:lvl>
    <w:lvl w:ilvl="1" w:tplc="80F01E4E">
      <w:start w:val="1"/>
      <w:numFmt w:val="bullet"/>
      <w:lvlText w:val=""/>
      <w:lvlJc w:val="left"/>
      <w:pPr>
        <w:ind w:left="1440" w:hanging="360"/>
      </w:pPr>
      <w:rPr>
        <w:rFonts w:ascii="Symbol" w:hAnsi="Symbol"/>
      </w:rPr>
    </w:lvl>
    <w:lvl w:ilvl="2" w:tplc="F768187C">
      <w:start w:val="1"/>
      <w:numFmt w:val="bullet"/>
      <w:lvlText w:val=""/>
      <w:lvlJc w:val="left"/>
      <w:pPr>
        <w:ind w:left="1440" w:hanging="360"/>
      </w:pPr>
      <w:rPr>
        <w:rFonts w:ascii="Symbol" w:hAnsi="Symbol"/>
      </w:rPr>
    </w:lvl>
    <w:lvl w:ilvl="3" w:tplc="A8988398">
      <w:start w:val="1"/>
      <w:numFmt w:val="bullet"/>
      <w:lvlText w:val=""/>
      <w:lvlJc w:val="left"/>
      <w:pPr>
        <w:ind w:left="1440" w:hanging="360"/>
      </w:pPr>
      <w:rPr>
        <w:rFonts w:ascii="Symbol" w:hAnsi="Symbol"/>
      </w:rPr>
    </w:lvl>
    <w:lvl w:ilvl="4" w:tplc="D3BC6D0C">
      <w:start w:val="1"/>
      <w:numFmt w:val="bullet"/>
      <w:lvlText w:val=""/>
      <w:lvlJc w:val="left"/>
      <w:pPr>
        <w:ind w:left="1440" w:hanging="360"/>
      </w:pPr>
      <w:rPr>
        <w:rFonts w:ascii="Symbol" w:hAnsi="Symbol"/>
      </w:rPr>
    </w:lvl>
    <w:lvl w:ilvl="5" w:tplc="E5A8E0BA">
      <w:start w:val="1"/>
      <w:numFmt w:val="bullet"/>
      <w:lvlText w:val=""/>
      <w:lvlJc w:val="left"/>
      <w:pPr>
        <w:ind w:left="1440" w:hanging="360"/>
      </w:pPr>
      <w:rPr>
        <w:rFonts w:ascii="Symbol" w:hAnsi="Symbol"/>
      </w:rPr>
    </w:lvl>
    <w:lvl w:ilvl="6" w:tplc="DE2CE58A">
      <w:start w:val="1"/>
      <w:numFmt w:val="bullet"/>
      <w:lvlText w:val=""/>
      <w:lvlJc w:val="left"/>
      <w:pPr>
        <w:ind w:left="1440" w:hanging="360"/>
      </w:pPr>
      <w:rPr>
        <w:rFonts w:ascii="Symbol" w:hAnsi="Symbol"/>
      </w:rPr>
    </w:lvl>
    <w:lvl w:ilvl="7" w:tplc="6D445E12">
      <w:start w:val="1"/>
      <w:numFmt w:val="bullet"/>
      <w:lvlText w:val=""/>
      <w:lvlJc w:val="left"/>
      <w:pPr>
        <w:ind w:left="1440" w:hanging="360"/>
      </w:pPr>
      <w:rPr>
        <w:rFonts w:ascii="Symbol" w:hAnsi="Symbol"/>
      </w:rPr>
    </w:lvl>
    <w:lvl w:ilvl="8" w:tplc="599E63F8">
      <w:start w:val="1"/>
      <w:numFmt w:val="bullet"/>
      <w:lvlText w:val=""/>
      <w:lvlJc w:val="left"/>
      <w:pPr>
        <w:ind w:left="1440" w:hanging="360"/>
      </w:pPr>
      <w:rPr>
        <w:rFonts w:ascii="Symbol" w:hAnsi="Symbol"/>
      </w:rPr>
    </w:lvl>
  </w:abstractNum>
  <w:abstractNum w:abstractNumId="1" w15:restartNumberingAfterBreak="0">
    <w:nsid w:val="188A1ED5"/>
    <w:multiLevelType w:val="hybridMultilevel"/>
    <w:tmpl w:val="7214C798"/>
    <w:lvl w:ilvl="0" w:tplc="D69E03FE">
      <w:start w:val="1"/>
      <w:numFmt w:val="decimal"/>
      <w:lvlText w:val="%1."/>
      <w:lvlJc w:val="left"/>
      <w:pPr>
        <w:ind w:left="720" w:hanging="360"/>
      </w:pPr>
      <w:rPr>
        <w:rFonts w:eastAsiaTheme="minorHAnsi" w:cs="Arial"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CC6F4D"/>
    <w:multiLevelType w:val="hybridMultilevel"/>
    <w:tmpl w:val="6D26E904"/>
    <w:lvl w:ilvl="0" w:tplc="BBD0D470">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A195608"/>
    <w:multiLevelType w:val="hybridMultilevel"/>
    <w:tmpl w:val="8B6AC50E"/>
    <w:lvl w:ilvl="0" w:tplc="47CE397A">
      <w:start w:val="1"/>
      <w:numFmt w:val="decimal"/>
      <w:lvlText w:val="%1."/>
      <w:lvlJc w:val="left"/>
      <w:pPr>
        <w:ind w:left="1440" w:hanging="360"/>
      </w:pPr>
    </w:lvl>
    <w:lvl w:ilvl="1" w:tplc="4E187B8C">
      <w:start w:val="1"/>
      <w:numFmt w:val="decimal"/>
      <w:lvlText w:val="%2."/>
      <w:lvlJc w:val="left"/>
      <w:pPr>
        <w:ind w:left="1440" w:hanging="360"/>
      </w:pPr>
    </w:lvl>
    <w:lvl w:ilvl="2" w:tplc="05760252">
      <w:start w:val="1"/>
      <w:numFmt w:val="decimal"/>
      <w:lvlText w:val="%3."/>
      <w:lvlJc w:val="left"/>
      <w:pPr>
        <w:ind w:left="1440" w:hanging="360"/>
      </w:pPr>
    </w:lvl>
    <w:lvl w:ilvl="3" w:tplc="4C82B06C">
      <w:start w:val="1"/>
      <w:numFmt w:val="decimal"/>
      <w:lvlText w:val="%4."/>
      <w:lvlJc w:val="left"/>
      <w:pPr>
        <w:ind w:left="1440" w:hanging="360"/>
      </w:pPr>
    </w:lvl>
    <w:lvl w:ilvl="4" w:tplc="B930FBD6">
      <w:start w:val="1"/>
      <w:numFmt w:val="decimal"/>
      <w:lvlText w:val="%5."/>
      <w:lvlJc w:val="left"/>
      <w:pPr>
        <w:ind w:left="1440" w:hanging="360"/>
      </w:pPr>
    </w:lvl>
    <w:lvl w:ilvl="5" w:tplc="FA0A0224">
      <w:start w:val="1"/>
      <w:numFmt w:val="decimal"/>
      <w:lvlText w:val="%6."/>
      <w:lvlJc w:val="left"/>
      <w:pPr>
        <w:ind w:left="1440" w:hanging="360"/>
      </w:pPr>
    </w:lvl>
    <w:lvl w:ilvl="6" w:tplc="9F9A7056">
      <w:start w:val="1"/>
      <w:numFmt w:val="decimal"/>
      <w:lvlText w:val="%7."/>
      <w:lvlJc w:val="left"/>
      <w:pPr>
        <w:ind w:left="1440" w:hanging="360"/>
      </w:pPr>
    </w:lvl>
    <w:lvl w:ilvl="7" w:tplc="2CE84C2E">
      <w:start w:val="1"/>
      <w:numFmt w:val="decimal"/>
      <w:lvlText w:val="%8."/>
      <w:lvlJc w:val="left"/>
      <w:pPr>
        <w:ind w:left="1440" w:hanging="360"/>
      </w:pPr>
    </w:lvl>
    <w:lvl w:ilvl="8" w:tplc="017E9F3E">
      <w:start w:val="1"/>
      <w:numFmt w:val="decimal"/>
      <w:lvlText w:val="%9."/>
      <w:lvlJc w:val="left"/>
      <w:pPr>
        <w:ind w:left="1440" w:hanging="360"/>
      </w:pPr>
    </w:lvl>
  </w:abstractNum>
  <w:abstractNum w:abstractNumId="4" w15:restartNumberingAfterBreak="0">
    <w:nsid w:val="21933D56"/>
    <w:multiLevelType w:val="hybridMultilevel"/>
    <w:tmpl w:val="B666D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EC0B64"/>
    <w:multiLevelType w:val="hybridMultilevel"/>
    <w:tmpl w:val="67C68CBA"/>
    <w:lvl w:ilvl="0" w:tplc="35AA40E8">
      <w:start w:val="1"/>
      <w:numFmt w:val="bullet"/>
      <w:lvlText w:val=""/>
      <w:lvlJc w:val="left"/>
      <w:pPr>
        <w:ind w:left="1800" w:hanging="360"/>
      </w:pPr>
      <w:rPr>
        <w:rFonts w:ascii="Symbol" w:hAnsi="Symbol"/>
      </w:rPr>
    </w:lvl>
    <w:lvl w:ilvl="1" w:tplc="8EC224E8">
      <w:start w:val="1"/>
      <w:numFmt w:val="bullet"/>
      <w:lvlText w:val=""/>
      <w:lvlJc w:val="left"/>
      <w:pPr>
        <w:ind w:left="1800" w:hanging="360"/>
      </w:pPr>
      <w:rPr>
        <w:rFonts w:ascii="Symbol" w:hAnsi="Symbol"/>
      </w:rPr>
    </w:lvl>
    <w:lvl w:ilvl="2" w:tplc="40BCCE24">
      <w:start w:val="1"/>
      <w:numFmt w:val="bullet"/>
      <w:lvlText w:val=""/>
      <w:lvlJc w:val="left"/>
      <w:pPr>
        <w:ind w:left="1800" w:hanging="360"/>
      </w:pPr>
      <w:rPr>
        <w:rFonts w:ascii="Symbol" w:hAnsi="Symbol"/>
      </w:rPr>
    </w:lvl>
    <w:lvl w:ilvl="3" w:tplc="F4AAA4F6">
      <w:start w:val="1"/>
      <w:numFmt w:val="bullet"/>
      <w:lvlText w:val=""/>
      <w:lvlJc w:val="left"/>
      <w:pPr>
        <w:ind w:left="1800" w:hanging="360"/>
      </w:pPr>
      <w:rPr>
        <w:rFonts w:ascii="Symbol" w:hAnsi="Symbol"/>
      </w:rPr>
    </w:lvl>
    <w:lvl w:ilvl="4" w:tplc="00A280C8">
      <w:start w:val="1"/>
      <w:numFmt w:val="bullet"/>
      <w:lvlText w:val=""/>
      <w:lvlJc w:val="left"/>
      <w:pPr>
        <w:ind w:left="1800" w:hanging="360"/>
      </w:pPr>
      <w:rPr>
        <w:rFonts w:ascii="Symbol" w:hAnsi="Symbol"/>
      </w:rPr>
    </w:lvl>
    <w:lvl w:ilvl="5" w:tplc="0E0C5A2C">
      <w:start w:val="1"/>
      <w:numFmt w:val="bullet"/>
      <w:lvlText w:val=""/>
      <w:lvlJc w:val="left"/>
      <w:pPr>
        <w:ind w:left="1800" w:hanging="360"/>
      </w:pPr>
      <w:rPr>
        <w:rFonts w:ascii="Symbol" w:hAnsi="Symbol"/>
      </w:rPr>
    </w:lvl>
    <w:lvl w:ilvl="6" w:tplc="A498F692">
      <w:start w:val="1"/>
      <w:numFmt w:val="bullet"/>
      <w:lvlText w:val=""/>
      <w:lvlJc w:val="left"/>
      <w:pPr>
        <w:ind w:left="1800" w:hanging="360"/>
      </w:pPr>
      <w:rPr>
        <w:rFonts w:ascii="Symbol" w:hAnsi="Symbol"/>
      </w:rPr>
    </w:lvl>
    <w:lvl w:ilvl="7" w:tplc="FC142554">
      <w:start w:val="1"/>
      <w:numFmt w:val="bullet"/>
      <w:lvlText w:val=""/>
      <w:lvlJc w:val="left"/>
      <w:pPr>
        <w:ind w:left="1800" w:hanging="360"/>
      </w:pPr>
      <w:rPr>
        <w:rFonts w:ascii="Symbol" w:hAnsi="Symbol"/>
      </w:rPr>
    </w:lvl>
    <w:lvl w:ilvl="8" w:tplc="751C0FFE">
      <w:start w:val="1"/>
      <w:numFmt w:val="bullet"/>
      <w:lvlText w:val=""/>
      <w:lvlJc w:val="left"/>
      <w:pPr>
        <w:ind w:left="1800" w:hanging="360"/>
      </w:pPr>
      <w:rPr>
        <w:rFonts w:ascii="Symbol" w:hAnsi="Symbol"/>
      </w:rPr>
    </w:lvl>
  </w:abstractNum>
  <w:abstractNum w:abstractNumId="6" w15:restartNumberingAfterBreak="0">
    <w:nsid w:val="46BC57A3"/>
    <w:multiLevelType w:val="hybridMultilevel"/>
    <w:tmpl w:val="C7161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E8F1652"/>
    <w:multiLevelType w:val="multilevel"/>
    <w:tmpl w:val="D4C64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A151E1"/>
    <w:multiLevelType w:val="hybridMultilevel"/>
    <w:tmpl w:val="2DFC7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664449"/>
    <w:multiLevelType w:val="hybridMultilevel"/>
    <w:tmpl w:val="D962049C"/>
    <w:lvl w:ilvl="0" w:tplc="BBD0D470">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41784F"/>
    <w:multiLevelType w:val="hybridMultilevel"/>
    <w:tmpl w:val="A8381404"/>
    <w:lvl w:ilvl="0" w:tplc="446690C2">
      <w:start w:val="1"/>
      <w:numFmt w:val="decimal"/>
      <w:lvlText w:val="%1."/>
      <w:lvlJc w:val="left"/>
      <w:pPr>
        <w:ind w:left="1440" w:hanging="360"/>
      </w:pPr>
    </w:lvl>
    <w:lvl w:ilvl="1" w:tplc="CF00DB4C">
      <w:start w:val="1"/>
      <w:numFmt w:val="decimal"/>
      <w:lvlText w:val="%2."/>
      <w:lvlJc w:val="left"/>
      <w:pPr>
        <w:ind w:left="1440" w:hanging="360"/>
      </w:pPr>
    </w:lvl>
    <w:lvl w:ilvl="2" w:tplc="A62EAF24">
      <w:start w:val="1"/>
      <w:numFmt w:val="decimal"/>
      <w:lvlText w:val="%3."/>
      <w:lvlJc w:val="left"/>
      <w:pPr>
        <w:ind w:left="1440" w:hanging="360"/>
      </w:pPr>
    </w:lvl>
    <w:lvl w:ilvl="3" w:tplc="880EEB70">
      <w:start w:val="1"/>
      <w:numFmt w:val="decimal"/>
      <w:lvlText w:val="%4."/>
      <w:lvlJc w:val="left"/>
      <w:pPr>
        <w:ind w:left="1440" w:hanging="360"/>
      </w:pPr>
    </w:lvl>
    <w:lvl w:ilvl="4" w:tplc="E124C784">
      <w:start w:val="1"/>
      <w:numFmt w:val="decimal"/>
      <w:lvlText w:val="%5."/>
      <w:lvlJc w:val="left"/>
      <w:pPr>
        <w:ind w:left="1440" w:hanging="360"/>
      </w:pPr>
    </w:lvl>
    <w:lvl w:ilvl="5" w:tplc="88441DF8">
      <w:start w:val="1"/>
      <w:numFmt w:val="decimal"/>
      <w:lvlText w:val="%6."/>
      <w:lvlJc w:val="left"/>
      <w:pPr>
        <w:ind w:left="1440" w:hanging="360"/>
      </w:pPr>
    </w:lvl>
    <w:lvl w:ilvl="6" w:tplc="0082E73E">
      <w:start w:val="1"/>
      <w:numFmt w:val="decimal"/>
      <w:lvlText w:val="%7."/>
      <w:lvlJc w:val="left"/>
      <w:pPr>
        <w:ind w:left="1440" w:hanging="360"/>
      </w:pPr>
    </w:lvl>
    <w:lvl w:ilvl="7" w:tplc="CDD0359A">
      <w:start w:val="1"/>
      <w:numFmt w:val="decimal"/>
      <w:lvlText w:val="%8."/>
      <w:lvlJc w:val="left"/>
      <w:pPr>
        <w:ind w:left="1440" w:hanging="360"/>
      </w:pPr>
    </w:lvl>
    <w:lvl w:ilvl="8" w:tplc="A32C509E">
      <w:start w:val="1"/>
      <w:numFmt w:val="decimal"/>
      <w:lvlText w:val="%9."/>
      <w:lvlJc w:val="left"/>
      <w:pPr>
        <w:ind w:left="1440" w:hanging="360"/>
      </w:pPr>
    </w:lvl>
  </w:abstractNum>
  <w:abstractNum w:abstractNumId="11" w15:restartNumberingAfterBreak="0">
    <w:nsid w:val="6BD401DE"/>
    <w:multiLevelType w:val="multilevel"/>
    <w:tmpl w:val="8F3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787263">
    <w:abstractNumId w:val="9"/>
  </w:num>
  <w:num w:numId="2" w16cid:durableId="1748570610">
    <w:abstractNumId w:val="6"/>
  </w:num>
  <w:num w:numId="3" w16cid:durableId="396824220">
    <w:abstractNumId w:val="2"/>
  </w:num>
  <w:num w:numId="4" w16cid:durableId="644971455">
    <w:abstractNumId w:val="10"/>
  </w:num>
  <w:num w:numId="5" w16cid:durableId="2035767694">
    <w:abstractNumId w:val="5"/>
  </w:num>
  <w:num w:numId="6" w16cid:durableId="1207911889">
    <w:abstractNumId w:val="3"/>
  </w:num>
  <w:num w:numId="7" w16cid:durableId="1621374581">
    <w:abstractNumId w:val="0"/>
  </w:num>
  <w:num w:numId="8" w16cid:durableId="1394352001">
    <w:abstractNumId w:val="8"/>
  </w:num>
  <w:num w:numId="9" w16cid:durableId="366758916">
    <w:abstractNumId w:val="7"/>
  </w:num>
  <w:num w:numId="10" w16cid:durableId="10038525">
    <w:abstractNumId w:val="11"/>
  </w:num>
  <w:num w:numId="11" w16cid:durableId="726611615">
    <w:abstractNumId w:val="4"/>
  </w:num>
  <w:num w:numId="12" w16cid:durableId="830371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D3"/>
    <w:rsid w:val="000003E4"/>
    <w:rsid w:val="00006A24"/>
    <w:rsid w:val="000311D3"/>
    <w:rsid w:val="00035F81"/>
    <w:rsid w:val="00045C72"/>
    <w:rsid w:val="00053EEA"/>
    <w:rsid w:val="00080EA0"/>
    <w:rsid w:val="000940D0"/>
    <w:rsid w:val="00096E3D"/>
    <w:rsid w:val="000A4615"/>
    <w:rsid w:val="000A6723"/>
    <w:rsid w:val="000B0BD8"/>
    <w:rsid w:val="000D0609"/>
    <w:rsid w:val="00137555"/>
    <w:rsid w:val="00155485"/>
    <w:rsid w:val="00162A89"/>
    <w:rsid w:val="00186F56"/>
    <w:rsid w:val="001932C1"/>
    <w:rsid w:val="00196B2B"/>
    <w:rsid w:val="0019785B"/>
    <w:rsid w:val="001B1971"/>
    <w:rsid w:val="001B4CB4"/>
    <w:rsid w:val="001B5D7A"/>
    <w:rsid w:val="001C5807"/>
    <w:rsid w:val="001C5BDA"/>
    <w:rsid w:val="001D56C1"/>
    <w:rsid w:val="001E00FA"/>
    <w:rsid w:val="00241325"/>
    <w:rsid w:val="0024499D"/>
    <w:rsid w:val="00244ABB"/>
    <w:rsid w:val="00270525"/>
    <w:rsid w:val="0027528B"/>
    <w:rsid w:val="002806F5"/>
    <w:rsid w:val="00281789"/>
    <w:rsid w:val="0028440F"/>
    <w:rsid w:val="002B352A"/>
    <w:rsid w:val="002B5D97"/>
    <w:rsid w:val="002C7B07"/>
    <w:rsid w:val="002D3402"/>
    <w:rsid w:val="002F3F06"/>
    <w:rsid w:val="0030373D"/>
    <w:rsid w:val="00307ED5"/>
    <w:rsid w:val="00317886"/>
    <w:rsid w:val="00325A02"/>
    <w:rsid w:val="003359BE"/>
    <w:rsid w:val="0034391F"/>
    <w:rsid w:val="003554D7"/>
    <w:rsid w:val="00382BD6"/>
    <w:rsid w:val="00393B2B"/>
    <w:rsid w:val="003A4F75"/>
    <w:rsid w:val="003B0EF8"/>
    <w:rsid w:val="003B289B"/>
    <w:rsid w:val="003C311A"/>
    <w:rsid w:val="003C312A"/>
    <w:rsid w:val="003D37BA"/>
    <w:rsid w:val="003E0912"/>
    <w:rsid w:val="003E139E"/>
    <w:rsid w:val="004007B6"/>
    <w:rsid w:val="00402DCD"/>
    <w:rsid w:val="00411580"/>
    <w:rsid w:val="004259BF"/>
    <w:rsid w:val="00435B68"/>
    <w:rsid w:val="00436878"/>
    <w:rsid w:val="0044082E"/>
    <w:rsid w:val="00445D4F"/>
    <w:rsid w:val="004638EA"/>
    <w:rsid w:val="00463C13"/>
    <w:rsid w:val="004664E0"/>
    <w:rsid w:val="00476427"/>
    <w:rsid w:val="00477C06"/>
    <w:rsid w:val="004A45DA"/>
    <w:rsid w:val="004B356C"/>
    <w:rsid w:val="004B5E88"/>
    <w:rsid w:val="004E5FC4"/>
    <w:rsid w:val="005024EF"/>
    <w:rsid w:val="0051420F"/>
    <w:rsid w:val="00544496"/>
    <w:rsid w:val="00557322"/>
    <w:rsid w:val="005C330E"/>
    <w:rsid w:val="005C5E74"/>
    <w:rsid w:val="005C5FAB"/>
    <w:rsid w:val="005C6AFD"/>
    <w:rsid w:val="005D0F94"/>
    <w:rsid w:val="005D454D"/>
    <w:rsid w:val="005E3378"/>
    <w:rsid w:val="005F6D8D"/>
    <w:rsid w:val="00602ABA"/>
    <w:rsid w:val="00610DD9"/>
    <w:rsid w:val="00636E2E"/>
    <w:rsid w:val="00655526"/>
    <w:rsid w:val="006636F9"/>
    <w:rsid w:val="00667331"/>
    <w:rsid w:val="00676820"/>
    <w:rsid w:val="0069016D"/>
    <w:rsid w:val="00693922"/>
    <w:rsid w:val="006A2734"/>
    <w:rsid w:val="006B219F"/>
    <w:rsid w:val="006B2878"/>
    <w:rsid w:val="006B56F5"/>
    <w:rsid w:val="006B6239"/>
    <w:rsid w:val="006D51A4"/>
    <w:rsid w:val="006F4A1A"/>
    <w:rsid w:val="00704A18"/>
    <w:rsid w:val="00722DE0"/>
    <w:rsid w:val="00727CBE"/>
    <w:rsid w:val="00733815"/>
    <w:rsid w:val="0074435A"/>
    <w:rsid w:val="00746BAF"/>
    <w:rsid w:val="00751E5F"/>
    <w:rsid w:val="0076396D"/>
    <w:rsid w:val="00764CEF"/>
    <w:rsid w:val="00770E4E"/>
    <w:rsid w:val="007A1DDA"/>
    <w:rsid w:val="007A32CD"/>
    <w:rsid w:val="007B2D2B"/>
    <w:rsid w:val="007B36AD"/>
    <w:rsid w:val="007D160A"/>
    <w:rsid w:val="007D6C0E"/>
    <w:rsid w:val="007E5210"/>
    <w:rsid w:val="007E569A"/>
    <w:rsid w:val="00807CAA"/>
    <w:rsid w:val="00815228"/>
    <w:rsid w:val="0084121E"/>
    <w:rsid w:val="00843DF1"/>
    <w:rsid w:val="00850879"/>
    <w:rsid w:val="00852CCB"/>
    <w:rsid w:val="008A0A8C"/>
    <w:rsid w:val="008A5819"/>
    <w:rsid w:val="008A7E49"/>
    <w:rsid w:val="008B6E8D"/>
    <w:rsid w:val="008C3CE2"/>
    <w:rsid w:val="008C6199"/>
    <w:rsid w:val="008D3648"/>
    <w:rsid w:val="008D67E7"/>
    <w:rsid w:val="008E01C5"/>
    <w:rsid w:val="008E5A8A"/>
    <w:rsid w:val="008F0D8D"/>
    <w:rsid w:val="008F11DB"/>
    <w:rsid w:val="00901CA2"/>
    <w:rsid w:val="0092361F"/>
    <w:rsid w:val="0092778F"/>
    <w:rsid w:val="0094137A"/>
    <w:rsid w:val="009426E9"/>
    <w:rsid w:val="00970068"/>
    <w:rsid w:val="00970544"/>
    <w:rsid w:val="0097385C"/>
    <w:rsid w:val="00987B10"/>
    <w:rsid w:val="00996161"/>
    <w:rsid w:val="009B44D1"/>
    <w:rsid w:val="009B68C6"/>
    <w:rsid w:val="009D266E"/>
    <w:rsid w:val="009F2BE7"/>
    <w:rsid w:val="009F6296"/>
    <w:rsid w:val="00A01324"/>
    <w:rsid w:val="00A025E6"/>
    <w:rsid w:val="00A113F1"/>
    <w:rsid w:val="00A22B7A"/>
    <w:rsid w:val="00A253FB"/>
    <w:rsid w:val="00A573C3"/>
    <w:rsid w:val="00A76F77"/>
    <w:rsid w:val="00A774B1"/>
    <w:rsid w:val="00A8028A"/>
    <w:rsid w:val="00A96E2B"/>
    <w:rsid w:val="00AB0683"/>
    <w:rsid w:val="00AB3B87"/>
    <w:rsid w:val="00AB5B9C"/>
    <w:rsid w:val="00AC7441"/>
    <w:rsid w:val="00B27E82"/>
    <w:rsid w:val="00B313F7"/>
    <w:rsid w:val="00B3737A"/>
    <w:rsid w:val="00B6759A"/>
    <w:rsid w:val="00B70FB8"/>
    <w:rsid w:val="00B91E16"/>
    <w:rsid w:val="00BA03F5"/>
    <w:rsid w:val="00BA13DF"/>
    <w:rsid w:val="00BB0FB6"/>
    <w:rsid w:val="00BB63A7"/>
    <w:rsid w:val="00BC7AF1"/>
    <w:rsid w:val="00BD0C38"/>
    <w:rsid w:val="00BD2686"/>
    <w:rsid w:val="00BE16B3"/>
    <w:rsid w:val="00BF30BF"/>
    <w:rsid w:val="00BF74C3"/>
    <w:rsid w:val="00C112F7"/>
    <w:rsid w:val="00C15A24"/>
    <w:rsid w:val="00C34E2B"/>
    <w:rsid w:val="00C47C65"/>
    <w:rsid w:val="00C6179C"/>
    <w:rsid w:val="00C912FF"/>
    <w:rsid w:val="00C93D4B"/>
    <w:rsid w:val="00CA06BD"/>
    <w:rsid w:val="00CA27DF"/>
    <w:rsid w:val="00CC0069"/>
    <w:rsid w:val="00CE28B3"/>
    <w:rsid w:val="00CF34C2"/>
    <w:rsid w:val="00CF5D3E"/>
    <w:rsid w:val="00D04C36"/>
    <w:rsid w:val="00D13028"/>
    <w:rsid w:val="00D26EBA"/>
    <w:rsid w:val="00D34B03"/>
    <w:rsid w:val="00D4236B"/>
    <w:rsid w:val="00D657CD"/>
    <w:rsid w:val="00D66C16"/>
    <w:rsid w:val="00D70532"/>
    <w:rsid w:val="00D70AF4"/>
    <w:rsid w:val="00D82AA7"/>
    <w:rsid w:val="00D85497"/>
    <w:rsid w:val="00DA144C"/>
    <w:rsid w:val="00DE3503"/>
    <w:rsid w:val="00DF182C"/>
    <w:rsid w:val="00E21663"/>
    <w:rsid w:val="00E26585"/>
    <w:rsid w:val="00E42146"/>
    <w:rsid w:val="00E53068"/>
    <w:rsid w:val="00E5469D"/>
    <w:rsid w:val="00E547D7"/>
    <w:rsid w:val="00E56104"/>
    <w:rsid w:val="00E57C0B"/>
    <w:rsid w:val="00E63B92"/>
    <w:rsid w:val="00E71E7D"/>
    <w:rsid w:val="00E75F6F"/>
    <w:rsid w:val="00E826A6"/>
    <w:rsid w:val="00EA51D3"/>
    <w:rsid w:val="00EC1719"/>
    <w:rsid w:val="00EE3CB6"/>
    <w:rsid w:val="00F00F80"/>
    <w:rsid w:val="00F40FC1"/>
    <w:rsid w:val="00F5405A"/>
    <w:rsid w:val="00F70622"/>
    <w:rsid w:val="00F9623D"/>
    <w:rsid w:val="00F9761C"/>
    <w:rsid w:val="00FD4EF4"/>
    <w:rsid w:val="00FE06DD"/>
    <w:rsid w:val="00FE3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CC33C"/>
  <w15:chartTrackingRefBased/>
  <w15:docId w15:val="{6786E09C-2A8B-4BE0-90FF-ABA1CA4C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3F0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A51D3"/>
    <w:pPr>
      <w:autoSpaceDE w:val="0"/>
      <w:autoSpaceDN w:val="0"/>
      <w:adjustRightInd w:val="0"/>
      <w:spacing w:after="0" w:line="240" w:lineRule="auto"/>
    </w:pPr>
    <w:rPr>
      <w:rFonts w:ascii="Arial" w:hAnsi="Arial" w:cs="Arial"/>
      <w:color w:val="000000"/>
      <w:kern w:val="0"/>
      <w:sz w:val="24"/>
      <w:szCs w:val="24"/>
    </w:rPr>
  </w:style>
  <w:style w:type="paragraph" w:styleId="Voetnoottekst">
    <w:name w:val="footnote text"/>
    <w:basedOn w:val="Standaard"/>
    <w:link w:val="VoetnoottekstChar"/>
    <w:uiPriority w:val="99"/>
    <w:semiHidden/>
    <w:unhideWhenUsed/>
    <w:rsid w:val="002F3F06"/>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2F3F06"/>
    <w:rPr>
      <w:rFonts w:ascii="Verdana" w:eastAsia="DejaVu Sans" w:hAnsi="Verdana" w:cs="Mangal"/>
      <w:kern w:val="3"/>
      <w:sz w:val="20"/>
      <w:szCs w:val="18"/>
      <w:lang w:eastAsia="zh-CN" w:bidi="hi-IN"/>
    </w:rPr>
  </w:style>
  <w:style w:type="character" w:styleId="Voetnootmarkering">
    <w:name w:val="footnote reference"/>
    <w:basedOn w:val="Standaardalinea-lettertype"/>
    <w:uiPriority w:val="99"/>
    <w:semiHidden/>
    <w:unhideWhenUsed/>
    <w:rsid w:val="002F3F06"/>
    <w:rPr>
      <w:vertAlign w:val="superscript"/>
    </w:rPr>
  </w:style>
  <w:style w:type="paragraph" w:styleId="Lijstalinea">
    <w:name w:val="List Paragraph"/>
    <w:basedOn w:val="Standaard"/>
    <w:uiPriority w:val="34"/>
    <w:qFormat/>
    <w:rsid w:val="00722DE0"/>
    <w:pPr>
      <w:ind w:left="720"/>
      <w:contextualSpacing/>
    </w:pPr>
    <w:rPr>
      <w:rFonts w:cs="Mangal"/>
    </w:rPr>
  </w:style>
  <w:style w:type="character" w:styleId="Verwijzingopmerking">
    <w:name w:val="annotation reference"/>
    <w:basedOn w:val="Standaardalinea-lettertype"/>
    <w:uiPriority w:val="99"/>
    <w:semiHidden/>
    <w:unhideWhenUsed/>
    <w:rsid w:val="00CA06BD"/>
    <w:rPr>
      <w:sz w:val="16"/>
      <w:szCs w:val="16"/>
    </w:rPr>
  </w:style>
  <w:style w:type="paragraph" w:styleId="Tekstopmerking">
    <w:name w:val="annotation text"/>
    <w:basedOn w:val="Standaard"/>
    <w:link w:val="TekstopmerkingChar"/>
    <w:uiPriority w:val="99"/>
    <w:unhideWhenUsed/>
    <w:rsid w:val="00CA06B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A06BD"/>
    <w:rPr>
      <w:rFonts w:ascii="Verdana" w:eastAsia="DejaVu Sans" w:hAnsi="Verdana" w:cs="Mangal"/>
      <w:kern w:val="3"/>
      <w:sz w:val="20"/>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CA06BD"/>
    <w:rPr>
      <w:b/>
      <w:bCs/>
    </w:rPr>
  </w:style>
  <w:style w:type="character" w:customStyle="1" w:styleId="OnderwerpvanopmerkingChar">
    <w:name w:val="Onderwerp van opmerking Char"/>
    <w:basedOn w:val="TekstopmerkingChar"/>
    <w:link w:val="Onderwerpvanopmerking"/>
    <w:uiPriority w:val="99"/>
    <w:semiHidden/>
    <w:rsid w:val="00CA06BD"/>
    <w:rPr>
      <w:rFonts w:ascii="Verdana" w:eastAsia="DejaVu Sans" w:hAnsi="Verdana" w:cs="Mangal"/>
      <w:b/>
      <w:bCs/>
      <w:kern w:val="3"/>
      <w:sz w:val="20"/>
      <w:szCs w:val="18"/>
      <w:lang w:eastAsia="zh-CN" w:bidi="hi-IN"/>
    </w:rPr>
  </w:style>
  <w:style w:type="paragraph" w:styleId="Eindnoottekst">
    <w:name w:val="endnote text"/>
    <w:basedOn w:val="Standaard"/>
    <w:link w:val="EindnoottekstChar"/>
    <w:uiPriority w:val="99"/>
    <w:semiHidden/>
    <w:unhideWhenUsed/>
    <w:rsid w:val="006B6239"/>
    <w:pPr>
      <w:spacing w:line="240" w:lineRule="auto"/>
    </w:pPr>
    <w:rPr>
      <w:rFonts w:cs="Mangal"/>
      <w:sz w:val="20"/>
      <w:szCs w:val="18"/>
    </w:rPr>
  </w:style>
  <w:style w:type="character" w:customStyle="1" w:styleId="EindnoottekstChar">
    <w:name w:val="Eindnoottekst Char"/>
    <w:basedOn w:val="Standaardalinea-lettertype"/>
    <w:link w:val="Eindnoottekst"/>
    <w:uiPriority w:val="99"/>
    <w:semiHidden/>
    <w:rsid w:val="006B6239"/>
    <w:rPr>
      <w:rFonts w:ascii="Verdana" w:eastAsia="DejaVu Sans" w:hAnsi="Verdana" w:cs="Mangal"/>
      <w:kern w:val="3"/>
      <w:sz w:val="20"/>
      <w:szCs w:val="18"/>
      <w:lang w:eastAsia="zh-CN" w:bidi="hi-IN"/>
    </w:rPr>
  </w:style>
  <w:style w:type="character" w:styleId="Eindnootmarkering">
    <w:name w:val="endnote reference"/>
    <w:basedOn w:val="Standaardalinea-lettertype"/>
    <w:uiPriority w:val="99"/>
    <w:semiHidden/>
    <w:unhideWhenUsed/>
    <w:rsid w:val="006B6239"/>
    <w:rPr>
      <w:vertAlign w:val="superscript"/>
    </w:rPr>
  </w:style>
  <w:style w:type="paragraph" w:styleId="Normaalweb">
    <w:name w:val="Normal (Web)"/>
    <w:basedOn w:val="Standaard"/>
    <w:uiPriority w:val="99"/>
    <w:semiHidden/>
    <w:unhideWhenUsed/>
    <w:rsid w:val="001D56C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14:ligatures w14:val="none"/>
    </w:rPr>
  </w:style>
  <w:style w:type="paragraph" w:styleId="Revisie">
    <w:name w:val="Revision"/>
    <w:hidden/>
    <w:uiPriority w:val="99"/>
    <w:semiHidden/>
    <w:rsid w:val="008C6199"/>
    <w:pPr>
      <w:spacing w:after="0" w:line="240" w:lineRule="auto"/>
    </w:pPr>
    <w:rPr>
      <w:rFonts w:ascii="Verdana" w:eastAsia="DejaVu Sans" w:hAnsi="Verdana" w:cs="Mangal"/>
      <w:kern w:val="3"/>
      <w:sz w:val="18"/>
      <w:szCs w:val="24"/>
      <w:lang w:eastAsia="zh-CN" w:bidi="hi-IN"/>
    </w:rPr>
  </w:style>
  <w:style w:type="character" w:styleId="Hyperlink">
    <w:name w:val="Hyperlink"/>
    <w:basedOn w:val="Standaardalinea-lettertype"/>
    <w:uiPriority w:val="99"/>
    <w:semiHidden/>
    <w:unhideWhenUsed/>
    <w:rsid w:val="004E5FC4"/>
    <w:rPr>
      <w:color w:val="0000FF"/>
      <w:u w:val="single"/>
    </w:rPr>
  </w:style>
  <w:style w:type="paragraph" w:styleId="Koptekst">
    <w:name w:val="header"/>
    <w:basedOn w:val="Standaard"/>
    <w:link w:val="KoptekstChar"/>
    <w:uiPriority w:val="99"/>
    <w:unhideWhenUsed/>
    <w:rsid w:val="00C34E2B"/>
    <w:pPr>
      <w:tabs>
        <w:tab w:val="center" w:pos="4536"/>
        <w:tab w:val="right" w:pos="9072"/>
      </w:tabs>
      <w:spacing w:line="240" w:lineRule="auto"/>
    </w:pPr>
    <w:rPr>
      <w:rFonts w:cs="Mangal"/>
    </w:rPr>
  </w:style>
  <w:style w:type="character" w:customStyle="1" w:styleId="KoptekstChar">
    <w:name w:val="Koptekst Char"/>
    <w:basedOn w:val="Standaardalinea-lettertype"/>
    <w:link w:val="Koptekst"/>
    <w:uiPriority w:val="99"/>
    <w:rsid w:val="00C34E2B"/>
    <w:rPr>
      <w:rFonts w:ascii="Verdana" w:eastAsia="DejaVu Sans" w:hAnsi="Verdana" w:cs="Mangal"/>
      <w:kern w:val="3"/>
      <w:sz w:val="18"/>
      <w:szCs w:val="24"/>
      <w:lang w:eastAsia="zh-CN" w:bidi="hi-IN"/>
    </w:rPr>
  </w:style>
  <w:style w:type="paragraph" w:styleId="Voettekst">
    <w:name w:val="footer"/>
    <w:basedOn w:val="Standaard"/>
    <w:link w:val="VoettekstChar"/>
    <w:uiPriority w:val="99"/>
    <w:unhideWhenUsed/>
    <w:rsid w:val="00C34E2B"/>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rsid w:val="00C34E2B"/>
    <w:rPr>
      <w:rFonts w:ascii="Verdana" w:eastAsia="DejaVu Sans" w:hAnsi="Verdana" w:cs="Mangal"/>
      <w:kern w:val="3"/>
      <w:sz w:val="18"/>
      <w:szCs w:val="24"/>
      <w:lang w:eastAsia="zh-CN" w:bidi="hi-IN"/>
    </w:rPr>
  </w:style>
  <w:style w:type="paragraph" w:customStyle="1" w:styleId="pf0">
    <w:name w:val="pf0"/>
    <w:basedOn w:val="Standaard"/>
    <w:rsid w:val="00D04C3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14:ligatures w14:val="none"/>
    </w:rPr>
  </w:style>
  <w:style w:type="character" w:customStyle="1" w:styleId="cf01">
    <w:name w:val="cf01"/>
    <w:basedOn w:val="Standaardalinea-lettertype"/>
    <w:rsid w:val="00D04C36"/>
    <w:rPr>
      <w:rFonts w:ascii="Segoe UI" w:hAnsi="Segoe UI" w:cs="Segoe UI" w:hint="default"/>
      <w:sz w:val="18"/>
      <w:szCs w:val="18"/>
    </w:rPr>
  </w:style>
  <w:style w:type="paragraph" w:customStyle="1" w:styleId="pf1">
    <w:name w:val="pf1"/>
    <w:basedOn w:val="Standaard"/>
    <w:rsid w:val="003C312A"/>
    <w:pPr>
      <w:widowControl/>
      <w:suppressAutoHyphens w:val="0"/>
      <w:autoSpaceDN/>
      <w:spacing w:before="100" w:beforeAutospacing="1" w:after="100" w:afterAutospacing="1" w:line="240" w:lineRule="auto"/>
      <w:ind w:left="700"/>
      <w:textAlignment w:val="auto"/>
    </w:pPr>
    <w:rPr>
      <w:rFonts w:ascii="Times New Roman" w:eastAsia="Times New Roman" w:hAnsi="Times New Roman" w:cs="Times New Roman"/>
      <w:kern w:val="0"/>
      <w:sz w:val="24"/>
      <w:lang w:eastAsia="nl-NL" w:bidi="ar-SA"/>
      <w14:ligatures w14:val="none"/>
    </w:rPr>
  </w:style>
  <w:style w:type="paragraph" w:customStyle="1" w:styleId="pf2">
    <w:name w:val="pf2"/>
    <w:basedOn w:val="Standaard"/>
    <w:rsid w:val="003C312A"/>
    <w:pPr>
      <w:widowControl/>
      <w:suppressAutoHyphens w:val="0"/>
      <w:autoSpaceDN/>
      <w:spacing w:before="100" w:beforeAutospacing="1" w:after="100" w:afterAutospacing="1" w:line="240" w:lineRule="auto"/>
      <w:ind w:left="1080"/>
      <w:textAlignment w:val="auto"/>
    </w:pPr>
    <w:rPr>
      <w:rFonts w:ascii="Times New Roman" w:eastAsia="Times New Roman" w:hAnsi="Times New Roman" w:cs="Times New Roman"/>
      <w:kern w:val="0"/>
      <w:sz w:val="24"/>
      <w:lang w:eastAsia="nl-NL" w:bidi="ar-SA"/>
      <w14:ligatures w14:val="none"/>
    </w:rPr>
  </w:style>
  <w:style w:type="paragraph" w:customStyle="1" w:styleId="pf3">
    <w:name w:val="pf3"/>
    <w:basedOn w:val="Standaard"/>
    <w:rsid w:val="003C312A"/>
    <w:pPr>
      <w:widowControl/>
      <w:suppressAutoHyphens w:val="0"/>
      <w:autoSpaceDN/>
      <w:spacing w:before="100" w:beforeAutospacing="1" w:after="100" w:afterAutospacing="1" w:line="240" w:lineRule="auto"/>
      <w:ind w:left="720"/>
      <w:textAlignment w:val="auto"/>
    </w:pPr>
    <w:rPr>
      <w:rFonts w:ascii="Times New Roman" w:eastAsia="Times New Roman" w:hAnsi="Times New Roman" w:cs="Times New Roman"/>
      <w:kern w:val="0"/>
      <w:sz w:val="24"/>
      <w:lang w:eastAsia="nl-NL"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70247">
      <w:bodyDiv w:val="1"/>
      <w:marLeft w:val="0"/>
      <w:marRight w:val="0"/>
      <w:marTop w:val="0"/>
      <w:marBottom w:val="0"/>
      <w:divBdr>
        <w:top w:val="none" w:sz="0" w:space="0" w:color="auto"/>
        <w:left w:val="none" w:sz="0" w:space="0" w:color="auto"/>
        <w:bottom w:val="none" w:sz="0" w:space="0" w:color="auto"/>
        <w:right w:val="none" w:sz="0" w:space="0" w:color="auto"/>
      </w:divBdr>
    </w:div>
    <w:div w:id="1892812306">
      <w:bodyDiv w:val="1"/>
      <w:marLeft w:val="0"/>
      <w:marRight w:val="0"/>
      <w:marTop w:val="0"/>
      <w:marBottom w:val="0"/>
      <w:divBdr>
        <w:top w:val="none" w:sz="0" w:space="0" w:color="auto"/>
        <w:left w:val="none" w:sz="0" w:space="0" w:color="auto"/>
        <w:bottom w:val="none" w:sz="0" w:space="0" w:color="auto"/>
        <w:right w:val="none" w:sz="0" w:space="0" w:color="auto"/>
      </w:divBdr>
    </w:div>
    <w:div w:id="20904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2/20/monitor-verbeterpotentieel-medisch-specialistische-bedrijven" TargetMode="External"/><Relationship Id="rId1" Type="http://schemas.openxmlformats.org/officeDocument/2006/relationships/hyperlink" Target="https://www.rijksoverheid.nl/documenten/rapporten/2024/02/20/monitor-verbeterpotentieel-medisch-specialistische-bedrijv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2409</ap:Words>
  <ap:Characters>13254</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2024-11-25T09:11:00.0000000Z</dcterms:created>
  <dcterms:modified xsi:type="dcterms:W3CDTF">2025-03-19T09:05:00.0000000Z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2024-08-27T09:27:44Z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a9ec6fcd-defb-44f6-bd11-93d0991d3e4e</vt:lpwstr>
  </property>
  <property fmtid="{D5CDD505-2E9C-101B-9397-08002B2CF9AE}" pid="8" name="MSIP_Label_e00462cb-1b47-485e-830d-87ca0cc9766d_ContentBits">
    <vt:lpwstr>0</vt:lpwstr>
  </property>
</Properties>
</file>