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4A40" w:rsidR="00A411C8" w:rsidP="00654A40" w:rsidRDefault="00691839" w14:paraId="0B0885CF" w14:textId="4ADF90F6">
      <w:pPr>
        <w:spacing w:after="0" w:line="276" w:lineRule="auto"/>
        <w:rPr>
          <w:rFonts w:ascii="Verdana" w:hAnsi="Verdana"/>
          <w:sz w:val="18"/>
          <w:szCs w:val="18"/>
        </w:rPr>
      </w:pPr>
      <w:r w:rsidRPr="0032749A">
        <w:rPr>
          <w:rFonts w:ascii="Verdana" w:hAnsi="Verdana"/>
          <w:b/>
          <w:bCs/>
          <w:sz w:val="18"/>
          <w:szCs w:val="18"/>
        </w:rPr>
        <w:t xml:space="preserve">Bijlage: Onderbouwing en </w:t>
      </w:r>
      <w:r>
        <w:rPr>
          <w:rFonts w:ascii="Verdana" w:hAnsi="Verdana"/>
          <w:b/>
          <w:bCs/>
          <w:sz w:val="18"/>
          <w:szCs w:val="18"/>
        </w:rPr>
        <w:t>e</w:t>
      </w:r>
      <w:r w:rsidRPr="0032749A">
        <w:rPr>
          <w:rFonts w:ascii="Verdana" w:hAnsi="Verdana"/>
          <w:b/>
          <w:bCs/>
          <w:sz w:val="18"/>
          <w:szCs w:val="18"/>
        </w:rPr>
        <w:t xml:space="preserve">valuatie van het voorstel </w:t>
      </w:r>
      <w:r>
        <w:rPr>
          <w:rFonts w:ascii="Verdana" w:hAnsi="Verdana"/>
          <w:b/>
          <w:bCs/>
          <w:sz w:val="18"/>
          <w:szCs w:val="18"/>
        </w:rPr>
        <w:t xml:space="preserve">voor </w:t>
      </w:r>
      <w:r w:rsidR="00C00D92">
        <w:rPr>
          <w:rFonts w:ascii="Verdana" w:hAnsi="Verdana"/>
          <w:b/>
          <w:bCs/>
          <w:sz w:val="18"/>
          <w:szCs w:val="18"/>
        </w:rPr>
        <w:t xml:space="preserve">aanvullende </w:t>
      </w:r>
      <w:r>
        <w:rPr>
          <w:rFonts w:ascii="Verdana" w:hAnsi="Verdana"/>
          <w:b/>
          <w:bCs/>
          <w:sz w:val="18"/>
          <w:szCs w:val="18"/>
        </w:rPr>
        <w:t xml:space="preserve">kapitaalstorting in 2026 aan Invest International </w:t>
      </w:r>
      <w:r w:rsidRPr="0032749A">
        <w:rPr>
          <w:rFonts w:ascii="Verdana" w:hAnsi="Verdana"/>
          <w:b/>
          <w:bCs/>
          <w:sz w:val="18"/>
          <w:szCs w:val="18"/>
        </w:rPr>
        <w:t>(CW3.1)</w:t>
      </w:r>
      <w:r w:rsidRPr="00654A40" w:rsidR="00A411C8">
        <w:rPr>
          <w:rFonts w:ascii="Verdana" w:hAnsi="Verdana"/>
          <w:sz w:val="18"/>
          <w:szCs w:val="18"/>
        </w:rPr>
        <w:t xml:space="preserve"> </w:t>
      </w:r>
    </w:p>
    <w:p w:rsidRPr="0032749A" w:rsidR="002A5139" w:rsidP="00BF15C0" w:rsidRDefault="002A5139" w14:paraId="19355422" w14:textId="77777777">
      <w:pPr>
        <w:rPr>
          <w:rFonts w:ascii="Verdana" w:hAnsi="Verdana"/>
          <w:sz w:val="18"/>
          <w:szCs w:val="18"/>
        </w:rPr>
      </w:pPr>
      <w:r w:rsidRPr="0032749A">
        <w:rPr>
          <w:rFonts w:ascii="Verdana" w:hAnsi="Verdana"/>
          <w:sz w:val="18"/>
          <w:szCs w:val="18"/>
        </w:rPr>
        <w:t xml:space="preserve">Op basis van Artikel 3.1 in de Comptabiliteitswet wordt bij voorstellen een toelichting verwacht op nagestreefde doelstellingen, doeltreffendheid, doelmatigheid, ingezette beleidsinstrumenten en financiële gevolgen voor het Rijk en, waar mogelijk, maatschappelijke sectoren. </w:t>
      </w:r>
    </w:p>
    <w:p w:rsidRPr="0032749A" w:rsidR="002A5139" w:rsidP="002A5139" w:rsidRDefault="002A5139" w14:paraId="2DE96329" w14:textId="77437D0D">
      <w:pPr>
        <w:rPr>
          <w:rFonts w:ascii="Verdana" w:hAnsi="Verdana"/>
          <w:sz w:val="18"/>
          <w:szCs w:val="18"/>
        </w:rPr>
      </w:pPr>
      <w:r w:rsidRPr="0032749A">
        <w:rPr>
          <w:rFonts w:ascii="Verdana" w:hAnsi="Verdana"/>
          <w:sz w:val="18"/>
          <w:szCs w:val="18"/>
        </w:rPr>
        <w:t xml:space="preserve">In onderstaand overzicht is de toelichting opgenomen met betrekking tot de kapitaalstorting van </w:t>
      </w:r>
      <w:r w:rsidR="00691839">
        <w:rPr>
          <w:rFonts w:ascii="Verdana" w:hAnsi="Verdana"/>
          <w:sz w:val="18"/>
          <w:szCs w:val="18"/>
        </w:rPr>
        <w:br/>
      </w:r>
      <w:r w:rsidRPr="0032749A">
        <w:rPr>
          <w:rFonts w:ascii="Verdana" w:hAnsi="Verdana"/>
          <w:sz w:val="18"/>
          <w:szCs w:val="18"/>
        </w:rPr>
        <w:t>€ 100 mln. aan Invest International in 2026.</w:t>
      </w:r>
    </w:p>
    <w:tbl>
      <w:tblPr>
        <w:tblStyle w:val="Tabelraster"/>
        <w:tblpPr w:leftFromText="141" w:rightFromText="141" w:horzAnchor="margin" w:tblpY="2062"/>
        <w:tblW w:w="0" w:type="auto"/>
        <w:tblLook w:val="04A0" w:firstRow="1" w:lastRow="0" w:firstColumn="1" w:lastColumn="0" w:noHBand="0" w:noVBand="1"/>
      </w:tblPr>
      <w:tblGrid>
        <w:gridCol w:w="2497"/>
        <w:gridCol w:w="6520"/>
      </w:tblGrid>
      <w:tr w:rsidRPr="00654A40" w:rsidR="00A411C8" w:rsidTr="00691839" w14:paraId="0C85BE67" w14:textId="77777777">
        <w:trPr>
          <w:tblHeader/>
        </w:trPr>
        <w:tc>
          <w:tcPr>
            <w:tcW w:w="1271" w:type="dxa"/>
            <w:shd w:val="clear" w:color="auto" w:fill="262626" w:themeFill="text1" w:themeFillTint="D9"/>
          </w:tcPr>
          <w:p w:rsidRPr="00654A40" w:rsidR="00A411C8" w:rsidP="00654A40" w:rsidRDefault="00A411C8" w14:paraId="715E70AB" w14:textId="77777777">
            <w:pPr>
              <w:pStyle w:val="Geenafstand"/>
              <w:spacing w:line="276" w:lineRule="auto"/>
              <w:rPr>
                <w:rFonts w:ascii="Verdana" w:hAnsi="Verdana"/>
                <w:b/>
                <w:bCs/>
                <w:sz w:val="18"/>
                <w:szCs w:val="18"/>
              </w:rPr>
            </w:pPr>
            <w:bookmarkStart w:name="_Hlk173939277" w:id="0"/>
            <w:r w:rsidRPr="00654A40">
              <w:rPr>
                <w:rFonts w:ascii="Verdana" w:hAnsi="Verdana"/>
                <w:b/>
                <w:bCs/>
                <w:sz w:val="18"/>
                <w:szCs w:val="18"/>
              </w:rPr>
              <w:t>Onderdeel</w:t>
            </w:r>
          </w:p>
        </w:tc>
        <w:tc>
          <w:tcPr>
            <w:tcW w:w="7746" w:type="dxa"/>
            <w:shd w:val="clear" w:color="auto" w:fill="262626" w:themeFill="text1" w:themeFillTint="D9"/>
          </w:tcPr>
          <w:p w:rsidRPr="00654A40" w:rsidR="00A411C8" w:rsidP="00654A40" w:rsidRDefault="00A411C8" w14:paraId="1CA54CF3" w14:textId="6C5E80D5">
            <w:pPr>
              <w:pStyle w:val="Geenafstand"/>
              <w:spacing w:line="276" w:lineRule="auto"/>
              <w:rPr>
                <w:rFonts w:ascii="Verdana" w:hAnsi="Verdana"/>
                <w:b/>
                <w:bCs/>
                <w:sz w:val="18"/>
                <w:szCs w:val="18"/>
              </w:rPr>
            </w:pPr>
            <w:r w:rsidRPr="00654A40">
              <w:rPr>
                <w:rFonts w:ascii="Verdana" w:hAnsi="Verdana"/>
                <w:b/>
                <w:bCs/>
                <w:sz w:val="18"/>
                <w:szCs w:val="18"/>
              </w:rPr>
              <w:t>Toelichting</w:t>
            </w:r>
          </w:p>
        </w:tc>
      </w:tr>
      <w:tr w:rsidRPr="00654A40" w:rsidR="00A411C8" w:rsidTr="002A5139" w14:paraId="10A5AB0A" w14:textId="77777777">
        <w:tc>
          <w:tcPr>
            <w:tcW w:w="1271" w:type="dxa"/>
            <w:shd w:val="clear" w:color="auto" w:fill="767171" w:themeFill="background2" w:themeFillShade="80"/>
          </w:tcPr>
          <w:p w:rsidR="002A5139" w:rsidP="00654A40" w:rsidRDefault="00A411C8" w14:paraId="67CF6443" w14:textId="77777777">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 xml:space="preserve">Nagestreefde </w:t>
            </w:r>
          </w:p>
          <w:p w:rsidRPr="00654A40" w:rsidR="00A411C8" w:rsidP="00654A40" w:rsidRDefault="00A411C8" w14:paraId="01E62AC5" w14:textId="51E20B11">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doelen</w:t>
            </w:r>
          </w:p>
        </w:tc>
        <w:tc>
          <w:tcPr>
            <w:tcW w:w="7746" w:type="dxa"/>
            <w:shd w:val="clear" w:color="auto" w:fill="D0CECE" w:themeFill="background2" w:themeFillShade="E6"/>
          </w:tcPr>
          <w:p w:rsidRPr="00654A40" w:rsidR="00A411C8" w:rsidP="002A5139" w:rsidRDefault="002A5139" w14:paraId="3C0E6E2E" w14:textId="1C2518B2">
            <w:pPr>
              <w:rPr>
                <w:rFonts w:ascii="Verdana" w:hAnsi="Verdana"/>
                <w:sz w:val="18"/>
                <w:szCs w:val="18"/>
              </w:rPr>
            </w:pPr>
            <w:r w:rsidRPr="0032749A">
              <w:rPr>
                <w:rFonts w:ascii="Verdana" w:hAnsi="Verdana"/>
                <w:sz w:val="18"/>
                <w:szCs w:val="18"/>
              </w:rPr>
              <w:t xml:space="preserve">In 2021 is Staatsdeelneming Invest International opgericht om een bijdrage te leveren aan de Nederlandse economie en om te voorzien in oplossingen voor wereldwijde vraagstukken. Invest International doet dat door financiering en ondersteuning te bieden aan op het buitenland gerichte activiteiten van Nederlandse ondernemingen en internationale projecten. Invest International ontplooit haar activiteiten additioneel aan de markt, door middel van financiering en projectontwikkeling, waarin de markt niet voorziet. </w:t>
            </w:r>
          </w:p>
        </w:tc>
      </w:tr>
      <w:tr w:rsidRPr="00654A40" w:rsidR="00A411C8" w:rsidTr="002A5139" w14:paraId="76F05049" w14:textId="77777777">
        <w:tc>
          <w:tcPr>
            <w:tcW w:w="1271" w:type="dxa"/>
            <w:shd w:val="clear" w:color="auto" w:fill="767171" w:themeFill="background2" w:themeFillShade="80"/>
          </w:tcPr>
          <w:p w:rsidRPr="00654A40" w:rsidR="00A411C8" w:rsidP="00654A40" w:rsidRDefault="00A411C8" w14:paraId="3E9F4752" w14:textId="3BE1AB92">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Ingezette beleidsinstrument(en)</w:t>
            </w:r>
          </w:p>
        </w:tc>
        <w:tc>
          <w:tcPr>
            <w:tcW w:w="7746" w:type="dxa"/>
            <w:shd w:val="clear" w:color="auto" w:fill="D0CECE" w:themeFill="background2" w:themeFillShade="E6"/>
          </w:tcPr>
          <w:p w:rsidRPr="0032749A" w:rsidR="002A5139" w:rsidP="002A5139" w:rsidRDefault="002A5139" w14:paraId="08677D58" w14:textId="77777777">
            <w:pPr>
              <w:rPr>
                <w:rFonts w:ascii="Verdana" w:hAnsi="Verdana"/>
                <w:sz w:val="18"/>
                <w:szCs w:val="18"/>
              </w:rPr>
            </w:pPr>
            <w:r w:rsidRPr="0032749A">
              <w:rPr>
                <w:rFonts w:ascii="Verdana" w:hAnsi="Verdana"/>
                <w:sz w:val="18"/>
                <w:szCs w:val="18"/>
              </w:rPr>
              <w:t xml:space="preserve">De Machtigingswet oprichting </w:t>
            </w:r>
            <w:proofErr w:type="spellStart"/>
            <w:r w:rsidRPr="0032749A">
              <w:rPr>
                <w:rFonts w:ascii="Verdana" w:hAnsi="Verdana"/>
                <w:sz w:val="18"/>
                <w:szCs w:val="18"/>
              </w:rPr>
              <w:t>Invest</w:t>
            </w:r>
            <w:proofErr w:type="spellEnd"/>
            <w:r w:rsidRPr="0032749A">
              <w:rPr>
                <w:rFonts w:ascii="Verdana" w:hAnsi="Verdana"/>
                <w:sz w:val="18"/>
                <w:szCs w:val="18"/>
              </w:rPr>
              <w:t xml:space="preserve"> International (“</w:t>
            </w:r>
            <w:proofErr w:type="spellStart"/>
            <w:r w:rsidRPr="0032749A">
              <w:rPr>
                <w:rFonts w:ascii="Verdana" w:hAnsi="Verdana"/>
                <w:sz w:val="18"/>
                <w:szCs w:val="18"/>
              </w:rPr>
              <w:t>Machtingingswet</w:t>
            </w:r>
            <w:proofErr w:type="spellEnd"/>
            <w:r w:rsidRPr="0032749A">
              <w:rPr>
                <w:rFonts w:ascii="Verdana" w:hAnsi="Verdana"/>
                <w:sz w:val="18"/>
                <w:szCs w:val="18"/>
              </w:rPr>
              <w:t>”) beschrijft de volgende taken van Invest International:</w:t>
            </w:r>
          </w:p>
          <w:p w:rsidRPr="0032749A" w:rsidR="002A5139" w:rsidP="002A5139" w:rsidRDefault="002A5139" w14:paraId="05405D88" w14:textId="77777777">
            <w:pPr>
              <w:pStyle w:val="Normaalweb"/>
              <w:numPr>
                <w:ilvl w:val="0"/>
                <w:numId w:val="6"/>
              </w:numPr>
              <w:rPr>
                <w:rFonts w:ascii="Verdana" w:hAnsi="Verdana"/>
                <w:sz w:val="18"/>
                <w:szCs w:val="18"/>
              </w:rPr>
            </w:pPr>
            <w:r w:rsidRPr="0032749A">
              <w:rPr>
                <w:rFonts w:ascii="Verdana" w:hAnsi="Verdana"/>
                <w:sz w:val="18"/>
                <w:szCs w:val="18"/>
                <w:u w:val="single"/>
              </w:rPr>
              <w:t>Een investeringstaak</w:t>
            </w:r>
            <w:r w:rsidRPr="0032749A">
              <w:rPr>
                <w:rFonts w:ascii="Verdana" w:hAnsi="Verdana"/>
                <w:sz w:val="18"/>
                <w:szCs w:val="18"/>
              </w:rPr>
              <w:t xml:space="preserve">: Het voor eigen rekening en risico direct of indirect financieren van internationale projecten, internationale activiteiten van Nederlandse bedrijven, en buitenlandse overheden. </w:t>
            </w:r>
          </w:p>
          <w:p w:rsidRPr="0032749A" w:rsidR="002A5139" w:rsidP="002A5139" w:rsidRDefault="002A5139" w14:paraId="1150E59A" w14:textId="77777777">
            <w:pPr>
              <w:pStyle w:val="Normaalweb"/>
              <w:numPr>
                <w:ilvl w:val="0"/>
                <w:numId w:val="6"/>
              </w:numPr>
              <w:rPr>
                <w:rFonts w:ascii="Verdana" w:hAnsi="Verdana"/>
                <w:sz w:val="18"/>
                <w:szCs w:val="18"/>
              </w:rPr>
            </w:pPr>
            <w:r w:rsidRPr="0032749A">
              <w:rPr>
                <w:rFonts w:ascii="Verdana" w:hAnsi="Verdana"/>
                <w:sz w:val="18"/>
                <w:szCs w:val="18"/>
                <w:u w:val="single"/>
              </w:rPr>
              <w:t>Een ontwikkeltaak</w:t>
            </w:r>
            <w:r w:rsidRPr="0032749A">
              <w:rPr>
                <w:rFonts w:ascii="Verdana" w:hAnsi="Verdana"/>
                <w:sz w:val="18"/>
                <w:szCs w:val="18"/>
              </w:rPr>
              <w:t>: Het direct of indirect ondersteunen van businessplannen gericht op activiteiten in het buitenland en het ontwikkelen van nieuwe business- en financieringsconcepten gericht op activiteiten in het buitenland.</w:t>
            </w:r>
          </w:p>
          <w:p w:rsidRPr="0032749A" w:rsidR="002A5139" w:rsidP="002A5139" w:rsidRDefault="002A5139" w14:paraId="67850B73" w14:textId="77777777">
            <w:pPr>
              <w:pStyle w:val="Normaalweb"/>
              <w:numPr>
                <w:ilvl w:val="0"/>
                <w:numId w:val="6"/>
              </w:numPr>
              <w:rPr>
                <w:rFonts w:ascii="Verdana" w:hAnsi="Verdana"/>
                <w:sz w:val="18"/>
                <w:szCs w:val="18"/>
              </w:rPr>
            </w:pPr>
            <w:r w:rsidRPr="0032749A">
              <w:rPr>
                <w:rFonts w:ascii="Verdana" w:hAnsi="Verdana"/>
                <w:sz w:val="18"/>
                <w:szCs w:val="18"/>
                <w:u w:val="single"/>
              </w:rPr>
              <w:t>Een regelingentaa</w:t>
            </w:r>
            <w:r w:rsidRPr="0032749A">
              <w:rPr>
                <w:rFonts w:ascii="Verdana" w:hAnsi="Verdana"/>
                <w:sz w:val="18"/>
                <w:szCs w:val="18"/>
              </w:rPr>
              <w:t xml:space="preserve">k: Het verstrekken van subsidies voor de financiering van internationale projecten, internationale activiteiten van Nederlandse bedrijven, en buitenlandse overheden. Invest International doet dit door middel van een door de Minister van Buitenlandse Handel en Ontwikkelingshulp verstrekt mandaat. </w:t>
            </w:r>
          </w:p>
          <w:p w:rsidRPr="00654A40" w:rsidR="002A69EE" w:rsidP="002A5139" w:rsidRDefault="002A5139" w14:paraId="1179564C" w14:textId="11645A42">
            <w:pPr>
              <w:pStyle w:val="Normaalweb"/>
              <w:rPr>
                <w:rFonts w:ascii="Verdana" w:hAnsi="Verdana"/>
                <w:sz w:val="18"/>
                <w:szCs w:val="18"/>
              </w:rPr>
            </w:pPr>
            <w:r w:rsidRPr="0032749A">
              <w:rPr>
                <w:rFonts w:ascii="Verdana" w:hAnsi="Verdana"/>
                <w:sz w:val="18"/>
                <w:szCs w:val="18"/>
              </w:rPr>
              <w:t xml:space="preserve">De kapitaalinjectie stelt Invest International in staat om direct voor eigen rekening (vanuit het “kernkapitaal”) meer ondernemingen te financieren, zoals beschreven in de investeringstaak.  </w:t>
            </w:r>
          </w:p>
        </w:tc>
      </w:tr>
      <w:tr w:rsidRPr="00654A40" w:rsidR="00A411C8" w:rsidTr="00393149" w14:paraId="1767772D" w14:textId="77777777">
        <w:trPr>
          <w:trHeight w:val="117"/>
        </w:trPr>
        <w:tc>
          <w:tcPr>
            <w:tcW w:w="1271" w:type="dxa"/>
            <w:shd w:val="clear" w:color="auto" w:fill="767171" w:themeFill="background2" w:themeFillShade="80"/>
          </w:tcPr>
          <w:p w:rsidRPr="00654A40" w:rsidR="00A411C8" w:rsidP="00393149" w:rsidRDefault="00A411C8" w14:paraId="7C4506F0" w14:textId="22662AD8">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Financiële gevolgen voor het Rijk</w:t>
            </w:r>
          </w:p>
        </w:tc>
        <w:tc>
          <w:tcPr>
            <w:tcW w:w="7746" w:type="dxa"/>
            <w:shd w:val="clear" w:color="auto" w:fill="D0CECE" w:themeFill="background2" w:themeFillShade="E6"/>
          </w:tcPr>
          <w:p w:rsidRPr="0030703F" w:rsidR="0030703F" w:rsidP="0030703F" w:rsidRDefault="002A5139" w14:paraId="029CFD0E" w14:textId="15029FB9">
            <w:pPr>
              <w:numPr>
                <w:ilvl w:val="0"/>
                <w:numId w:val="9"/>
              </w:numPr>
              <w:rPr>
                <w:rFonts w:ascii="Verdana" w:hAnsi="Verdana"/>
                <w:sz w:val="18"/>
                <w:szCs w:val="18"/>
              </w:rPr>
            </w:pPr>
            <w:r w:rsidRPr="0032749A">
              <w:rPr>
                <w:rFonts w:ascii="Verdana" w:hAnsi="Verdana"/>
                <w:sz w:val="18"/>
                <w:szCs w:val="18"/>
              </w:rPr>
              <w:t>De staat doet in 202</w:t>
            </w:r>
            <w:r>
              <w:rPr>
                <w:rFonts w:ascii="Verdana" w:hAnsi="Verdana"/>
                <w:sz w:val="18"/>
                <w:szCs w:val="18"/>
              </w:rPr>
              <w:t>6</w:t>
            </w:r>
            <w:r w:rsidRPr="0032749A">
              <w:rPr>
                <w:rFonts w:ascii="Verdana" w:hAnsi="Verdana"/>
                <w:sz w:val="18"/>
                <w:szCs w:val="18"/>
              </w:rPr>
              <w:t xml:space="preserve"> een incidentele kapitaalstorting van </w:t>
            </w:r>
            <w:r w:rsidRPr="0032749A">
              <w:rPr>
                <w:rFonts w:ascii="Verdana" w:hAnsi="Verdana" w:cs="Times New Roman"/>
                <w:sz w:val="18"/>
                <w:szCs w:val="18"/>
              </w:rPr>
              <w:t>€</w:t>
            </w:r>
            <w:r w:rsidRPr="0032749A">
              <w:rPr>
                <w:rFonts w:ascii="Verdana" w:hAnsi="Verdana"/>
                <w:sz w:val="18"/>
                <w:szCs w:val="18"/>
              </w:rPr>
              <w:t xml:space="preserve"> 100. mln. in Invest International. Deze storting is naar verwachting niet EMU-saldorelevant en niet kaderrelevant. </w:t>
            </w:r>
            <w:r w:rsidRPr="0030703F" w:rsidR="0030703F">
              <w:rPr>
                <w:rFonts w:ascii="Verdana" w:hAnsi="Verdana"/>
                <w:sz w:val="18"/>
                <w:szCs w:val="18"/>
              </w:rPr>
              <w:t xml:space="preserve">Doordat </w:t>
            </w:r>
            <w:proofErr w:type="spellStart"/>
            <w:r w:rsidRPr="0030703F" w:rsidR="0030703F">
              <w:rPr>
                <w:rFonts w:ascii="Verdana" w:hAnsi="Verdana"/>
                <w:sz w:val="18"/>
                <w:szCs w:val="18"/>
              </w:rPr>
              <w:t>Invest</w:t>
            </w:r>
            <w:proofErr w:type="spellEnd"/>
            <w:r w:rsidR="0030703F">
              <w:rPr>
                <w:rFonts w:ascii="Verdana" w:hAnsi="Verdana"/>
                <w:sz w:val="18"/>
                <w:szCs w:val="18"/>
              </w:rPr>
              <w:t xml:space="preserve"> International</w:t>
            </w:r>
            <w:r w:rsidRPr="0030703F" w:rsidR="0030703F">
              <w:rPr>
                <w:rFonts w:ascii="Verdana" w:hAnsi="Verdana"/>
                <w:sz w:val="18"/>
                <w:szCs w:val="18"/>
              </w:rPr>
              <w:t xml:space="preserve"> sector overheid is, zorgen de kapitaalstortingen niet direct tot een toename van de EMU-schuld. Het effect op de EMU-schuld zal uiteindelijk afhangen van het ritme waarin de middelen door </w:t>
            </w:r>
            <w:proofErr w:type="spellStart"/>
            <w:r w:rsidRPr="0030703F" w:rsidR="0030703F">
              <w:rPr>
                <w:rFonts w:ascii="Verdana" w:hAnsi="Verdana"/>
                <w:sz w:val="18"/>
                <w:szCs w:val="18"/>
              </w:rPr>
              <w:t>Invest</w:t>
            </w:r>
            <w:proofErr w:type="spellEnd"/>
            <w:r w:rsidR="0030703F">
              <w:rPr>
                <w:rFonts w:ascii="Verdana" w:hAnsi="Verdana"/>
                <w:sz w:val="18"/>
                <w:szCs w:val="18"/>
              </w:rPr>
              <w:t xml:space="preserve"> International</w:t>
            </w:r>
            <w:r w:rsidRPr="0030703F" w:rsidR="0030703F">
              <w:rPr>
                <w:rFonts w:ascii="Verdana" w:hAnsi="Verdana"/>
                <w:sz w:val="18"/>
                <w:szCs w:val="18"/>
              </w:rPr>
              <w:t xml:space="preserve"> worden uitgeven en de behaalde bedrijfsresultaten.</w:t>
            </w:r>
          </w:p>
          <w:p w:rsidRPr="002A5139" w:rsidR="00A411C8" w:rsidP="002A5139" w:rsidRDefault="00A411C8" w14:paraId="5AA8C3AC" w14:textId="5BA4BF27">
            <w:pPr>
              <w:rPr>
                <w:rFonts w:ascii="Verdana" w:hAnsi="Verdana"/>
                <w:sz w:val="18"/>
                <w:szCs w:val="18"/>
              </w:rPr>
            </w:pPr>
          </w:p>
        </w:tc>
      </w:tr>
      <w:tr w:rsidRPr="00654A40" w:rsidR="00A411C8" w:rsidTr="002A5139" w14:paraId="3522EF3F" w14:textId="77777777">
        <w:tc>
          <w:tcPr>
            <w:tcW w:w="1271" w:type="dxa"/>
            <w:shd w:val="clear" w:color="auto" w:fill="767171" w:themeFill="background2" w:themeFillShade="80"/>
          </w:tcPr>
          <w:p w:rsidRPr="00654A40" w:rsidR="00A411C8" w:rsidP="00654A40" w:rsidRDefault="00A411C8" w14:paraId="7753BD14" w14:textId="19D3F299">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Financiële gevolgen</w:t>
            </w:r>
            <w:r w:rsidRPr="00654A40" w:rsidR="00FD3842">
              <w:rPr>
                <w:rFonts w:ascii="Verdana" w:hAnsi="Verdana"/>
                <w:b/>
                <w:bCs/>
                <w:color w:val="FFFFFF" w:themeColor="background1"/>
                <w:sz w:val="18"/>
                <w:szCs w:val="18"/>
              </w:rPr>
              <w:t xml:space="preserve"> </w:t>
            </w:r>
            <w:r w:rsidRPr="00654A40">
              <w:rPr>
                <w:rFonts w:ascii="Verdana" w:hAnsi="Verdana"/>
                <w:b/>
                <w:bCs/>
                <w:color w:val="FFFFFF" w:themeColor="background1"/>
                <w:sz w:val="18"/>
                <w:szCs w:val="18"/>
              </w:rPr>
              <w:t>voor maatschappelijke sectoren – als van toepassing</w:t>
            </w:r>
          </w:p>
        </w:tc>
        <w:tc>
          <w:tcPr>
            <w:tcW w:w="7746" w:type="dxa"/>
            <w:shd w:val="clear" w:color="auto" w:fill="D0CECE" w:themeFill="background2" w:themeFillShade="E6"/>
          </w:tcPr>
          <w:p w:rsidRPr="0032749A" w:rsidR="002A5139" w:rsidP="002A5139" w:rsidRDefault="002A5139" w14:paraId="7AD7E46D" w14:textId="77777777">
            <w:pPr>
              <w:pStyle w:val="Normaalweb"/>
              <w:rPr>
                <w:rFonts w:ascii="Verdana" w:hAnsi="Verdana"/>
                <w:sz w:val="18"/>
                <w:szCs w:val="18"/>
              </w:rPr>
            </w:pPr>
            <w:r w:rsidRPr="0032749A">
              <w:rPr>
                <w:rFonts w:ascii="Verdana" w:hAnsi="Verdana"/>
                <w:sz w:val="18"/>
                <w:szCs w:val="18"/>
              </w:rPr>
              <w:t>De kapitaalstorting in Invest International heeft geen negatieve financiële gevolgen voor maatschappelijke sectoren</w:t>
            </w:r>
            <w:r>
              <w:rPr>
                <w:rFonts w:ascii="Verdana" w:hAnsi="Verdana"/>
                <w:sz w:val="18"/>
                <w:szCs w:val="18"/>
              </w:rPr>
              <w:t xml:space="preserve"> </w:t>
            </w:r>
          </w:p>
          <w:p w:rsidRPr="00654A40" w:rsidR="00A411C8" w:rsidP="00F7231C" w:rsidRDefault="00A411C8" w14:paraId="0EAA44ED" w14:textId="77777777">
            <w:pPr>
              <w:pStyle w:val="Geenafstand"/>
              <w:spacing w:line="276" w:lineRule="auto"/>
              <w:rPr>
                <w:rFonts w:ascii="Verdana" w:hAnsi="Verdana"/>
                <w:sz w:val="18"/>
                <w:szCs w:val="18"/>
              </w:rPr>
            </w:pPr>
          </w:p>
        </w:tc>
      </w:tr>
      <w:tr w:rsidRPr="00654A40" w:rsidR="00A411C8" w:rsidTr="002A5139" w14:paraId="7A04CFB4" w14:textId="77777777">
        <w:tc>
          <w:tcPr>
            <w:tcW w:w="1271" w:type="dxa"/>
            <w:shd w:val="clear" w:color="auto" w:fill="767171" w:themeFill="background2" w:themeFillShade="80"/>
          </w:tcPr>
          <w:p w:rsidRPr="00654A40" w:rsidR="00A411C8" w:rsidP="00654A40" w:rsidRDefault="00A411C8" w14:paraId="184111BD" w14:textId="7D8677F5">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Nagestreefde doeltreffendheid</w:t>
            </w:r>
          </w:p>
        </w:tc>
        <w:tc>
          <w:tcPr>
            <w:tcW w:w="7746" w:type="dxa"/>
            <w:shd w:val="clear" w:color="auto" w:fill="D0CECE" w:themeFill="background2" w:themeFillShade="E6"/>
          </w:tcPr>
          <w:p w:rsidRPr="0032749A" w:rsidR="002A5139" w:rsidP="002A5139" w:rsidRDefault="002A5139" w14:paraId="0FE2EA8C" w14:textId="77777777">
            <w:pPr>
              <w:rPr>
                <w:rFonts w:ascii="Verdana" w:hAnsi="Verdana"/>
                <w:sz w:val="18"/>
                <w:szCs w:val="18"/>
              </w:rPr>
            </w:pPr>
            <w:r w:rsidRPr="0032749A">
              <w:rPr>
                <w:rFonts w:ascii="Verdana" w:hAnsi="Verdana"/>
                <w:sz w:val="18"/>
                <w:szCs w:val="18"/>
              </w:rPr>
              <w:t>De tussentijdse evaluatie van Invest International van Dialogic</w:t>
            </w:r>
            <w:r w:rsidRPr="0032749A">
              <w:rPr>
                <w:rStyle w:val="Voetnootmarkering"/>
                <w:rFonts w:ascii="Verdana" w:hAnsi="Verdana"/>
                <w:sz w:val="18"/>
                <w:szCs w:val="18"/>
              </w:rPr>
              <w:footnoteReference w:id="1"/>
            </w:r>
            <w:r w:rsidRPr="0032749A">
              <w:rPr>
                <w:rFonts w:ascii="Verdana" w:hAnsi="Verdana"/>
                <w:sz w:val="18"/>
                <w:szCs w:val="18"/>
              </w:rPr>
              <w:t xml:space="preserve"> toont aan dat Invest International een slagvaardige organisatie is die invulling geeft aan de doelen als omschreven in de Machtigingswet. Uit de evaluatie van Alvarez en </w:t>
            </w:r>
            <w:proofErr w:type="spellStart"/>
            <w:r w:rsidRPr="0032749A">
              <w:rPr>
                <w:rFonts w:ascii="Verdana" w:hAnsi="Verdana"/>
                <w:sz w:val="18"/>
                <w:szCs w:val="18"/>
              </w:rPr>
              <w:t>Marsal</w:t>
            </w:r>
            <w:proofErr w:type="spellEnd"/>
            <w:r w:rsidRPr="0032749A">
              <w:rPr>
                <w:rStyle w:val="Voetnootmarkering"/>
                <w:rFonts w:ascii="Verdana" w:hAnsi="Verdana"/>
                <w:sz w:val="18"/>
                <w:szCs w:val="18"/>
              </w:rPr>
              <w:footnoteReference w:id="2"/>
            </w:r>
            <w:r w:rsidRPr="0032749A">
              <w:rPr>
                <w:rFonts w:ascii="Verdana" w:hAnsi="Verdana"/>
                <w:sz w:val="18"/>
                <w:szCs w:val="18"/>
              </w:rPr>
              <w:t xml:space="preserve"> volgt dat er vanuit het </w:t>
            </w:r>
            <w:r w:rsidRPr="0032749A">
              <w:rPr>
                <w:rFonts w:ascii="Verdana" w:hAnsi="Verdana"/>
                <w:sz w:val="18"/>
                <w:szCs w:val="18"/>
              </w:rPr>
              <w:lastRenderedPageBreak/>
              <w:t xml:space="preserve">Nederlandse bedrijfsleven een additionele vraag aan financiering is en dat Invest International in korte tijd een volwassen organisatie heeft neergezet op commercieel gebied en op het gebied van risicobeoordeling. </w:t>
            </w:r>
          </w:p>
          <w:p w:rsidRPr="0032749A" w:rsidR="002A5139" w:rsidP="002A5139" w:rsidRDefault="002A5139" w14:paraId="0F4CBE80" w14:textId="77777777">
            <w:pPr>
              <w:rPr>
                <w:rFonts w:ascii="Verdana" w:hAnsi="Verdana"/>
                <w:sz w:val="18"/>
                <w:szCs w:val="18"/>
              </w:rPr>
            </w:pPr>
            <w:r w:rsidRPr="0032749A">
              <w:rPr>
                <w:rFonts w:ascii="Verdana" w:hAnsi="Verdana"/>
                <w:sz w:val="18"/>
                <w:szCs w:val="18"/>
              </w:rPr>
              <w:t xml:space="preserve">De additionele middelen voor het kapitaalkernkapitaal zorgen ervoor dat Invest International meer bedrijven en projecten kan ondersteunen met financiering. Hierdoor kunnen er meer projecten gedaan worden, waarbij Invest International ernaar streeft om doeltreffend te zijn door projecten te selecteren met een duidelijke bijdrage aan de Nederlandse economie en internationale uitdagingen. Dit laatste is in de praktijk geoperationaliseerd door te beoordelen wat de bijdrage is aan de </w:t>
            </w:r>
            <w:proofErr w:type="spellStart"/>
            <w:r w:rsidRPr="0032749A">
              <w:rPr>
                <w:rFonts w:ascii="Verdana" w:hAnsi="Verdana"/>
                <w:i/>
                <w:iCs/>
                <w:sz w:val="18"/>
                <w:szCs w:val="18"/>
              </w:rPr>
              <w:t>Sustainable</w:t>
            </w:r>
            <w:proofErr w:type="spellEnd"/>
            <w:r w:rsidRPr="0032749A">
              <w:rPr>
                <w:rFonts w:ascii="Verdana" w:hAnsi="Verdana"/>
                <w:i/>
                <w:iCs/>
                <w:sz w:val="18"/>
                <w:szCs w:val="18"/>
              </w:rPr>
              <w:t xml:space="preserve"> </w:t>
            </w:r>
            <w:proofErr w:type="spellStart"/>
            <w:r w:rsidRPr="0032749A">
              <w:rPr>
                <w:rFonts w:ascii="Verdana" w:hAnsi="Verdana"/>
                <w:i/>
                <w:iCs/>
                <w:sz w:val="18"/>
                <w:szCs w:val="18"/>
              </w:rPr>
              <w:t>Develoment</w:t>
            </w:r>
            <w:proofErr w:type="spellEnd"/>
            <w:r w:rsidRPr="0032749A">
              <w:rPr>
                <w:rFonts w:ascii="Verdana" w:hAnsi="Verdana"/>
                <w:i/>
                <w:iCs/>
                <w:sz w:val="18"/>
                <w:szCs w:val="18"/>
              </w:rPr>
              <w:t xml:space="preserve"> Goals</w:t>
            </w:r>
            <w:r w:rsidRPr="0032749A">
              <w:rPr>
                <w:rFonts w:ascii="Verdana" w:hAnsi="Verdana"/>
                <w:sz w:val="18"/>
                <w:szCs w:val="18"/>
              </w:rPr>
              <w:t xml:space="preserve"> (</w:t>
            </w:r>
            <w:proofErr w:type="spellStart"/>
            <w:r w:rsidRPr="0032749A">
              <w:rPr>
                <w:rFonts w:ascii="Verdana" w:hAnsi="Verdana"/>
                <w:sz w:val="18"/>
                <w:szCs w:val="18"/>
              </w:rPr>
              <w:t>SDG’s</w:t>
            </w:r>
            <w:proofErr w:type="spellEnd"/>
            <w:r w:rsidRPr="0032749A">
              <w:rPr>
                <w:rFonts w:ascii="Verdana" w:hAnsi="Verdana"/>
                <w:sz w:val="18"/>
                <w:szCs w:val="18"/>
              </w:rPr>
              <w:t xml:space="preserve">). </w:t>
            </w:r>
          </w:p>
          <w:p w:rsidRPr="002A5139" w:rsidR="00A411C8" w:rsidP="002A5139" w:rsidRDefault="002A5139" w14:paraId="04C44E84" w14:textId="30921663">
            <w:pPr>
              <w:rPr>
                <w:rFonts w:ascii="Verdana" w:hAnsi="Verdana"/>
                <w:sz w:val="18"/>
                <w:szCs w:val="18"/>
              </w:rPr>
            </w:pPr>
            <w:r w:rsidRPr="0032749A">
              <w:rPr>
                <w:rFonts w:ascii="Verdana" w:hAnsi="Verdana"/>
                <w:sz w:val="18"/>
                <w:szCs w:val="18"/>
              </w:rPr>
              <w:t>Invest International meet de impact van gefinancierde projecten om te monitoren of de beoogde resultaten bereikt worden, en rapporteert de resultaten in het jaarverslag. De staat neemt dit mee in de overleggen die zij met Invest International voert (zie 1G hieronder) en vraagt de onderneming bij te sturen wanneer nodig. In 2023 droeg de portefeuille gefinancierd het kernkapitaal bij aan circa 3.500 Nederlandse banen en was er een bijdrage van circa € 415 mln. aan het BNP. Daarnaast droeg respectievelijk 85% en 65% van de portefeuille bij aan SDG 8 (waardig werk en economische groei) en SDG 13 (klimaatactie).</w:t>
            </w:r>
          </w:p>
        </w:tc>
      </w:tr>
      <w:tr w:rsidRPr="00654A40" w:rsidR="00A411C8" w:rsidTr="002A5139" w14:paraId="4CEF3CE6" w14:textId="77777777">
        <w:tc>
          <w:tcPr>
            <w:tcW w:w="1271" w:type="dxa"/>
            <w:shd w:val="clear" w:color="auto" w:fill="767171" w:themeFill="background2" w:themeFillShade="80"/>
          </w:tcPr>
          <w:p w:rsidRPr="00654A40" w:rsidR="00A411C8" w:rsidP="00654A40" w:rsidRDefault="00A411C8" w14:paraId="25A11D9C" w14:textId="55F6661F">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lastRenderedPageBreak/>
              <w:t>Nagestreefde doelmatigheid</w:t>
            </w:r>
          </w:p>
        </w:tc>
        <w:tc>
          <w:tcPr>
            <w:tcW w:w="7746" w:type="dxa"/>
            <w:shd w:val="clear" w:color="auto" w:fill="D0CECE" w:themeFill="background2" w:themeFillShade="E6"/>
          </w:tcPr>
          <w:p w:rsidRPr="0032749A" w:rsidR="002A5139" w:rsidP="002A5139" w:rsidRDefault="002A5139" w14:paraId="5D97AF5D" w14:textId="77777777">
            <w:pPr>
              <w:pStyle w:val="Normaalweb"/>
              <w:rPr>
                <w:rFonts w:ascii="Verdana" w:hAnsi="Verdana"/>
                <w:sz w:val="18"/>
                <w:szCs w:val="18"/>
              </w:rPr>
            </w:pPr>
            <w:r w:rsidRPr="0032749A">
              <w:rPr>
                <w:rFonts w:ascii="Verdana" w:hAnsi="Verdana"/>
                <w:sz w:val="18"/>
                <w:szCs w:val="18"/>
              </w:rPr>
              <w:t>Om doelmatig te opereren, hanteert Invest International de volgende aanpak:</w:t>
            </w:r>
          </w:p>
          <w:p w:rsidRPr="0032749A" w:rsidR="002A5139" w:rsidP="002A5139" w:rsidRDefault="002A5139" w14:paraId="1F2F6937" w14:textId="77777777">
            <w:pPr>
              <w:pStyle w:val="Normaalweb"/>
              <w:numPr>
                <w:ilvl w:val="0"/>
                <w:numId w:val="7"/>
              </w:numPr>
              <w:rPr>
                <w:rFonts w:ascii="Verdana" w:hAnsi="Verdana"/>
                <w:sz w:val="18"/>
                <w:szCs w:val="18"/>
              </w:rPr>
            </w:pPr>
            <w:r w:rsidRPr="0032749A">
              <w:rPr>
                <w:rFonts w:ascii="Verdana" w:hAnsi="Verdana"/>
                <w:sz w:val="18"/>
                <w:szCs w:val="18"/>
              </w:rPr>
              <w:t>Efficiënt inzetten van middelen door duidelijke criteria en procedures voor projectselectie en financiering. Door alleen bedrijven te financieren met een businessmodel en (potentieel) positieve business case financiert de onderneming bedrijven die impact maken met een kansrijke toekomst.</w:t>
            </w:r>
          </w:p>
          <w:p w:rsidRPr="0032749A" w:rsidR="002A5139" w:rsidP="002A5139" w:rsidRDefault="002A5139" w14:paraId="78E42211" w14:textId="77777777">
            <w:pPr>
              <w:pStyle w:val="Normaalweb"/>
              <w:numPr>
                <w:ilvl w:val="0"/>
                <w:numId w:val="7"/>
              </w:numPr>
              <w:rPr>
                <w:rFonts w:ascii="Verdana" w:hAnsi="Verdana"/>
                <w:sz w:val="18"/>
                <w:szCs w:val="18"/>
              </w:rPr>
            </w:pPr>
            <w:r w:rsidRPr="0032749A">
              <w:rPr>
                <w:rFonts w:ascii="Verdana" w:hAnsi="Verdana"/>
                <w:sz w:val="18"/>
                <w:szCs w:val="18"/>
              </w:rPr>
              <w:t>Samenwerken met andere financieringsinstellingen en partners om synergiënsynergiën te benutten en overlap te voorkomen.</w:t>
            </w:r>
          </w:p>
          <w:p w:rsidRPr="0032749A" w:rsidR="002A5139" w:rsidP="002A5139" w:rsidRDefault="002A5139" w14:paraId="62FBE421" w14:textId="77777777">
            <w:pPr>
              <w:pStyle w:val="Normaalweb"/>
              <w:numPr>
                <w:ilvl w:val="0"/>
                <w:numId w:val="7"/>
              </w:numPr>
              <w:rPr>
                <w:rFonts w:ascii="Verdana" w:hAnsi="Verdana"/>
                <w:i/>
                <w:iCs/>
                <w:sz w:val="18"/>
                <w:szCs w:val="18"/>
              </w:rPr>
            </w:pPr>
            <w:r w:rsidRPr="0032749A">
              <w:rPr>
                <w:rFonts w:ascii="Verdana" w:hAnsi="Verdana"/>
                <w:sz w:val="18"/>
                <w:szCs w:val="18"/>
              </w:rPr>
              <w:t>Continu verbeteren van interne processen en systemen om operationele kosten te minimaliseren en effectiviteit te verhogen.</w:t>
            </w:r>
          </w:p>
          <w:p w:rsidRPr="0032749A" w:rsidR="002A5139" w:rsidP="002A5139" w:rsidRDefault="002A5139" w14:paraId="746BACDD" w14:textId="405FA010">
            <w:pPr>
              <w:pStyle w:val="Normaalweb"/>
              <w:rPr>
                <w:rFonts w:ascii="Verdana" w:hAnsi="Verdana"/>
                <w:sz w:val="18"/>
                <w:szCs w:val="18"/>
              </w:rPr>
            </w:pPr>
            <w:r>
              <w:rPr>
                <w:rFonts w:ascii="Verdana" w:hAnsi="Verdana"/>
                <w:sz w:val="18"/>
                <w:szCs w:val="18"/>
              </w:rPr>
              <w:t>De</w:t>
            </w:r>
            <w:r w:rsidRPr="0032749A">
              <w:rPr>
                <w:rFonts w:ascii="Verdana" w:hAnsi="Verdana"/>
                <w:sz w:val="18"/>
                <w:szCs w:val="18"/>
              </w:rPr>
              <w:t xml:space="preserve"> portfolio moet op de lange termijn </w:t>
            </w:r>
            <w:proofErr w:type="spellStart"/>
            <w:r w:rsidRPr="0032749A">
              <w:rPr>
                <w:rFonts w:ascii="Verdana" w:hAnsi="Verdana"/>
                <w:sz w:val="18"/>
                <w:szCs w:val="18"/>
              </w:rPr>
              <w:t>revolverend</w:t>
            </w:r>
            <w:proofErr w:type="spellEnd"/>
            <w:r w:rsidRPr="0032749A">
              <w:rPr>
                <w:rFonts w:ascii="Verdana" w:hAnsi="Verdana"/>
                <w:sz w:val="18"/>
                <w:szCs w:val="18"/>
              </w:rPr>
              <w:t xml:space="preserve"> zijn, zodat de onderneming zichzelf financieel in stand kan houden en er geen structurele bijdrage nodig is voor de continuïteit. De staat heeft met Invest International afgesproken dat de organisatie een positief rendement moet behalen</w:t>
            </w:r>
            <w:r>
              <w:rPr>
                <w:rFonts w:ascii="Verdana" w:hAnsi="Verdana"/>
                <w:sz w:val="18"/>
                <w:szCs w:val="18"/>
              </w:rPr>
              <w:t>. Overigens</w:t>
            </w:r>
            <w:r w:rsidRPr="0032749A">
              <w:rPr>
                <w:rFonts w:ascii="Verdana" w:hAnsi="Verdana"/>
                <w:sz w:val="18"/>
                <w:szCs w:val="18"/>
              </w:rPr>
              <w:t xml:space="preserve"> heeft Invest International </w:t>
            </w:r>
            <w:r>
              <w:rPr>
                <w:rFonts w:ascii="Verdana" w:hAnsi="Verdana"/>
                <w:sz w:val="18"/>
                <w:szCs w:val="18"/>
              </w:rPr>
              <w:t xml:space="preserve">in 2023 </w:t>
            </w:r>
            <w:r w:rsidRPr="0032749A">
              <w:rPr>
                <w:rFonts w:ascii="Verdana" w:hAnsi="Verdana"/>
                <w:sz w:val="18"/>
                <w:szCs w:val="18"/>
              </w:rPr>
              <w:t>al een positief rendement behaald</w:t>
            </w:r>
            <w:r>
              <w:rPr>
                <w:rFonts w:ascii="Verdana" w:hAnsi="Verdana"/>
                <w:sz w:val="18"/>
                <w:szCs w:val="18"/>
              </w:rPr>
              <w:t>, eerder dan begroot</w:t>
            </w:r>
            <w:r w:rsidRPr="0032749A">
              <w:rPr>
                <w:rFonts w:ascii="Verdana" w:hAnsi="Verdana"/>
                <w:sz w:val="18"/>
                <w:szCs w:val="18"/>
              </w:rPr>
              <w:t xml:space="preserve">. </w:t>
            </w:r>
          </w:p>
          <w:p w:rsidRPr="00654A40" w:rsidR="00A411C8" w:rsidP="002A5139" w:rsidRDefault="002A5139" w14:paraId="03D99329" w14:textId="1096D1BE">
            <w:pPr>
              <w:pStyle w:val="Normaalweb"/>
              <w:rPr>
                <w:rFonts w:ascii="Verdana" w:hAnsi="Verdana"/>
                <w:sz w:val="18"/>
                <w:szCs w:val="18"/>
              </w:rPr>
            </w:pPr>
            <w:r w:rsidRPr="0032749A">
              <w:rPr>
                <w:rFonts w:ascii="Verdana" w:hAnsi="Verdana"/>
                <w:sz w:val="18"/>
                <w:szCs w:val="18"/>
              </w:rPr>
              <w:t xml:space="preserve">In de tussentijdse evaluatie heeft Dialogic getracht de verwachte doeltreffendheid en doelmatigheid te beoordelen van Invest International. Deze verwachte resultaten ogen positief. </w:t>
            </w:r>
          </w:p>
        </w:tc>
      </w:tr>
      <w:tr w:rsidRPr="00654A40" w:rsidR="00A411C8" w:rsidTr="002A5139" w14:paraId="25C6C40C" w14:textId="77777777">
        <w:tc>
          <w:tcPr>
            <w:tcW w:w="1271" w:type="dxa"/>
            <w:shd w:val="clear" w:color="auto" w:fill="767171" w:themeFill="background2" w:themeFillShade="80"/>
          </w:tcPr>
          <w:p w:rsidRPr="00654A40" w:rsidR="00A411C8" w:rsidP="00654A40" w:rsidRDefault="00A411C8" w14:paraId="11001574" w14:textId="167436CE">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 xml:space="preserve">Evaluatieparagraaf </w:t>
            </w:r>
          </w:p>
        </w:tc>
        <w:tc>
          <w:tcPr>
            <w:tcW w:w="7746" w:type="dxa"/>
            <w:shd w:val="clear" w:color="auto" w:fill="D0CECE" w:themeFill="background2" w:themeFillShade="E6"/>
          </w:tcPr>
          <w:p w:rsidRPr="0032749A" w:rsidR="002A5139" w:rsidP="002A5139" w:rsidRDefault="002A5139" w14:paraId="73D3C9A9" w14:textId="77777777">
            <w:pPr>
              <w:pStyle w:val="Normaalweb"/>
              <w:numPr>
                <w:ilvl w:val="0"/>
                <w:numId w:val="8"/>
              </w:numPr>
              <w:rPr>
                <w:rFonts w:ascii="Verdana" w:hAnsi="Verdana"/>
                <w:sz w:val="18"/>
                <w:szCs w:val="18"/>
              </w:rPr>
            </w:pPr>
            <w:r w:rsidRPr="0032749A">
              <w:rPr>
                <w:rFonts w:ascii="Verdana" w:hAnsi="Verdana"/>
                <w:sz w:val="18"/>
                <w:szCs w:val="18"/>
              </w:rPr>
              <w:t>Vanaf 2021 vindt elke 7 jaar een evaluatie plaats, waarin doeltreffendheid, doelmatigheid en de effecten van de wet in de praktijk worden beoordeeld</w:t>
            </w:r>
            <w:r w:rsidRPr="0032749A" w:rsidDel="001C703E">
              <w:rPr>
                <w:rFonts w:ascii="Verdana" w:hAnsi="Verdana"/>
                <w:sz w:val="18"/>
                <w:szCs w:val="18"/>
              </w:rPr>
              <w:t xml:space="preserve"> </w:t>
            </w:r>
          </w:p>
          <w:p w:rsidRPr="0032749A" w:rsidR="002A5139" w:rsidP="002A5139" w:rsidRDefault="002A5139" w14:paraId="1EEC4677" w14:textId="77777777">
            <w:pPr>
              <w:pStyle w:val="Normaalweb"/>
              <w:numPr>
                <w:ilvl w:val="0"/>
                <w:numId w:val="8"/>
              </w:numPr>
              <w:rPr>
                <w:rFonts w:ascii="Verdana" w:hAnsi="Verdana"/>
                <w:sz w:val="18"/>
                <w:szCs w:val="18"/>
              </w:rPr>
            </w:pPr>
            <w:r w:rsidRPr="0032749A">
              <w:rPr>
                <w:rFonts w:ascii="Verdana" w:hAnsi="Verdana"/>
                <w:sz w:val="18"/>
                <w:szCs w:val="18"/>
              </w:rPr>
              <w:t xml:space="preserve">Het verantwoordelijke beleidsministerie van Buitenlandse Zaken (BZ) treedt onder andere op kwartaalbasis in overleg met Invest International waarbij BZ onder andere de doeltreffendheid van de onderneming monitort. </w:t>
            </w:r>
          </w:p>
          <w:p w:rsidRPr="002A5139" w:rsidR="00A411C8" w:rsidP="002A5139" w:rsidRDefault="002A5139" w14:paraId="5ACA8114" w14:textId="579551E9">
            <w:pPr>
              <w:pStyle w:val="Normaalweb"/>
              <w:numPr>
                <w:ilvl w:val="0"/>
                <w:numId w:val="8"/>
              </w:numPr>
              <w:rPr>
                <w:rFonts w:ascii="Verdana" w:hAnsi="Verdana"/>
                <w:sz w:val="18"/>
                <w:szCs w:val="18"/>
              </w:rPr>
            </w:pPr>
            <w:r w:rsidRPr="0032749A">
              <w:rPr>
                <w:rFonts w:ascii="Verdana" w:hAnsi="Verdana"/>
                <w:sz w:val="18"/>
                <w:szCs w:val="18"/>
              </w:rPr>
              <w:t xml:space="preserve">Het Ministerie van Financiën voert als aandeelhouder onder andere elk kwartaal </w:t>
            </w:r>
            <w:proofErr w:type="spellStart"/>
            <w:r w:rsidRPr="0032749A">
              <w:rPr>
                <w:rFonts w:ascii="Verdana" w:hAnsi="Verdana"/>
                <w:sz w:val="18"/>
                <w:szCs w:val="18"/>
              </w:rPr>
              <w:t>aandeelhoudersoverleggen</w:t>
            </w:r>
            <w:proofErr w:type="spellEnd"/>
            <w:r w:rsidRPr="0032749A">
              <w:rPr>
                <w:rFonts w:ascii="Verdana" w:hAnsi="Verdana"/>
                <w:sz w:val="18"/>
                <w:szCs w:val="18"/>
              </w:rPr>
              <w:t xml:space="preserve"> met de raad van bestuur van Invest International en halfjaarlijks met de raad van commissarissen. Hier ligt de focus meer op de financiële prestaties van de onderneming en goed bestuur. </w:t>
            </w:r>
          </w:p>
        </w:tc>
      </w:tr>
      <w:bookmarkEnd w:id="0"/>
    </w:tbl>
    <w:p w:rsidRPr="00654A40" w:rsidR="00A411C8" w:rsidP="00654A40" w:rsidRDefault="00A411C8" w14:paraId="4B2E6C05" w14:textId="77777777">
      <w:pPr>
        <w:spacing w:after="0" w:line="276" w:lineRule="auto"/>
        <w:rPr>
          <w:rFonts w:ascii="Verdana" w:hAnsi="Verdana"/>
          <w:sz w:val="18"/>
          <w:szCs w:val="18"/>
        </w:rPr>
      </w:pPr>
    </w:p>
    <w:p w:rsidRPr="00654A40" w:rsidR="00A411C8" w:rsidP="00654A40" w:rsidRDefault="00A411C8" w14:paraId="5A08C501" w14:textId="77777777">
      <w:pPr>
        <w:spacing w:after="0" w:line="276" w:lineRule="auto"/>
        <w:rPr>
          <w:rFonts w:ascii="Verdana" w:hAnsi="Verdana"/>
          <w:sz w:val="18"/>
          <w:szCs w:val="18"/>
        </w:rPr>
      </w:pPr>
    </w:p>
    <w:sectPr w:rsidRPr="00654A40" w:rsidR="00A411C8"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08FA" w14:textId="77777777" w:rsidR="002F3444" w:rsidRDefault="002F3444" w:rsidP="00A411C8">
      <w:pPr>
        <w:spacing w:after="0" w:line="240" w:lineRule="auto"/>
      </w:pPr>
      <w:r>
        <w:separator/>
      </w:r>
    </w:p>
  </w:endnote>
  <w:endnote w:type="continuationSeparator" w:id="0">
    <w:p w14:paraId="77A9FAAF" w14:textId="77777777" w:rsidR="002F3444" w:rsidRDefault="002F3444" w:rsidP="00A4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439804"/>
      <w:docPartObj>
        <w:docPartGallery w:val="Page Numbers (Bottom of Page)"/>
        <w:docPartUnique/>
      </w:docPartObj>
    </w:sdtPr>
    <w:sdtEndPr/>
    <w:sdtContent>
      <w:p w14:paraId="6A183E0F" w14:textId="110C91B4" w:rsidR="00943750" w:rsidRDefault="00943750">
        <w:pPr>
          <w:pStyle w:val="Voettekst"/>
          <w:jc w:val="center"/>
        </w:pPr>
        <w:r>
          <w:fldChar w:fldCharType="begin"/>
        </w:r>
        <w:r>
          <w:instrText>PAGE   \* MERGEFORMAT</w:instrText>
        </w:r>
        <w:r>
          <w:fldChar w:fldCharType="separate"/>
        </w:r>
        <w:r>
          <w:t>2</w:t>
        </w:r>
        <w:r>
          <w:fldChar w:fldCharType="end"/>
        </w:r>
      </w:p>
    </w:sdtContent>
  </w:sdt>
  <w:p w14:paraId="398C4081" w14:textId="51FC1E8B" w:rsidR="009C4EE2" w:rsidRDefault="009C4E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0C44" w14:textId="77777777" w:rsidR="002F3444" w:rsidRDefault="002F3444" w:rsidP="00A411C8">
      <w:pPr>
        <w:spacing w:after="0" w:line="240" w:lineRule="auto"/>
      </w:pPr>
      <w:r>
        <w:separator/>
      </w:r>
    </w:p>
  </w:footnote>
  <w:footnote w:type="continuationSeparator" w:id="0">
    <w:p w14:paraId="1FF3D132" w14:textId="77777777" w:rsidR="002F3444" w:rsidRDefault="002F3444" w:rsidP="00A411C8">
      <w:pPr>
        <w:spacing w:after="0" w:line="240" w:lineRule="auto"/>
      </w:pPr>
      <w:r>
        <w:continuationSeparator/>
      </w:r>
    </w:p>
  </w:footnote>
  <w:footnote w:id="1">
    <w:p w14:paraId="1F60ABBC" w14:textId="77777777" w:rsidR="002A5139" w:rsidRDefault="002A5139" w:rsidP="002A5139">
      <w:pPr>
        <w:pStyle w:val="Voetnoottekst"/>
      </w:pPr>
      <w:r>
        <w:rPr>
          <w:rStyle w:val="Voetnootmarkering"/>
        </w:rPr>
        <w:footnoteRef/>
      </w:r>
      <w:r>
        <w:t xml:space="preserve"> Kamerstukken II 2023-2024, 35 529, 24</w:t>
      </w:r>
    </w:p>
  </w:footnote>
  <w:footnote w:id="2">
    <w:p w14:paraId="5AA9139A" w14:textId="77777777" w:rsidR="002A5139" w:rsidRDefault="002A5139" w:rsidP="002A5139">
      <w:pPr>
        <w:pStyle w:val="Voetnoottekst"/>
      </w:pPr>
      <w:r>
        <w:rPr>
          <w:rStyle w:val="Voetnootmarkering"/>
        </w:rPr>
        <w:footnoteRef/>
      </w:r>
      <w:r>
        <w:t xml:space="preserve"> Kamerstukken II 2024-2025, 35 529,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8DD"/>
    <w:multiLevelType w:val="hybridMultilevel"/>
    <w:tmpl w:val="53CC3024"/>
    <w:lvl w:ilvl="0" w:tplc="3998E2E6">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BD367AD"/>
    <w:multiLevelType w:val="hybridMultilevel"/>
    <w:tmpl w:val="67EA1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181888"/>
    <w:multiLevelType w:val="hybridMultilevel"/>
    <w:tmpl w:val="82380A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602EB0"/>
    <w:multiLevelType w:val="hybridMultilevel"/>
    <w:tmpl w:val="BC5E1D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4CA80B03"/>
    <w:multiLevelType w:val="hybridMultilevel"/>
    <w:tmpl w:val="4E4C3E2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6E0DEC"/>
    <w:multiLevelType w:val="hybridMultilevel"/>
    <w:tmpl w:val="033C83A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5D746F2B"/>
    <w:multiLevelType w:val="hybridMultilevel"/>
    <w:tmpl w:val="3B802A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CEF245F"/>
    <w:multiLevelType w:val="hybridMultilevel"/>
    <w:tmpl w:val="5B60E346"/>
    <w:lvl w:ilvl="0" w:tplc="560A30F0">
      <w:numFmt w:val="decimal"/>
      <w:lvlText w:val=""/>
      <w:lvlJc w:val="left"/>
      <w:pPr>
        <w:ind w:left="437" w:hanging="437"/>
      </w:pPr>
      <w:rPr>
        <w:rFonts w:ascii="Symbol" w:hAnsi="Symbol" w:hint="default"/>
      </w:rPr>
    </w:lvl>
    <w:lvl w:ilvl="1" w:tplc="99B64590">
      <w:start w:val="1"/>
      <w:numFmt w:val="decimal"/>
      <w:lvlText w:val="%2."/>
      <w:lvlJc w:val="left"/>
      <w:pPr>
        <w:ind w:left="1310" w:hanging="360"/>
      </w:pPr>
      <w:rPr>
        <w:rFonts w:ascii="Verdana" w:eastAsia="DejaVu Sans" w:hAnsi="Verdana" w:cs="Lohit Hindi"/>
      </w:rPr>
    </w:lvl>
    <w:lvl w:ilvl="2" w:tplc="04130005">
      <w:numFmt w:val="decimal"/>
      <w:lvlText w:val=""/>
      <w:lvlJc w:val="left"/>
      <w:pPr>
        <w:ind w:left="2030" w:hanging="360"/>
      </w:pPr>
      <w:rPr>
        <w:rFonts w:ascii="Wingdings" w:hAnsi="Wingdings" w:hint="default"/>
      </w:rPr>
    </w:lvl>
    <w:lvl w:ilvl="3" w:tplc="04130001">
      <w:numFmt w:val="decimal"/>
      <w:lvlText w:val=""/>
      <w:lvlJc w:val="left"/>
      <w:pPr>
        <w:ind w:left="2750" w:hanging="360"/>
      </w:pPr>
      <w:rPr>
        <w:rFonts w:ascii="Symbol" w:hAnsi="Symbol" w:hint="default"/>
      </w:rPr>
    </w:lvl>
    <w:lvl w:ilvl="4" w:tplc="04130003">
      <w:numFmt w:val="decimal"/>
      <w:lvlText w:val="o"/>
      <w:lvlJc w:val="left"/>
      <w:pPr>
        <w:ind w:left="3470" w:hanging="360"/>
      </w:pPr>
      <w:rPr>
        <w:rFonts w:ascii="Courier New" w:hAnsi="Courier New" w:cs="Courier New" w:hint="default"/>
      </w:rPr>
    </w:lvl>
    <w:lvl w:ilvl="5" w:tplc="04130005">
      <w:numFmt w:val="decimal"/>
      <w:lvlText w:val=""/>
      <w:lvlJc w:val="left"/>
      <w:pPr>
        <w:ind w:left="4190" w:hanging="360"/>
      </w:pPr>
      <w:rPr>
        <w:rFonts w:ascii="Wingdings" w:hAnsi="Wingdings" w:hint="default"/>
      </w:rPr>
    </w:lvl>
    <w:lvl w:ilvl="6" w:tplc="04130001">
      <w:numFmt w:val="decimal"/>
      <w:lvlText w:val=""/>
      <w:lvlJc w:val="left"/>
      <w:pPr>
        <w:ind w:left="4910" w:hanging="360"/>
      </w:pPr>
      <w:rPr>
        <w:rFonts w:ascii="Symbol" w:hAnsi="Symbol" w:hint="default"/>
      </w:rPr>
    </w:lvl>
    <w:lvl w:ilvl="7" w:tplc="04130003">
      <w:numFmt w:val="decimal"/>
      <w:lvlText w:val="o"/>
      <w:lvlJc w:val="left"/>
      <w:pPr>
        <w:ind w:left="5630" w:hanging="360"/>
      </w:pPr>
      <w:rPr>
        <w:rFonts w:ascii="Courier New" w:hAnsi="Courier New" w:cs="Courier New" w:hint="default"/>
      </w:rPr>
    </w:lvl>
    <w:lvl w:ilvl="8" w:tplc="04130005">
      <w:numFmt w:val="decimal"/>
      <w:lvlText w:val=""/>
      <w:lvlJc w:val="left"/>
      <w:pPr>
        <w:ind w:left="6350" w:hanging="360"/>
      </w:pPr>
      <w:rPr>
        <w:rFonts w:ascii="Wingdings" w:hAnsi="Wingdings" w:hint="default"/>
      </w:rPr>
    </w:lvl>
  </w:abstractNum>
  <w:num w:numId="1" w16cid:durableId="193230603">
    <w:abstractNumId w:val="2"/>
  </w:num>
  <w:num w:numId="2" w16cid:durableId="1421482125">
    <w:abstractNumId w:val="7"/>
  </w:num>
  <w:num w:numId="3" w16cid:durableId="1320502">
    <w:abstractNumId w:val="1"/>
  </w:num>
  <w:num w:numId="4" w16cid:durableId="389378429">
    <w:abstractNumId w:val="4"/>
  </w:num>
  <w:num w:numId="5" w16cid:durableId="1750346097">
    <w:abstractNumId w:val="0"/>
  </w:num>
  <w:num w:numId="6" w16cid:durableId="984434542">
    <w:abstractNumId w:val="5"/>
  </w:num>
  <w:num w:numId="7" w16cid:durableId="1686204422">
    <w:abstractNumId w:val="3"/>
  </w:num>
  <w:num w:numId="8" w16cid:durableId="565070564">
    <w:abstractNumId w:val="6"/>
  </w:num>
  <w:num w:numId="9" w16cid:durableId="197960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C8"/>
    <w:rsid w:val="00073C73"/>
    <w:rsid w:val="00080994"/>
    <w:rsid w:val="001668AD"/>
    <w:rsid w:val="001969CA"/>
    <w:rsid w:val="001C0233"/>
    <w:rsid w:val="001E2A78"/>
    <w:rsid w:val="001E6A24"/>
    <w:rsid w:val="002061E8"/>
    <w:rsid w:val="00227FC1"/>
    <w:rsid w:val="00243499"/>
    <w:rsid w:val="00281215"/>
    <w:rsid w:val="00287FB9"/>
    <w:rsid w:val="002A5139"/>
    <w:rsid w:val="002A65DE"/>
    <w:rsid w:val="002A69EE"/>
    <w:rsid w:val="002F3444"/>
    <w:rsid w:val="0030703F"/>
    <w:rsid w:val="00393149"/>
    <w:rsid w:val="003A0D8F"/>
    <w:rsid w:val="003A101A"/>
    <w:rsid w:val="003A29A2"/>
    <w:rsid w:val="003B2ADB"/>
    <w:rsid w:val="003F18FA"/>
    <w:rsid w:val="003F636E"/>
    <w:rsid w:val="0041407F"/>
    <w:rsid w:val="00483C5D"/>
    <w:rsid w:val="004D1814"/>
    <w:rsid w:val="004D76C7"/>
    <w:rsid w:val="0050160E"/>
    <w:rsid w:val="00514667"/>
    <w:rsid w:val="005374E1"/>
    <w:rsid w:val="00571A57"/>
    <w:rsid w:val="005721DC"/>
    <w:rsid w:val="005C7ACF"/>
    <w:rsid w:val="005F4E03"/>
    <w:rsid w:val="00644E46"/>
    <w:rsid w:val="00654A40"/>
    <w:rsid w:val="00657548"/>
    <w:rsid w:val="00691839"/>
    <w:rsid w:val="006A3C44"/>
    <w:rsid w:val="006D3168"/>
    <w:rsid w:val="006D5CCE"/>
    <w:rsid w:val="006F7300"/>
    <w:rsid w:val="007C52C8"/>
    <w:rsid w:val="007D1FB8"/>
    <w:rsid w:val="007D435C"/>
    <w:rsid w:val="0081206E"/>
    <w:rsid w:val="008511E2"/>
    <w:rsid w:val="008B3F81"/>
    <w:rsid w:val="008C7446"/>
    <w:rsid w:val="00943750"/>
    <w:rsid w:val="009A5D80"/>
    <w:rsid w:val="009B64A8"/>
    <w:rsid w:val="009C4EE2"/>
    <w:rsid w:val="009C544E"/>
    <w:rsid w:val="00A03857"/>
    <w:rsid w:val="00A268EC"/>
    <w:rsid w:val="00A34ED8"/>
    <w:rsid w:val="00A411C8"/>
    <w:rsid w:val="00B06701"/>
    <w:rsid w:val="00B3529F"/>
    <w:rsid w:val="00C00D92"/>
    <w:rsid w:val="00CC1D24"/>
    <w:rsid w:val="00CC4960"/>
    <w:rsid w:val="00CD621C"/>
    <w:rsid w:val="00D13373"/>
    <w:rsid w:val="00D77300"/>
    <w:rsid w:val="00E169BF"/>
    <w:rsid w:val="00E47CF3"/>
    <w:rsid w:val="00EB7332"/>
    <w:rsid w:val="00F7231C"/>
    <w:rsid w:val="00F949D2"/>
    <w:rsid w:val="00FA53A5"/>
    <w:rsid w:val="00FD3842"/>
    <w:rsid w:val="00FD7F3D"/>
    <w:rsid w:val="00FF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471E"/>
  <w15:chartTrackingRefBased/>
  <w15:docId w15:val="{6D627FBC-00C4-4F4B-86B1-ADC8EE6B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1C8"/>
    <w:rPr>
      <w:rFonts w:asciiTheme="minorHAnsi" w:hAnsiTheme="minorHAnsi"/>
      <w:sz w:val="22"/>
      <w:lang w:val="nl-NL"/>
    </w:rPr>
  </w:style>
  <w:style w:type="paragraph" w:styleId="Kop1">
    <w:name w:val="heading 1"/>
    <w:basedOn w:val="Standaard"/>
    <w:next w:val="Standaard"/>
    <w:link w:val="Kop1Char"/>
    <w:uiPriority w:val="9"/>
    <w:qFormat/>
    <w:rsid w:val="00A411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411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411C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411C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411C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41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1C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411C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411C8"/>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411C8"/>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411C8"/>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411C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411C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411C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411C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41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1C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41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1C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411C8"/>
    <w:pPr>
      <w:ind w:left="720"/>
      <w:contextualSpacing/>
    </w:pPr>
  </w:style>
  <w:style w:type="character" w:styleId="Intensievebenadrukking">
    <w:name w:val="Intense Emphasis"/>
    <w:basedOn w:val="Standaardalinea-lettertype"/>
    <w:uiPriority w:val="21"/>
    <w:qFormat/>
    <w:rsid w:val="00A411C8"/>
    <w:rPr>
      <w:i/>
      <w:iCs/>
      <w:color w:val="2E74B5" w:themeColor="accent1" w:themeShade="BF"/>
    </w:rPr>
  </w:style>
  <w:style w:type="paragraph" w:styleId="Duidelijkcitaat">
    <w:name w:val="Intense Quote"/>
    <w:basedOn w:val="Standaard"/>
    <w:next w:val="Standaard"/>
    <w:link w:val="DuidelijkcitaatChar"/>
    <w:uiPriority w:val="30"/>
    <w:qFormat/>
    <w:rsid w:val="00A411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411C8"/>
    <w:rPr>
      <w:i/>
      <w:iCs/>
      <w:color w:val="2E74B5" w:themeColor="accent1" w:themeShade="BF"/>
    </w:rPr>
  </w:style>
  <w:style w:type="character" w:styleId="Intensieveverwijzing">
    <w:name w:val="Intense Reference"/>
    <w:basedOn w:val="Standaardalinea-lettertype"/>
    <w:uiPriority w:val="32"/>
    <w:qFormat/>
    <w:rsid w:val="00A411C8"/>
    <w:rPr>
      <w:b/>
      <w:bCs/>
      <w:smallCaps/>
      <w:color w:val="2E74B5" w:themeColor="accent1" w:themeShade="BF"/>
      <w:spacing w:val="5"/>
    </w:rPr>
  </w:style>
  <w:style w:type="paragraph" w:styleId="Geenafstand">
    <w:name w:val="No Spacing"/>
    <w:uiPriority w:val="1"/>
    <w:qFormat/>
    <w:rsid w:val="00A411C8"/>
    <w:pPr>
      <w:spacing w:after="0" w:line="240" w:lineRule="auto"/>
    </w:pPr>
    <w:rPr>
      <w:rFonts w:asciiTheme="minorHAnsi" w:hAnsiTheme="minorHAnsi"/>
      <w:sz w:val="22"/>
      <w:lang w:val="nl-NL"/>
    </w:rPr>
  </w:style>
  <w:style w:type="table" w:styleId="Tabelraster">
    <w:name w:val="Table Grid"/>
    <w:basedOn w:val="Standaardtabel"/>
    <w:uiPriority w:val="39"/>
    <w:rsid w:val="00A411C8"/>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A411C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A411C8"/>
    <w:rPr>
      <w:color w:val="0563C1" w:themeColor="hyperlink"/>
      <w:u w:val="single"/>
    </w:rPr>
  </w:style>
  <w:style w:type="paragraph" w:styleId="Voetnoottekst">
    <w:name w:val="footnote text"/>
    <w:aliases w:val="LNV Noot,DTE-Voetnoottekst,Codata Voetnoottekst,(NECG) Footnote Text,ALTS FOOTNOTE,AR Footnote Text,Voetnootteksta,07_Foot note,Footnotetext,Footnotetext1,ftx,Footnotetext2,ftx1,Footnotetext3,ftx2,Footnotetext4,ftx3,Footnotetext5,ftx4,ftx5"/>
    <w:basedOn w:val="Standaard"/>
    <w:link w:val="VoetnoottekstChar"/>
    <w:uiPriority w:val="99"/>
    <w:unhideWhenUsed/>
    <w:qFormat/>
    <w:rsid w:val="00A411C8"/>
    <w:pPr>
      <w:spacing w:after="0" w:line="240" w:lineRule="auto"/>
    </w:pPr>
    <w:rPr>
      <w:sz w:val="20"/>
      <w:szCs w:val="20"/>
    </w:rPr>
  </w:style>
  <w:style w:type="character" w:customStyle="1" w:styleId="VoetnoottekstChar">
    <w:name w:val="Voetnoottekst Char"/>
    <w:aliases w:val="LNV Noot Char,DTE-Voetnoottekst Char,Codata Voetnoottekst Char,(NECG) Footnote Text Char,ALTS FOOTNOTE Char,AR Footnote Text Char,Voetnootteksta Char,07_Foot note Char,Footnotetext Char,Footnotetext1 Char,ftx Char,Footnotetext2 Char"/>
    <w:basedOn w:val="Standaardalinea-lettertype"/>
    <w:link w:val="Voetnoottekst"/>
    <w:uiPriority w:val="99"/>
    <w:rsid w:val="00A411C8"/>
    <w:rPr>
      <w:rFonts w:asciiTheme="minorHAnsi" w:hAnsiTheme="minorHAnsi"/>
      <w:sz w:val="20"/>
      <w:szCs w:val="20"/>
      <w:lang w:val="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uiPriority w:val="99"/>
    <w:unhideWhenUsed/>
    <w:qFormat/>
    <w:rsid w:val="00A411C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A411C8"/>
  </w:style>
  <w:style w:type="character" w:styleId="Verwijzingopmerking">
    <w:name w:val="annotation reference"/>
    <w:basedOn w:val="Standaardalinea-lettertype"/>
    <w:uiPriority w:val="99"/>
    <w:semiHidden/>
    <w:unhideWhenUsed/>
    <w:rsid w:val="00A411C8"/>
    <w:rPr>
      <w:sz w:val="16"/>
      <w:szCs w:val="16"/>
    </w:rPr>
  </w:style>
  <w:style w:type="paragraph" w:styleId="Tekstopmerking">
    <w:name w:val="annotation text"/>
    <w:basedOn w:val="Standaard"/>
    <w:link w:val="TekstopmerkingChar"/>
    <w:uiPriority w:val="99"/>
    <w:unhideWhenUsed/>
    <w:rsid w:val="00A411C8"/>
    <w:pPr>
      <w:spacing w:line="240" w:lineRule="auto"/>
    </w:pPr>
    <w:rPr>
      <w:sz w:val="20"/>
      <w:szCs w:val="20"/>
    </w:rPr>
  </w:style>
  <w:style w:type="character" w:customStyle="1" w:styleId="TekstopmerkingChar">
    <w:name w:val="Tekst opmerking Char"/>
    <w:basedOn w:val="Standaardalinea-lettertype"/>
    <w:link w:val="Tekstopmerking"/>
    <w:uiPriority w:val="99"/>
    <w:rsid w:val="00A411C8"/>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411C8"/>
    <w:rPr>
      <w:b/>
      <w:bCs/>
    </w:rPr>
  </w:style>
  <w:style w:type="character" w:customStyle="1" w:styleId="OnderwerpvanopmerkingChar">
    <w:name w:val="Onderwerp van opmerking Char"/>
    <w:basedOn w:val="TekstopmerkingChar"/>
    <w:link w:val="Onderwerpvanopmerking"/>
    <w:uiPriority w:val="99"/>
    <w:semiHidden/>
    <w:rsid w:val="00A411C8"/>
    <w:rPr>
      <w:rFonts w:asciiTheme="minorHAnsi" w:hAnsiTheme="minorHAnsi"/>
      <w:b/>
      <w:bCs/>
      <w:sz w:val="20"/>
      <w:szCs w:val="20"/>
      <w:lang w:val="nl-NL"/>
    </w:rPr>
  </w:style>
  <w:style w:type="character" w:styleId="Onopgelostemelding">
    <w:name w:val="Unresolved Mention"/>
    <w:basedOn w:val="Standaardalinea-lettertype"/>
    <w:uiPriority w:val="99"/>
    <w:semiHidden/>
    <w:unhideWhenUsed/>
    <w:rsid w:val="00A411C8"/>
    <w:rPr>
      <w:color w:val="605E5C"/>
      <w:shd w:val="clear" w:color="auto" w:fill="E1DFDD"/>
    </w:rPr>
  </w:style>
  <w:style w:type="paragraph" w:styleId="Revisie">
    <w:name w:val="Revision"/>
    <w:hidden/>
    <w:uiPriority w:val="99"/>
    <w:semiHidden/>
    <w:rsid w:val="003A29A2"/>
    <w:pPr>
      <w:spacing w:after="0" w:line="240" w:lineRule="auto"/>
    </w:pPr>
    <w:rPr>
      <w:rFonts w:asciiTheme="minorHAnsi" w:hAnsiTheme="minorHAnsi"/>
      <w:sz w:val="22"/>
      <w:lang w:val="nl-NL"/>
    </w:rPr>
  </w:style>
  <w:style w:type="paragraph" w:styleId="Voettekst">
    <w:name w:val="footer"/>
    <w:basedOn w:val="Standaard"/>
    <w:link w:val="VoettekstChar"/>
    <w:uiPriority w:val="99"/>
    <w:unhideWhenUsed/>
    <w:rsid w:val="009C4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EE2"/>
    <w:rPr>
      <w:rFonts w:asciiTheme="minorHAnsi" w:hAnsiTheme="minorHAnsi"/>
      <w:sz w:val="22"/>
      <w:lang w:val="nl-NL"/>
    </w:rPr>
  </w:style>
  <w:style w:type="paragraph" w:styleId="Koptekst">
    <w:name w:val="header"/>
    <w:basedOn w:val="Standaard"/>
    <w:link w:val="KoptekstChar"/>
    <w:uiPriority w:val="99"/>
    <w:unhideWhenUsed/>
    <w:rsid w:val="00CC1D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D24"/>
    <w:rPr>
      <w:rFonts w:asciiTheme="minorHAnsi" w:hAnsiTheme="minorHAnsi"/>
      <w:sz w:val="22"/>
      <w:lang w:val="nl-NL"/>
    </w:rPr>
  </w:style>
  <w:style w:type="paragraph" w:styleId="Normaalweb">
    <w:name w:val="Normal (Web)"/>
    <w:basedOn w:val="Standaard"/>
    <w:uiPriority w:val="99"/>
    <w:unhideWhenUsed/>
    <w:rsid w:val="002A513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3275">
      <w:bodyDiv w:val="1"/>
      <w:marLeft w:val="0"/>
      <w:marRight w:val="0"/>
      <w:marTop w:val="0"/>
      <w:marBottom w:val="0"/>
      <w:divBdr>
        <w:top w:val="none" w:sz="0" w:space="0" w:color="auto"/>
        <w:left w:val="none" w:sz="0" w:space="0" w:color="auto"/>
        <w:bottom w:val="none" w:sz="0" w:space="0" w:color="auto"/>
        <w:right w:val="none" w:sz="0" w:space="0" w:color="auto"/>
      </w:divBdr>
    </w:div>
    <w:div w:id="327370327">
      <w:bodyDiv w:val="1"/>
      <w:marLeft w:val="0"/>
      <w:marRight w:val="0"/>
      <w:marTop w:val="0"/>
      <w:marBottom w:val="0"/>
      <w:divBdr>
        <w:top w:val="none" w:sz="0" w:space="0" w:color="auto"/>
        <w:left w:val="none" w:sz="0" w:space="0" w:color="auto"/>
        <w:bottom w:val="none" w:sz="0" w:space="0" w:color="auto"/>
        <w:right w:val="none" w:sz="0" w:space="0" w:color="auto"/>
      </w:divBdr>
    </w:div>
    <w:div w:id="118744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988</ap:Words>
  <ap:Characters>5440</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2025-03-19T09:03:00.0000000Z</dcterms:created>
  <dcterms:modified xsi:type="dcterms:W3CDTF">2025-03-19T09:03:00.0000000Z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2025-01-31T13:01:14Z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87b690fc-7f42-46db-ba2a-0d374465d653</vt:lpwstr>
  </property>
  <property fmtid="{D5CDD505-2E9C-101B-9397-08002B2CF9AE}" pid="8" name="MSIP_Label_6800fede-0e59-47ad-af95-4e63bbdb932d_ContentBits">
    <vt:lpwstr>0</vt:lpwstr>
  </property>
</Properties>
</file>