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4A40" w:rsidR="00A411C8" w:rsidP="00654A40" w:rsidRDefault="00A411C8" w14:paraId="0B0885CF" w14:textId="64ADC986">
      <w:pPr>
        <w:spacing w:after="0" w:line="276" w:lineRule="auto"/>
        <w:rPr>
          <w:rFonts w:ascii="Verdana" w:hAnsi="Verdana"/>
          <w:sz w:val="18"/>
          <w:szCs w:val="18"/>
        </w:rPr>
      </w:pPr>
      <w:r w:rsidRPr="00654A40">
        <w:rPr>
          <w:rFonts w:ascii="Verdana" w:hAnsi="Verdana"/>
          <w:b/>
          <w:bCs/>
          <w:sz w:val="18"/>
          <w:szCs w:val="18"/>
        </w:rPr>
        <w:t xml:space="preserve">Bijlage: Onderbouwing en </w:t>
      </w:r>
      <w:r w:rsidR="0058084B">
        <w:rPr>
          <w:rFonts w:ascii="Verdana" w:hAnsi="Verdana"/>
          <w:b/>
          <w:bCs/>
          <w:sz w:val="18"/>
          <w:szCs w:val="18"/>
        </w:rPr>
        <w:t>e</w:t>
      </w:r>
      <w:r w:rsidRPr="00654A40">
        <w:rPr>
          <w:rFonts w:ascii="Verdana" w:hAnsi="Verdana"/>
          <w:b/>
          <w:bCs/>
          <w:sz w:val="18"/>
          <w:szCs w:val="18"/>
        </w:rPr>
        <w:t xml:space="preserve">valuatie van het voorstel </w:t>
      </w:r>
      <w:r w:rsidR="0058084B">
        <w:rPr>
          <w:rFonts w:ascii="Verdana" w:hAnsi="Verdana"/>
          <w:b/>
          <w:bCs/>
          <w:sz w:val="18"/>
          <w:szCs w:val="18"/>
        </w:rPr>
        <w:t xml:space="preserve">voor een </w:t>
      </w:r>
      <w:r w:rsidR="006943C1">
        <w:rPr>
          <w:rFonts w:ascii="Verdana" w:hAnsi="Verdana"/>
          <w:b/>
          <w:bCs/>
          <w:sz w:val="18"/>
          <w:szCs w:val="18"/>
        </w:rPr>
        <w:t xml:space="preserve">aanvullende </w:t>
      </w:r>
      <w:r w:rsidR="0058084B">
        <w:rPr>
          <w:rFonts w:ascii="Verdana" w:hAnsi="Verdana"/>
          <w:b/>
          <w:bCs/>
          <w:sz w:val="18"/>
          <w:szCs w:val="18"/>
        </w:rPr>
        <w:t xml:space="preserve">kapitaalstorting aan </w:t>
      </w:r>
      <w:proofErr w:type="spellStart"/>
      <w:r w:rsidR="0058084B">
        <w:rPr>
          <w:rFonts w:ascii="Verdana" w:hAnsi="Verdana"/>
          <w:b/>
          <w:bCs/>
          <w:sz w:val="18"/>
          <w:szCs w:val="18"/>
        </w:rPr>
        <w:t>Invest</w:t>
      </w:r>
      <w:proofErr w:type="spellEnd"/>
      <w:r w:rsidR="0058084B">
        <w:rPr>
          <w:rFonts w:ascii="Verdana" w:hAnsi="Verdana"/>
          <w:b/>
          <w:bCs/>
          <w:sz w:val="18"/>
          <w:szCs w:val="18"/>
        </w:rPr>
        <w:t xml:space="preserve">-NL in 2027-2029 </w:t>
      </w:r>
      <w:r w:rsidRPr="00654A40">
        <w:rPr>
          <w:rFonts w:ascii="Verdana" w:hAnsi="Verdana"/>
          <w:b/>
          <w:bCs/>
          <w:sz w:val="18"/>
          <w:szCs w:val="18"/>
        </w:rPr>
        <w:t>(CW3.1)</w:t>
      </w:r>
      <w:r w:rsidRPr="00654A40">
        <w:rPr>
          <w:rFonts w:ascii="Verdana" w:hAnsi="Verdana"/>
          <w:sz w:val="18"/>
          <w:szCs w:val="18"/>
        </w:rPr>
        <w:t xml:space="preserve"> </w:t>
      </w:r>
    </w:p>
    <w:p w:rsidRPr="00654A40" w:rsidR="00A411C8" w:rsidP="00654A40" w:rsidRDefault="00A411C8" w14:paraId="111CC187" w14:textId="07AF4E90">
      <w:pPr>
        <w:spacing w:after="0" w:line="276" w:lineRule="auto"/>
        <w:rPr>
          <w:rFonts w:ascii="Verdana" w:hAnsi="Verdana"/>
          <w:sz w:val="18"/>
          <w:szCs w:val="18"/>
        </w:rPr>
      </w:pPr>
      <w:r w:rsidRPr="00654A40">
        <w:rPr>
          <w:rFonts w:ascii="Verdana" w:hAnsi="Verdana"/>
          <w:sz w:val="18"/>
          <w:szCs w:val="18"/>
        </w:rPr>
        <w:t xml:space="preserve">Op basis van Artikel 3.1 in de Comptabiliteitswet wordt bij voorstellen een toelichting verwacht op nagestreefde doelstellingen, doeltreffendheid, doelmatigheid, ingezette beleidsinstrumenten en financiële gevolgen voor het Rijk en, waar mogelijk, maatschappelijke sectoren. In onderstaande overzicht is de nadere toelichting opgenomen met betrekking tot de versterking van </w:t>
      </w:r>
      <w:proofErr w:type="spellStart"/>
      <w:r w:rsidRPr="00654A40">
        <w:rPr>
          <w:rFonts w:ascii="Verdana" w:hAnsi="Verdana"/>
          <w:sz w:val="18"/>
          <w:szCs w:val="18"/>
        </w:rPr>
        <w:t>Invest</w:t>
      </w:r>
      <w:proofErr w:type="spellEnd"/>
      <w:r w:rsidRPr="00654A40">
        <w:rPr>
          <w:rFonts w:ascii="Verdana" w:hAnsi="Verdana"/>
          <w:sz w:val="18"/>
          <w:szCs w:val="18"/>
        </w:rPr>
        <w:t>-NL.</w:t>
      </w:r>
    </w:p>
    <w:tbl>
      <w:tblPr>
        <w:tblStyle w:val="Tabelraster"/>
        <w:tblpPr w:leftFromText="141" w:rightFromText="141" w:horzAnchor="margin" w:tblpY="2062"/>
        <w:tblW w:w="0" w:type="auto"/>
        <w:tblLook w:val="04A0" w:firstRow="1" w:lastRow="0" w:firstColumn="1" w:lastColumn="0" w:noHBand="0" w:noVBand="1"/>
      </w:tblPr>
      <w:tblGrid>
        <w:gridCol w:w="2681"/>
        <w:gridCol w:w="6336"/>
      </w:tblGrid>
      <w:tr w:rsidRPr="00654A40" w:rsidR="00A411C8" w:rsidTr="00A411C8" w14:paraId="0C85BE67" w14:textId="77777777">
        <w:tc>
          <w:tcPr>
            <w:tcW w:w="2681" w:type="dxa"/>
            <w:shd w:val="clear" w:color="auto" w:fill="262626" w:themeFill="text1" w:themeFillTint="D9"/>
          </w:tcPr>
          <w:p w:rsidRPr="00654A40" w:rsidR="00A411C8" w:rsidP="00654A40" w:rsidRDefault="00A411C8" w14:paraId="715E70AB" w14:textId="77777777">
            <w:pPr>
              <w:pStyle w:val="Geenafstand"/>
              <w:spacing w:line="276" w:lineRule="auto"/>
              <w:rPr>
                <w:rFonts w:ascii="Verdana" w:hAnsi="Verdana"/>
                <w:b/>
                <w:bCs/>
                <w:sz w:val="18"/>
                <w:szCs w:val="18"/>
              </w:rPr>
            </w:pPr>
            <w:bookmarkStart w:name="_Hlk173939277" w:id="0"/>
            <w:r w:rsidRPr="00654A40">
              <w:rPr>
                <w:rFonts w:ascii="Verdana" w:hAnsi="Verdana"/>
                <w:b/>
                <w:bCs/>
                <w:sz w:val="18"/>
                <w:szCs w:val="18"/>
              </w:rPr>
              <w:t>Onderdeel</w:t>
            </w:r>
          </w:p>
        </w:tc>
        <w:tc>
          <w:tcPr>
            <w:tcW w:w="6336" w:type="dxa"/>
            <w:shd w:val="clear" w:color="auto" w:fill="262626" w:themeFill="text1" w:themeFillTint="D9"/>
          </w:tcPr>
          <w:p w:rsidRPr="00654A40" w:rsidR="00A411C8" w:rsidP="00654A40" w:rsidRDefault="00A411C8" w14:paraId="1CA54CF3" w14:textId="6C5E80D5">
            <w:pPr>
              <w:pStyle w:val="Geenafstand"/>
              <w:spacing w:line="276" w:lineRule="auto"/>
              <w:rPr>
                <w:rFonts w:ascii="Verdana" w:hAnsi="Verdana"/>
                <w:b/>
                <w:bCs/>
                <w:sz w:val="18"/>
                <w:szCs w:val="18"/>
              </w:rPr>
            </w:pPr>
            <w:r w:rsidRPr="00654A40">
              <w:rPr>
                <w:rFonts w:ascii="Verdana" w:hAnsi="Verdana"/>
                <w:b/>
                <w:bCs/>
                <w:sz w:val="18"/>
                <w:szCs w:val="18"/>
              </w:rPr>
              <w:t>Toelichting</w:t>
            </w:r>
          </w:p>
        </w:tc>
      </w:tr>
      <w:tr w:rsidRPr="00654A40" w:rsidR="00A411C8" w:rsidTr="00A411C8" w14:paraId="10A5AB0A" w14:textId="77777777">
        <w:tc>
          <w:tcPr>
            <w:tcW w:w="2681" w:type="dxa"/>
            <w:shd w:val="clear" w:color="auto" w:fill="767171" w:themeFill="background2" w:themeFillShade="80"/>
          </w:tcPr>
          <w:p w:rsidRPr="00654A40" w:rsidR="00A411C8" w:rsidP="00654A40" w:rsidRDefault="00A411C8" w14:paraId="01E62AC5" w14:textId="0920C992">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Nagestreefde doelen</w:t>
            </w:r>
          </w:p>
        </w:tc>
        <w:tc>
          <w:tcPr>
            <w:tcW w:w="6336" w:type="dxa"/>
            <w:shd w:val="clear" w:color="auto" w:fill="D0CECE" w:themeFill="background2" w:themeFillShade="E6"/>
          </w:tcPr>
          <w:p w:rsidRPr="00654A40" w:rsidR="00A411C8" w:rsidP="00654A40" w:rsidRDefault="00A411C8" w14:paraId="72D1DC38" w14:textId="59B3BDF5">
            <w:pPr>
              <w:spacing w:line="276" w:lineRule="auto"/>
              <w:textAlignment w:val="baseline"/>
              <w:rPr>
                <w:rFonts w:ascii="Verdana" w:hAnsi="Verdana"/>
                <w:sz w:val="18"/>
                <w:szCs w:val="18"/>
                <w:u w:val="single"/>
              </w:rPr>
            </w:pPr>
            <w:r w:rsidRPr="00654A40">
              <w:rPr>
                <w:rFonts w:ascii="Verdana" w:hAnsi="Verdana"/>
                <w:sz w:val="18"/>
                <w:szCs w:val="18"/>
                <w:u w:val="single"/>
              </w:rPr>
              <w:t>Aanleiding</w:t>
            </w:r>
          </w:p>
          <w:p w:rsidRPr="00654A40" w:rsidR="00FD3842" w:rsidP="00654A40" w:rsidRDefault="0081206E" w14:paraId="75F04FCF" w14:textId="493292FC">
            <w:pPr>
              <w:pStyle w:val="Lijstalinea"/>
              <w:numPr>
                <w:ilvl w:val="0"/>
                <w:numId w:val="5"/>
              </w:numPr>
              <w:spacing w:line="276" w:lineRule="auto"/>
              <w:textAlignment w:val="baseline"/>
              <w:rPr>
                <w:rFonts w:ascii="Verdana" w:hAnsi="Verdana"/>
                <w:sz w:val="18"/>
                <w:szCs w:val="18"/>
              </w:rPr>
            </w:pPr>
            <w:r w:rsidRPr="00654A40">
              <w:rPr>
                <w:rFonts w:ascii="Verdana" w:hAnsi="Verdana"/>
                <w:sz w:val="18"/>
                <w:szCs w:val="18"/>
              </w:rPr>
              <w:t xml:space="preserve">Hoofdlijnenakkoord (HLA), p.25: </w:t>
            </w:r>
            <w:r w:rsidRPr="00654A40" w:rsidR="00A411C8">
              <w:rPr>
                <w:rFonts w:ascii="Verdana" w:hAnsi="Verdana"/>
                <w:sz w:val="18"/>
                <w:szCs w:val="18"/>
              </w:rPr>
              <w:t>“</w:t>
            </w:r>
            <w:proofErr w:type="spellStart"/>
            <w:r w:rsidRPr="00654A40" w:rsidR="00A411C8">
              <w:rPr>
                <w:rFonts w:ascii="Verdana" w:hAnsi="Verdana"/>
                <w:sz w:val="18"/>
                <w:szCs w:val="18"/>
              </w:rPr>
              <w:t>Invest</w:t>
            </w:r>
            <w:proofErr w:type="spellEnd"/>
            <w:r w:rsidRPr="00654A40" w:rsidR="00A411C8">
              <w:rPr>
                <w:rFonts w:ascii="Verdana" w:hAnsi="Verdana"/>
                <w:sz w:val="18"/>
                <w:szCs w:val="18"/>
              </w:rPr>
              <w:t>-NL wordt verstevigd als belangrijk vehikel voor investeringen in innovatie en in de potentie van onze economie”. Daarnaast is in juni het Interdepartementaal Beleidsonderzoek Bedrijfsfinanciering (IBO) aangeboden aan de Tweede Kamer</w:t>
            </w:r>
            <w:r w:rsidR="006D3168">
              <w:rPr>
                <w:rFonts w:ascii="Verdana" w:hAnsi="Verdana"/>
                <w:sz w:val="18"/>
                <w:szCs w:val="18"/>
              </w:rPr>
              <w:t xml:space="preserve"> en is in de kabinetsreactie een rol voor </w:t>
            </w:r>
            <w:proofErr w:type="spellStart"/>
            <w:r w:rsidR="006D3168">
              <w:rPr>
                <w:rFonts w:ascii="Verdana" w:hAnsi="Verdana"/>
                <w:sz w:val="18"/>
                <w:szCs w:val="18"/>
              </w:rPr>
              <w:t>Invest</w:t>
            </w:r>
            <w:proofErr w:type="spellEnd"/>
            <w:r w:rsidR="006D3168">
              <w:rPr>
                <w:rFonts w:ascii="Verdana" w:hAnsi="Verdana"/>
                <w:sz w:val="18"/>
                <w:szCs w:val="18"/>
              </w:rPr>
              <w:t>-NL voor het aanpakken van knelpunten in de financieringsmarkt met aanvullende middelen weggelegd</w:t>
            </w:r>
            <w:r w:rsidRPr="00654A40" w:rsidR="00A411C8">
              <w:rPr>
                <w:rFonts w:ascii="Verdana" w:hAnsi="Verdana"/>
                <w:sz w:val="18"/>
                <w:szCs w:val="18"/>
              </w:rPr>
              <w:t>.</w:t>
            </w:r>
            <w:r w:rsidRPr="00654A40" w:rsidR="00CC1D24">
              <w:rPr>
                <w:rStyle w:val="Voetnootmarkering"/>
                <w:rFonts w:ascii="Verdana" w:hAnsi="Verdana"/>
                <w:sz w:val="18"/>
                <w:szCs w:val="18"/>
              </w:rPr>
              <w:footnoteReference w:id="1"/>
            </w:r>
            <w:r w:rsidRPr="00654A40" w:rsidR="00A411C8">
              <w:rPr>
                <w:rFonts w:ascii="Verdana" w:hAnsi="Verdana"/>
                <w:sz w:val="18"/>
                <w:szCs w:val="18"/>
              </w:rPr>
              <w:t xml:space="preserve"> </w:t>
            </w:r>
          </w:p>
          <w:p w:rsidRPr="00654A40" w:rsidR="0081206E" w:rsidP="00654A40" w:rsidRDefault="00A411C8" w14:paraId="6E8FAA3A" w14:textId="28879F20">
            <w:pPr>
              <w:pStyle w:val="Lijstalinea"/>
              <w:numPr>
                <w:ilvl w:val="0"/>
                <w:numId w:val="5"/>
              </w:numPr>
              <w:spacing w:line="276" w:lineRule="auto"/>
              <w:textAlignment w:val="baseline"/>
              <w:rPr>
                <w:rFonts w:ascii="Verdana" w:hAnsi="Verdana"/>
                <w:sz w:val="18"/>
                <w:szCs w:val="18"/>
              </w:rPr>
            </w:pPr>
            <w:r w:rsidRPr="00654A40">
              <w:rPr>
                <w:rFonts w:ascii="Verdana" w:hAnsi="Verdana"/>
                <w:sz w:val="18"/>
                <w:szCs w:val="18"/>
              </w:rPr>
              <w:t xml:space="preserve">Zowel het HLA als het IBO roepen op tot het vergroten van de slagkracht van </w:t>
            </w:r>
            <w:proofErr w:type="spellStart"/>
            <w:r w:rsidRPr="00654A40">
              <w:rPr>
                <w:rFonts w:ascii="Verdana" w:hAnsi="Verdana"/>
                <w:sz w:val="18"/>
                <w:szCs w:val="18"/>
              </w:rPr>
              <w:t>Invest</w:t>
            </w:r>
            <w:proofErr w:type="spellEnd"/>
            <w:r w:rsidRPr="00654A40">
              <w:rPr>
                <w:rFonts w:ascii="Verdana" w:hAnsi="Verdana"/>
                <w:sz w:val="18"/>
                <w:szCs w:val="18"/>
              </w:rPr>
              <w:t xml:space="preserve">-NL. </w:t>
            </w:r>
          </w:p>
          <w:p w:rsidRPr="00654A40" w:rsidR="00A411C8" w:rsidP="00654A40" w:rsidRDefault="00A411C8" w14:paraId="16120515" w14:textId="7919D1B9">
            <w:pPr>
              <w:pStyle w:val="Lijstalinea"/>
              <w:numPr>
                <w:ilvl w:val="0"/>
                <w:numId w:val="5"/>
              </w:numPr>
              <w:spacing w:line="276" w:lineRule="auto"/>
              <w:textAlignment w:val="baseline"/>
              <w:rPr>
                <w:rFonts w:ascii="Verdana" w:hAnsi="Verdana"/>
                <w:sz w:val="18"/>
                <w:szCs w:val="18"/>
              </w:rPr>
            </w:pPr>
            <w:r w:rsidRPr="00654A40">
              <w:rPr>
                <w:rFonts w:ascii="Verdana" w:hAnsi="Verdana"/>
                <w:sz w:val="18"/>
                <w:szCs w:val="18"/>
              </w:rPr>
              <w:t xml:space="preserve">Met de versterking van </w:t>
            </w:r>
            <w:proofErr w:type="spellStart"/>
            <w:r w:rsidRPr="00654A40">
              <w:rPr>
                <w:rFonts w:ascii="Verdana" w:hAnsi="Verdana"/>
                <w:sz w:val="18"/>
                <w:szCs w:val="18"/>
              </w:rPr>
              <w:t>Invest</w:t>
            </w:r>
            <w:proofErr w:type="spellEnd"/>
            <w:r w:rsidRPr="00654A40">
              <w:rPr>
                <w:rFonts w:ascii="Verdana" w:hAnsi="Verdana"/>
                <w:sz w:val="18"/>
                <w:szCs w:val="18"/>
              </w:rPr>
              <w:t xml:space="preserve">-NL wordt beoogd een bijdrage te leveren aan de benoemde doelstellingen uit het HLA en het oplossen van de knelpunten uit het IBO. </w:t>
            </w:r>
          </w:p>
          <w:p w:rsidRPr="00654A40" w:rsidR="00A411C8" w:rsidP="00654A40" w:rsidRDefault="00A411C8" w14:paraId="4C59C6F4" w14:textId="77777777">
            <w:pPr>
              <w:spacing w:line="276" w:lineRule="auto"/>
              <w:textAlignment w:val="baseline"/>
              <w:rPr>
                <w:rFonts w:ascii="Verdana" w:hAnsi="Verdana"/>
                <w:sz w:val="18"/>
                <w:szCs w:val="18"/>
              </w:rPr>
            </w:pPr>
          </w:p>
          <w:p w:rsidRPr="00654A40" w:rsidR="00A411C8" w:rsidP="00654A40" w:rsidRDefault="00A411C8" w14:paraId="2B324DB1" w14:textId="338323FA">
            <w:pPr>
              <w:spacing w:line="276" w:lineRule="auto"/>
              <w:textAlignment w:val="baseline"/>
              <w:rPr>
                <w:rFonts w:ascii="Verdana" w:hAnsi="Verdana"/>
                <w:sz w:val="18"/>
                <w:szCs w:val="18"/>
                <w:u w:val="single"/>
              </w:rPr>
            </w:pPr>
            <w:r w:rsidRPr="00654A40">
              <w:rPr>
                <w:rFonts w:ascii="Verdana" w:hAnsi="Verdana"/>
                <w:sz w:val="18"/>
                <w:szCs w:val="18"/>
                <w:u w:val="single"/>
              </w:rPr>
              <w:t xml:space="preserve">Doelstelling </w:t>
            </w:r>
            <w:proofErr w:type="spellStart"/>
            <w:r w:rsidR="001E2A78">
              <w:rPr>
                <w:rFonts w:ascii="Verdana" w:hAnsi="Verdana"/>
                <w:sz w:val="18"/>
                <w:szCs w:val="18"/>
                <w:u w:val="single"/>
              </w:rPr>
              <w:t>Invest</w:t>
            </w:r>
            <w:proofErr w:type="spellEnd"/>
            <w:r w:rsidR="001E2A78">
              <w:rPr>
                <w:rFonts w:ascii="Verdana" w:hAnsi="Verdana"/>
                <w:sz w:val="18"/>
                <w:szCs w:val="18"/>
                <w:u w:val="single"/>
              </w:rPr>
              <w:t>-NL</w:t>
            </w:r>
          </w:p>
          <w:p w:rsidRPr="00654A40" w:rsidR="00A411C8" w:rsidP="00654A40" w:rsidRDefault="00A411C8" w14:paraId="79069058" w14:textId="46C0909B">
            <w:pPr>
              <w:spacing w:line="276" w:lineRule="auto"/>
              <w:textAlignment w:val="baseline"/>
              <w:rPr>
                <w:rFonts w:ascii="Verdana" w:hAnsi="Verdana"/>
                <w:sz w:val="18"/>
                <w:szCs w:val="18"/>
              </w:rPr>
            </w:pPr>
            <w:r w:rsidRPr="00654A40">
              <w:rPr>
                <w:rFonts w:ascii="Verdana" w:hAnsi="Verdana"/>
                <w:sz w:val="18"/>
                <w:szCs w:val="18"/>
              </w:rPr>
              <w:t xml:space="preserve">Hoofddoelstelling is het behalen van een duurzame en maatschappelijk verantwoorde welvaarts- en productiviteitsgroei en brede welvaart. Dit kan behaald worden door een versnelling van innovatie en transities binnen een uitmuntend ondernemings- en vestigingsklimaat. </w:t>
            </w:r>
            <w:r w:rsidRPr="00654A40" w:rsidR="00FD3842">
              <w:rPr>
                <w:rFonts w:ascii="Verdana" w:hAnsi="Verdana"/>
                <w:sz w:val="18"/>
                <w:szCs w:val="18"/>
              </w:rPr>
              <w:t xml:space="preserve">Om dit te behalen is </w:t>
            </w:r>
            <w:r w:rsidRPr="00654A40">
              <w:rPr>
                <w:rFonts w:ascii="Verdana" w:hAnsi="Verdana"/>
                <w:sz w:val="18"/>
                <w:szCs w:val="18"/>
              </w:rPr>
              <w:t xml:space="preserve">het belangrijk te investeren in de economie met de ambitie om het Nederlandse bedrijfsleven inventief, maatschappelijk betrokken en toekomstbestending te maken. Startups en </w:t>
            </w:r>
            <w:proofErr w:type="spellStart"/>
            <w:r w:rsidRPr="00654A40">
              <w:rPr>
                <w:rFonts w:ascii="Verdana" w:hAnsi="Verdana"/>
                <w:sz w:val="18"/>
                <w:szCs w:val="18"/>
              </w:rPr>
              <w:t>scaleups</w:t>
            </w:r>
            <w:proofErr w:type="spellEnd"/>
            <w:r w:rsidRPr="00654A40">
              <w:rPr>
                <w:rFonts w:ascii="Verdana" w:hAnsi="Verdana"/>
                <w:sz w:val="18"/>
                <w:szCs w:val="18"/>
              </w:rPr>
              <w:t xml:space="preserve"> zijn immers een belangrijke motor voor het laten groeien van innovaties en het creëren van oplossingen voor maatschappelijke uitdagingen (transities). Ontwikkeling van nieuwe verdienmodellen en comparatieve voordelen voor zulke transities kunnen de benodigde innovaties aanjagen. Om deze bedrijven te kunnen laten groeien is optimale toegang tot financiering met een effectief kapitaalmarktinstrumentarium van belang. </w:t>
            </w:r>
          </w:p>
          <w:p w:rsidRPr="00654A40" w:rsidR="00A411C8" w:rsidP="00654A40" w:rsidRDefault="00A411C8" w14:paraId="46D9750D" w14:textId="77777777">
            <w:pPr>
              <w:spacing w:line="276" w:lineRule="auto"/>
              <w:textAlignment w:val="baseline"/>
              <w:rPr>
                <w:rFonts w:ascii="Verdana" w:hAnsi="Verdana"/>
                <w:sz w:val="18"/>
                <w:szCs w:val="18"/>
              </w:rPr>
            </w:pPr>
          </w:p>
          <w:p w:rsidRPr="00654A40" w:rsidR="00A411C8" w:rsidP="00654A40" w:rsidRDefault="00A411C8" w14:paraId="1F6C3EA7" w14:textId="5F8B3CD7">
            <w:pPr>
              <w:spacing w:line="276" w:lineRule="auto"/>
              <w:textAlignment w:val="baseline"/>
              <w:rPr>
                <w:rFonts w:ascii="Verdana" w:hAnsi="Verdana"/>
                <w:sz w:val="18"/>
                <w:szCs w:val="18"/>
                <w:u w:val="single"/>
              </w:rPr>
            </w:pPr>
            <w:r w:rsidRPr="00654A40">
              <w:rPr>
                <w:rFonts w:ascii="Verdana" w:hAnsi="Verdana"/>
                <w:sz w:val="18"/>
                <w:szCs w:val="18"/>
                <w:u w:val="single"/>
              </w:rPr>
              <w:t>Voorstel</w:t>
            </w:r>
          </w:p>
          <w:p w:rsidRPr="00654A40" w:rsidR="00FD3842" w:rsidP="00654A40" w:rsidRDefault="00A411C8" w14:paraId="60EC351E" w14:textId="739DAD18">
            <w:pPr>
              <w:spacing w:line="276" w:lineRule="auto"/>
              <w:textAlignment w:val="baseline"/>
              <w:rPr>
                <w:rFonts w:ascii="Verdana" w:hAnsi="Verdana"/>
                <w:sz w:val="18"/>
                <w:szCs w:val="18"/>
              </w:rPr>
            </w:pPr>
            <w:r w:rsidRPr="00654A40">
              <w:rPr>
                <w:rFonts w:ascii="Verdana" w:hAnsi="Verdana"/>
                <w:sz w:val="18"/>
                <w:szCs w:val="18"/>
              </w:rPr>
              <w:t xml:space="preserve">Om bovenstaande doelstellingen te behalen en de bijbehorende knelpunten op te lossen wordt het volgende voorgesteld voor de invulling van de </w:t>
            </w:r>
            <w:r w:rsidRPr="00654A40" w:rsidR="00FD3842">
              <w:rPr>
                <w:rFonts w:ascii="Verdana" w:hAnsi="Verdana"/>
                <w:sz w:val="18"/>
                <w:szCs w:val="18"/>
              </w:rPr>
              <w:t xml:space="preserve">aanvullende middelen uit het HLA voor </w:t>
            </w:r>
            <w:proofErr w:type="spellStart"/>
            <w:r w:rsidRPr="00654A40" w:rsidR="00FD3842">
              <w:rPr>
                <w:rFonts w:ascii="Verdana" w:hAnsi="Verdana"/>
                <w:sz w:val="18"/>
                <w:szCs w:val="18"/>
              </w:rPr>
              <w:t>Invest</w:t>
            </w:r>
            <w:proofErr w:type="spellEnd"/>
            <w:r w:rsidRPr="00654A40" w:rsidR="00FD3842">
              <w:rPr>
                <w:rFonts w:ascii="Verdana" w:hAnsi="Verdana"/>
                <w:sz w:val="18"/>
                <w:szCs w:val="18"/>
              </w:rPr>
              <w:t>-NL:</w:t>
            </w:r>
          </w:p>
          <w:tbl>
            <w:tblPr>
              <w:tblW w:w="0" w:type="auto"/>
              <w:tblCellMar>
                <w:left w:w="0" w:type="dxa"/>
                <w:right w:w="0" w:type="dxa"/>
              </w:tblCellMar>
              <w:tblLook w:val="04A0" w:firstRow="1" w:lastRow="0" w:firstColumn="1" w:lastColumn="0" w:noHBand="0" w:noVBand="1"/>
            </w:tblPr>
            <w:tblGrid>
              <w:gridCol w:w="2490"/>
              <w:gridCol w:w="588"/>
              <w:gridCol w:w="589"/>
              <w:gridCol w:w="588"/>
              <w:gridCol w:w="589"/>
              <w:gridCol w:w="598"/>
              <w:gridCol w:w="648"/>
            </w:tblGrid>
            <w:tr w:rsidRPr="00654A40" w:rsidR="00CC1D24" w:rsidTr="00E00486" w14:paraId="53516E8A" w14:textId="77777777">
              <w:tc>
                <w:tcPr>
                  <w:tcW w:w="2490" w:type="dxa"/>
                  <w:tcBorders>
                    <w:top w:val="single" w:color="000000" w:sz="12" w:space="0"/>
                    <w:left w:val="single" w:color="000000" w:sz="12" w:space="0"/>
                    <w:bottom w:val="single" w:color="000000" w:sz="12" w:space="0"/>
                    <w:right w:val="single" w:color="auto" w:sz="8" w:space="0"/>
                  </w:tcBorders>
                  <w:hideMark/>
                </w:tcPr>
                <w:p w:rsidRPr="00654A40" w:rsidR="00FD3842" w:rsidP="00F74EE4" w:rsidRDefault="00FD3842" w14:paraId="02D20D4F" w14:textId="77777777">
                  <w:pPr>
                    <w:framePr w:hSpace="141" w:wrap="around" w:hAnchor="margin" w:y="2062"/>
                    <w:spacing w:after="0" w:line="276" w:lineRule="auto"/>
                    <w:rPr>
                      <w:rFonts w:ascii="Verdana" w:hAnsi="Verdana"/>
                      <w:i/>
                      <w:iCs/>
                      <w:sz w:val="18"/>
                      <w:szCs w:val="18"/>
                    </w:rPr>
                  </w:pPr>
                  <w:r w:rsidRPr="00654A40">
                    <w:rPr>
                      <w:rFonts w:ascii="Verdana" w:hAnsi="Verdana"/>
                      <w:i/>
                      <w:iCs/>
                      <w:sz w:val="18"/>
                      <w:szCs w:val="18"/>
                    </w:rPr>
                    <w:t>In € mln.</w:t>
                  </w:r>
                </w:p>
              </w:tc>
              <w:tc>
                <w:tcPr>
                  <w:tcW w:w="588" w:type="dxa"/>
                  <w:tcBorders>
                    <w:top w:val="single" w:color="000000" w:sz="12" w:space="0"/>
                    <w:left w:val="nil"/>
                    <w:bottom w:val="single" w:color="000000" w:sz="12" w:space="0"/>
                    <w:right w:val="single" w:color="auto" w:sz="8" w:space="0"/>
                  </w:tcBorders>
                  <w:hideMark/>
                </w:tcPr>
                <w:p w:rsidRPr="00654A40" w:rsidR="00FD3842" w:rsidP="00F74EE4" w:rsidRDefault="00FD3842" w14:paraId="4F554379" w14:textId="77777777">
                  <w:pPr>
                    <w:framePr w:hSpace="141" w:wrap="around" w:hAnchor="margin" w:y="2062"/>
                    <w:autoSpaceDN w:val="0"/>
                    <w:spacing w:after="0" w:line="276" w:lineRule="auto"/>
                    <w:rPr>
                      <w:rFonts w:ascii="Verdana" w:hAnsi="Verdana"/>
                      <w:color w:val="000000"/>
                      <w:sz w:val="18"/>
                      <w:szCs w:val="18"/>
                    </w:rPr>
                  </w:pPr>
                  <w:r w:rsidRPr="00654A40">
                    <w:rPr>
                      <w:rFonts w:ascii="Verdana" w:hAnsi="Verdana"/>
                      <w:color w:val="000000"/>
                      <w:sz w:val="18"/>
                      <w:szCs w:val="18"/>
                    </w:rPr>
                    <w:t>2025</w:t>
                  </w:r>
                </w:p>
              </w:tc>
              <w:tc>
                <w:tcPr>
                  <w:tcW w:w="589" w:type="dxa"/>
                  <w:tcBorders>
                    <w:top w:val="single" w:color="000000" w:sz="12" w:space="0"/>
                    <w:left w:val="nil"/>
                    <w:bottom w:val="single" w:color="000000" w:sz="12" w:space="0"/>
                    <w:right w:val="single" w:color="auto" w:sz="8" w:space="0"/>
                  </w:tcBorders>
                  <w:hideMark/>
                </w:tcPr>
                <w:p w:rsidRPr="00654A40" w:rsidR="00FD3842" w:rsidP="00F74EE4" w:rsidRDefault="00FD3842" w14:paraId="150A6682" w14:textId="77777777">
                  <w:pPr>
                    <w:framePr w:hSpace="141" w:wrap="around" w:hAnchor="margin" w:y="2062"/>
                    <w:autoSpaceDN w:val="0"/>
                    <w:spacing w:after="0" w:line="276" w:lineRule="auto"/>
                    <w:rPr>
                      <w:rFonts w:ascii="Verdana" w:hAnsi="Verdana"/>
                      <w:color w:val="000000"/>
                      <w:sz w:val="18"/>
                      <w:szCs w:val="18"/>
                    </w:rPr>
                  </w:pPr>
                  <w:r w:rsidRPr="00654A40">
                    <w:rPr>
                      <w:rFonts w:ascii="Verdana" w:hAnsi="Verdana"/>
                      <w:color w:val="000000"/>
                      <w:sz w:val="18"/>
                      <w:szCs w:val="18"/>
                    </w:rPr>
                    <w:t>2026</w:t>
                  </w:r>
                </w:p>
              </w:tc>
              <w:tc>
                <w:tcPr>
                  <w:tcW w:w="588" w:type="dxa"/>
                  <w:tcBorders>
                    <w:top w:val="single" w:color="000000" w:sz="12" w:space="0"/>
                    <w:left w:val="nil"/>
                    <w:bottom w:val="single" w:color="000000" w:sz="12" w:space="0"/>
                    <w:right w:val="single" w:color="auto" w:sz="8" w:space="0"/>
                  </w:tcBorders>
                  <w:hideMark/>
                </w:tcPr>
                <w:p w:rsidRPr="00654A40" w:rsidR="00FD3842" w:rsidP="00F74EE4" w:rsidRDefault="00FD3842" w14:paraId="4B0B42C5" w14:textId="77777777">
                  <w:pPr>
                    <w:framePr w:hSpace="141" w:wrap="around" w:hAnchor="margin" w:y="2062"/>
                    <w:autoSpaceDN w:val="0"/>
                    <w:spacing w:after="0" w:line="276" w:lineRule="auto"/>
                    <w:rPr>
                      <w:rFonts w:ascii="Verdana" w:hAnsi="Verdana"/>
                      <w:color w:val="000000"/>
                      <w:sz w:val="18"/>
                      <w:szCs w:val="18"/>
                    </w:rPr>
                  </w:pPr>
                  <w:r w:rsidRPr="00654A40">
                    <w:rPr>
                      <w:rFonts w:ascii="Verdana" w:hAnsi="Verdana"/>
                      <w:color w:val="000000"/>
                      <w:sz w:val="18"/>
                      <w:szCs w:val="18"/>
                    </w:rPr>
                    <w:t>2027</w:t>
                  </w:r>
                </w:p>
              </w:tc>
              <w:tc>
                <w:tcPr>
                  <w:tcW w:w="589" w:type="dxa"/>
                  <w:tcBorders>
                    <w:top w:val="single" w:color="000000" w:sz="12" w:space="0"/>
                    <w:left w:val="nil"/>
                    <w:bottom w:val="single" w:color="000000" w:sz="12" w:space="0"/>
                    <w:right w:val="single" w:color="auto" w:sz="8" w:space="0"/>
                  </w:tcBorders>
                  <w:hideMark/>
                </w:tcPr>
                <w:p w:rsidRPr="00654A40" w:rsidR="00FD3842" w:rsidP="00F74EE4" w:rsidRDefault="00FD3842" w14:paraId="0A0D6C97" w14:textId="77777777">
                  <w:pPr>
                    <w:framePr w:hSpace="141" w:wrap="around" w:hAnchor="margin" w:y="2062"/>
                    <w:autoSpaceDN w:val="0"/>
                    <w:spacing w:after="0" w:line="276" w:lineRule="auto"/>
                    <w:rPr>
                      <w:rFonts w:ascii="Verdana" w:hAnsi="Verdana"/>
                      <w:color w:val="000000"/>
                      <w:sz w:val="18"/>
                      <w:szCs w:val="18"/>
                    </w:rPr>
                  </w:pPr>
                  <w:r w:rsidRPr="00654A40">
                    <w:rPr>
                      <w:rFonts w:ascii="Verdana" w:hAnsi="Verdana"/>
                      <w:color w:val="000000"/>
                      <w:sz w:val="18"/>
                      <w:szCs w:val="18"/>
                    </w:rPr>
                    <w:t>2028</w:t>
                  </w:r>
                </w:p>
              </w:tc>
              <w:tc>
                <w:tcPr>
                  <w:tcW w:w="598" w:type="dxa"/>
                  <w:tcBorders>
                    <w:top w:val="single" w:color="000000" w:sz="12" w:space="0"/>
                    <w:left w:val="nil"/>
                    <w:bottom w:val="single" w:color="000000" w:sz="12" w:space="0"/>
                    <w:right w:val="single" w:color="auto" w:sz="8" w:space="0"/>
                  </w:tcBorders>
                  <w:hideMark/>
                </w:tcPr>
                <w:p w:rsidRPr="00654A40" w:rsidR="00FD3842" w:rsidP="00F74EE4" w:rsidRDefault="00FD3842" w14:paraId="400B9B59" w14:textId="77777777">
                  <w:pPr>
                    <w:framePr w:hSpace="141" w:wrap="around" w:hAnchor="margin" w:y="2062"/>
                    <w:autoSpaceDN w:val="0"/>
                    <w:spacing w:after="0" w:line="276" w:lineRule="auto"/>
                    <w:rPr>
                      <w:rFonts w:ascii="Verdana" w:hAnsi="Verdana"/>
                      <w:color w:val="000000"/>
                      <w:sz w:val="18"/>
                      <w:szCs w:val="18"/>
                    </w:rPr>
                  </w:pPr>
                  <w:r w:rsidRPr="00654A40">
                    <w:rPr>
                      <w:rFonts w:ascii="Verdana" w:hAnsi="Verdana"/>
                      <w:color w:val="000000"/>
                      <w:sz w:val="18"/>
                      <w:szCs w:val="18"/>
                    </w:rPr>
                    <w:t>2029</w:t>
                  </w:r>
                </w:p>
              </w:tc>
              <w:tc>
                <w:tcPr>
                  <w:tcW w:w="648" w:type="dxa"/>
                  <w:tcBorders>
                    <w:top w:val="single" w:color="000000" w:sz="12" w:space="0"/>
                    <w:left w:val="nil"/>
                    <w:bottom w:val="single" w:color="000000" w:sz="12" w:space="0"/>
                    <w:right w:val="single" w:color="000000" w:sz="12" w:space="0"/>
                  </w:tcBorders>
                  <w:hideMark/>
                </w:tcPr>
                <w:p w:rsidRPr="00654A40" w:rsidR="00FD3842" w:rsidP="00F74EE4" w:rsidRDefault="00FD3842" w14:paraId="18536B8B" w14:textId="77777777">
                  <w:pPr>
                    <w:framePr w:hSpace="141" w:wrap="around" w:hAnchor="margin" w:y="2062"/>
                    <w:autoSpaceDN w:val="0"/>
                    <w:spacing w:after="0" w:line="276" w:lineRule="auto"/>
                    <w:rPr>
                      <w:rFonts w:ascii="Verdana" w:hAnsi="Verdana"/>
                      <w:b/>
                      <w:bCs/>
                      <w:color w:val="000000"/>
                      <w:sz w:val="18"/>
                      <w:szCs w:val="18"/>
                    </w:rPr>
                  </w:pPr>
                  <w:r w:rsidRPr="00654A40">
                    <w:rPr>
                      <w:rFonts w:ascii="Verdana" w:hAnsi="Verdana"/>
                      <w:b/>
                      <w:bCs/>
                      <w:color w:val="000000"/>
                      <w:sz w:val="18"/>
                      <w:szCs w:val="18"/>
                    </w:rPr>
                    <w:t>Totaal</w:t>
                  </w:r>
                </w:p>
              </w:tc>
            </w:tr>
            <w:tr w:rsidRPr="00654A40" w:rsidR="00CC1D24" w:rsidTr="00E00486" w14:paraId="2422CE7E" w14:textId="77777777">
              <w:tc>
                <w:tcPr>
                  <w:tcW w:w="2490" w:type="dxa"/>
                  <w:tcBorders>
                    <w:top w:val="nil"/>
                    <w:left w:val="single" w:color="000000" w:sz="12" w:space="0"/>
                    <w:bottom w:val="single" w:color="000000" w:sz="8" w:space="0"/>
                    <w:right w:val="single" w:color="000000" w:sz="8" w:space="0"/>
                  </w:tcBorders>
                  <w:hideMark/>
                </w:tcPr>
                <w:p w:rsidRPr="00654A40" w:rsidR="00FD3842" w:rsidP="00F74EE4" w:rsidRDefault="00FD3842" w14:paraId="760A8310" w14:textId="77777777">
                  <w:pPr>
                    <w:framePr w:hSpace="141" w:wrap="around" w:hAnchor="margin" w:y="2062"/>
                    <w:autoSpaceDN w:val="0"/>
                    <w:spacing w:after="0" w:line="276" w:lineRule="auto"/>
                    <w:rPr>
                      <w:rFonts w:ascii="Verdana" w:hAnsi="Verdana"/>
                      <w:color w:val="000000"/>
                      <w:sz w:val="18"/>
                      <w:szCs w:val="18"/>
                    </w:rPr>
                  </w:pPr>
                  <w:r w:rsidRPr="00654A40">
                    <w:rPr>
                      <w:rFonts w:ascii="Verdana" w:hAnsi="Verdana"/>
                      <w:color w:val="000000"/>
                      <w:sz w:val="18"/>
                      <w:szCs w:val="18"/>
                    </w:rPr>
                    <w:t xml:space="preserve">Kernkapitaal </w:t>
                  </w:r>
                  <w:proofErr w:type="spellStart"/>
                  <w:r w:rsidRPr="00654A40">
                    <w:rPr>
                      <w:rFonts w:ascii="Verdana" w:hAnsi="Verdana"/>
                      <w:color w:val="000000"/>
                      <w:sz w:val="18"/>
                      <w:szCs w:val="18"/>
                    </w:rPr>
                    <w:t>Invest</w:t>
                  </w:r>
                  <w:proofErr w:type="spellEnd"/>
                  <w:r w:rsidRPr="00654A40">
                    <w:rPr>
                      <w:rFonts w:ascii="Verdana" w:hAnsi="Verdana"/>
                      <w:color w:val="000000"/>
                      <w:sz w:val="18"/>
                      <w:szCs w:val="18"/>
                    </w:rPr>
                    <w:t>-NL</w:t>
                  </w:r>
                </w:p>
              </w:tc>
              <w:tc>
                <w:tcPr>
                  <w:tcW w:w="588" w:type="dxa"/>
                  <w:tcBorders>
                    <w:top w:val="nil"/>
                    <w:left w:val="nil"/>
                    <w:bottom w:val="single" w:color="000000" w:sz="8" w:space="0"/>
                    <w:right w:val="single" w:color="000000" w:sz="8" w:space="0"/>
                  </w:tcBorders>
                </w:tcPr>
                <w:p w:rsidRPr="00654A40" w:rsidR="00FD3842" w:rsidP="00F74EE4" w:rsidRDefault="00FD3842" w14:paraId="0C530257" w14:textId="77777777">
                  <w:pPr>
                    <w:framePr w:hSpace="141" w:wrap="around" w:hAnchor="margin" w:y="2062"/>
                    <w:autoSpaceDN w:val="0"/>
                    <w:spacing w:after="0" w:line="276" w:lineRule="auto"/>
                    <w:rPr>
                      <w:rFonts w:ascii="Verdana" w:hAnsi="Verdana"/>
                      <w:color w:val="000000"/>
                      <w:sz w:val="18"/>
                      <w:szCs w:val="18"/>
                    </w:rPr>
                  </w:pPr>
                </w:p>
              </w:tc>
              <w:tc>
                <w:tcPr>
                  <w:tcW w:w="589" w:type="dxa"/>
                  <w:tcBorders>
                    <w:top w:val="nil"/>
                    <w:left w:val="nil"/>
                    <w:bottom w:val="single" w:color="000000" w:sz="8" w:space="0"/>
                    <w:right w:val="single" w:color="000000" w:sz="8" w:space="0"/>
                  </w:tcBorders>
                </w:tcPr>
                <w:p w:rsidRPr="00654A40" w:rsidR="00FD3842" w:rsidP="00F74EE4" w:rsidRDefault="00FD3842" w14:paraId="678D6B17" w14:textId="77777777">
                  <w:pPr>
                    <w:framePr w:hSpace="141" w:wrap="around" w:hAnchor="margin" w:y="2062"/>
                    <w:autoSpaceDN w:val="0"/>
                    <w:spacing w:after="0" w:line="276" w:lineRule="auto"/>
                    <w:rPr>
                      <w:rFonts w:ascii="Verdana" w:hAnsi="Verdana"/>
                      <w:color w:val="000000"/>
                      <w:sz w:val="18"/>
                      <w:szCs w:val="18"/>
                    </w:rPr>
                  </w:pPr>
                </w:p>
              </w:tc>
              <w:tc>
                <w:tcPr>
                  <w:tcW w:w="588" w:type="dxa"/>
                  <w:tcBorders>
                    <w:top w:val="nil"/>
                    <w:left w:val="nil"/>
                    <w:bottom w:val="single" w:color="000000" w:sz="8" w:space="0"/>
                    <w:right w:val="single" w:color="000000" w:sz="8" w:space="0"/>
                  </w:tcBorders>
                  <w:hideMark/>
                </w:tcPr>
                <w:p w:rsidRPr="00654A40" w:rsidR="00FD3842" w:rsidP="00F74EE4" w:rsidRDefault="00FD3842" w14:paraId="375246FE" w14:textId="77777777">
                  <w:pPr>
                    <w:framePr w:hSpace="141" w:wrap="around" w:hAnchor="margin" w:y="2062"/>
                    <w:autoSpaceDN w:val="0"/>
                    <w:spacing w:after="0" w:line="276" w:lineRule="auto"/>
                    <w:rPr>
                      <w:rFonts w:ascii="Verdana" w:hAnsi="Verdana"/>
                      <w:color w:val="000000"/>
                      <w:sz w:val="18"/>
                      <w:szCs w:val="18"/>
                    </w:rPr>
                  </w:pPr>
                  <w:r w:rsidRPr="00654A40">
                    <w:rPr>
                      <w:rFonts w:ascii="Verdana" w:hAnsi="Verdana"/>
                      <w:color w:val="000000"/>
                      <w:sz w:val="18"/>
                      <w:szCs w:val="18"/>
                    </w:rPr>
                    <w:t>200</w:t>
                  </w:r>
                </w:p>
              </w:tc>
              <w:tc>
                <w:tcPr>
                  <w:tcW w:w="589" w:type="dxa"/>
                  <w:tcBorders>
                    <w:top w:val="nil"/>
                    <w:left w:val="nil"/>
                    <w:bottom w:val="single" w:color="000000" w:sz="8" w:space="0"/>
                    <w:right w:val="single" w:color="000000" w:sz="8" w:space="0"/>
                  </w:tcBorders>
                  <w:hideMark/>
                </w:tcPr>
                <w:p w:rsidRPr="00654A40" w:rsidR="00FD3842" w:rsidP="00F74EE4" w:rsidRDefault="00FD3842" w14:paraId="6A7A5EDB" w14:textId="77777777">
                  <w:pPr>
                    <w:framePr w:hSpace="141" w:wrap="around" w:hAnchor="margin" w:y="2062"/>
                    <w:autoSpaceDN w:val="0"/>
                    <w:spacing w:after="0" w:line="276" w:lineRule="auto"/>
                    <w:rPr>
                      <w:rFonts w:ascii="Verdana" w:hAnsi="Verdana"/>
                      <w:color w:val="000000"/>
                      <w:sz w:val="18"/>
                      <w:szCs w:val="18"/>
                    </w:rPr>
                  </w:pPr>
                  <w:r w:rsidRPr="00654A40">
                    <w:rPr>
                      <w:rFonts w:ascii="Verdana" w:hAnsi="Verdana"/>
                      <w:color w:val="000000"/>
                      <w:sz w:val="18"/>
                      <w:szCs w:val="18"/>
                    </w:rPr>
                    <w:t>200</w:t>
                  </w:r>
                </w:p>
              </w:tc>
              <w:tc>
                <w:tcPr>
                  <w:tcW w:w="598" w:type="dxa"/>
                  <w:tcBorders>
                    <w:top w:val="nil"/>
                    <w:left w:val="nil"/>
                    <w:bottom w:val="single" w:color="000000" w:sz="8" w:space="0"/>
                    <w:right w:val="single" w:color="000000" w:sz="8" w:space="0"/>
                  </w:tcBorders>
                  <w:hideMark/>
                </w:tcPr>
                <w:p w:rsidRPr="00654A40" w:rsidR="00FD3842" w:rsidP="00F74EE4" w:rsidRDefault="00FD3842" w14:paraId="7395D691" w14:textId="77777777">
                  <w:pPr>
                    <w:framePr w:hSpace="141" w:wrap="around" w:hAnchor="margin" w:y="2062"/>
                    <w:autoSpaceDN w:val="0"/>
                    <w:spacing w:after="0" w:line="276" w:lineRule="auto"/>
                    <w:rPr>
                      <w:rFonts w:ascii="Verdana" w:hAnsi="Verdana"/>
                      <w:color w:val="000000"/>
                      <w:sz w:val="18"/>
                      <w:szCs w:val="18"/>
                    </w:rPr>
                  </w:pPr>
                  <w:r w:rsidRPr="00654A40">
                    <w:rPr>
                      <w:rFonts w:ascii="Verdana" w:hAnsi="Verdana"/>
                      <w:color w:val="000000"/>
                      <w:sz w:val="18"/>
                      <w:szCs w:val="18"/>
                    </w:rPr>
                    <w:t>200</w:t>
                  </w:r>
                </w:p>
              </w:tc>
              <w:tc>
                <w:tcPr>
                  <w:tcW w:w="648" w:type="dxa"/>
                  <w:tcBorders>
                    <w:top w:val="nil"/>
                    <w:left w:val="nil"/>
                    <w:bottom w:val="single" w:color="000000" w:sz="8" w:space="0"/>
                    <w:right w:val="single" w:color="000000" w:sz="12" w:space="0"/>
                  </w:tcBorders>
                  <w:hideMark/>
                </w:tcPr>
                <w:p w:rsidRPr="00654A40" w:rsidR="00FD3842" w:rsidP="00F74EE4" w:rsidRDefault="00FD3842" w14:paraId="56555ECD" w14:textId="77777777">
                  <w:pPr>
                    <w:framePr w:hSpace="141" w:wrap="around" w:hAnchor="margin" w:y="2062"/>
                    <w:autoSpaceDN w:val="0"/>
                    <w:spacing w:after="0" w:line="276" w:lineRule="auto"/>
                    <w:rPr>
                      <w:rFonts w:ascii="Verdana" w:hAnsi="Verdana"/>
                      <w:b/>
                      <w:bCs/>
                      <w:color w:val="000000"/>
                      <w:sz w:val="18"/>
                      <w:szCs w:val="18"/>
                    </w:rPr>
                  </w:pPr>
                  <w:r w:rsidRPr="00654A40">
                    <w:rPr>
                      <w:rFonts w:ascii="Verdana" w:hAnsi="Verdana"/>
                      <w:b/>
                      <w:bCs/>
                      <w:color w:val="000000"/>
                      <w:sz w:val="18"/>
                      <w:szCs w:val="18"/>
                    </w:rPr>
                    <w:t>600</w:t>
                  </w:r>
                </w:p>
              </w:tc>
            </w:tr>
          </w:tbl>
          <w:p w:rsidRPr="00654A40" w:rsidR="00A411C8" w:rsidP="00654A40" w:rsidRDefault="00A411C8" w14:paraId="3C0E6E2E" w14:textId="77777777">
            <w:pPr>
              <w:spacing w:line="276" w:lineRule="auto"/>
              <w:textAlignment w:val="baseline"/>
              <w:rPr>
                <w:rFonts w:ascii="Verdana" w:hAnsi="Verdana"/>
                <w:sz w:val="18"/>
                <w:szCs w:val="18"/>
              </w:rPr>
            </w:pPr>
          </w:p>
        </w:tc>
      </w:tr>
      <w:tr w:rsidRPr="00654A40" w:rsidR="00A411C8" w:rsidTr="00A411C8" w14:paraId="76F05049" w14:textId="77777777">
        <w:tc>
          <w:tcPr>
            <w:tcW w:w="2681" w:type="dxa"/>
            <w:shd w:val="clear" w:color="auto" w:fill="767171" w:themeFill="background2" w:themeFillShade="80"/>
          </w:tcPr>
          <w:p w:rsidR="00CE0082" w:rsidP="00654A40" w:rsidRDefault="00A411C8" w14:paraId="01154C61" w14:textId="77777777">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 xml:space="preserve">Ingezette </w:t>
            </w:r>
          </w:p>
          <w:p w:rsidRPr="00654A40" w:rsidR="00A411C8" w:rsidP="00654A40" w:rsidRDefault="00A411C8" w14:paraId="3E9F4752" w14:textId="06478711">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beleidsinstrument(en)</w:t>
            </w:r>
          </w:p>
        </w:tc>
        <w:tc>
          <w:tcPr>
            <w:tcW w:w="6336" w:type="dxa"/>
            <w:shd w:val="clear" w:color="auto" w:fill="D0CECE" w:themeFill="background2" w:themeFillShade="E6"/>
          </w:tcPr>
          <w:p w:rsidRPr="00654A40" w:rsidR="002A69EE" w:rsidP="00654A40" w:rsidRDefault="00A411C8" w14:paraId="1179564C" w14:textId="1FBCC458">
            <w:pPr>
              <w:pStyle w:val="Geenafstand"/>
              <w:spacing w:line="276" w:lineRule="auto"/>
              <w:rPr>
                <w:rFonts w:ascii="Verdana" w:hAnsi="Verdana"/>
                <w:sz w:val="18"/>
                <w:szCs w:val="18"/>
              </w:rPr>
            </w:pPr>
            <w:r w:rsidRPr="00654A40">
              <w:rPr>
                <w:rFonts w:ascii="Verdana" w:hAnsi="Verdana"/>
                <w:sz w:val="18"/>
                <w:szCs w:val="18"/>
              </w:rPr>
              <w:t xml:space="preserve">Het beleidsinstrument </w:t>
            </w:r>
            <w:proofErr w:type="spellStart"/>
            <w:r w:rsidRPr="00654A40">
              <w:rPr>
                <w:rFonts w:ascii="Verdana" w:hAnsi="Verdana"/>
                <w:sz w:val="18"/>
                <w:szCs w:val="18"/>
              </w:rPr>
              <w:t>Invest</w:t>
            </w:r>
            <w:proofErr w:type="spellEnd"/>
            <w:r w:rsidRPr="00654A40">
              <w:rPr>
                <w:rFonts w:ascii="Verdana" w:hAnsi="Verdana"/>
                <w:sz w:val="18"/>
                <w:szCs w:val="18"/>
              </w:rPr>
              <w:t xml:space="preserve">-NL wordt verstevigd. FIN is aandeelhouder en EZ is beleidsverantwoordelijk. De versteviging van het eigen vermogen van </w:t>
            </w:r>
            <w:proofErr w:type="spellStart"/>
            <w:r w:rsidRPr="00654A40">
              <w:rPr>
                <w:rFonts w:ascii="Verdana" w:hAnsi="Verdana"/>
                <w:sz w:val="18"/>
                <w:szCs w:val="18"/>
              </w:rPr>
              <w:t>Invest</w:t>
            </w:r>
            <w:proofErr w:type="spellEnd"/>
            <w:r w:rsidRPr="00654A40">
              <w:rPr>
                <w:rFonts w:ascii="Verdana" w:hAnsi="Verdana"/>
                <w:sz w:val="18"/>
                <w:szCs w:val="18"/>
              </w:rPr>
              <w:t xml:space="preserve">-NL </w:t>
            </w:r>
            <w:r w:rsidRPr="00654A40" w:rsidR="00FD3842">
              <w:rPr>
                <w:rFonts w:ascii="Verdana" w:hAnsi="Verdana"/>
                <w:sz w:val="18"/>
                <w:szCs w:val="18"/>
              </w:rPr>
              <w:t xml:space="preserve">(kernkapitaal) </w:t>
            </w:r>
            <w:r w:rsidRPr="00654A40">
              <w:rPr>
                <w:rFonts w:ascii="Verdana" w:hAnsi="Verdana"/>
                <w:sz w:val="18"/>
                <w:szCs w:val="18"/>
              </w:rPr>
              <w:t>wordt ingevuld via de aandeelhouder (FIN)</w:t>
            </w:r>
            <w:r w:rsidRPr="00654A40" w:rsidR="002A69EE">
              <w:rPr>
                <w:rFonts w:ascii="Verdana" w:hAnsi="Verdana"/>
                <w:sz w:val="18"/>
                <w:szCs w:val="18"/>
              </w:rPr>
              <w:t>.</w:t>
            </w:r>
            <w:r w:rsidRPr="00654A40">
              <w:rPr>
                <w:rFonts w:ascii="Verdana" w:hAnsi="Verdana"/>
                <w:sz w:val="18"/>
                <w:szCs w:val="18"/>
              </w:rPr>
              <w:t xml:space="preserve"> </w:t>
            </w:r>
            <w:r w:rsidRPr="00654A40" w:rsidR="002A69EE">
              <w:rPr>
                <w:rFonts w:ascii="Verdana" w:hAnsi="Verdana"/>
                <w:sz w:val="18"/>
                <w:szCs w:val="18"/>
              </w:rPr>
              <w:t>H</w:t>
            </w:r>
            <w:r w:rsidRPr="00654A40">
              <w:rPr>
                <w:rFonts w:ascii="Verdana" w:hAnsi="Verdana"/>
                <w:sz w:val="18"/>
                <w:szCs w:val="18"/>
              </w:rPr>
              <w:t xml:space="preserve">et opzetten van de </w:t>
            </w:r>
            <w:proofErr w:type="spellStart"/>
            <w:r w:rsidRPr="00654A40">
              <w:rPr>
                <w:rFonts w:ascii="Verdana" w:hAnsi="Verdana"/>
                <w:sz w:val="18"/>
                <w:szCs w:val="18"/>
              </w:rPr>
              <w:t>Blended</w:t>
            </w:r>
            <w:proofErr w:type="spellEnd"/>
            <w:r w:rsidRPr="00654A40">
              <w:rPr>
                <w:rFonts w:ascii="Verdana" w:hAnsi="Verdana"/>
                <w:sz w:val="18"/>
                <w:szCs w:val="18"/>
              </w:rPr>
              <w:t xml:space="preserve"> Finance faciliteit en eventuele versterking </w:t>
            </w:r>
            <w:r w:rsidR="00AC1360">
              <w:rPr>
                <w:rFonts w:ascii="Verdana" w:hAnsi="Verdana"/>
                <w:sz w:val="18"/>
                <w:szCs w:val="18"/>
              </w:rPr>
              <w:t xml:space="preserve">de Beschermingsvoorziening </w:t>
            </w:r>
            <w:r w:rsidR="00AC1360">
              <w:rPr>
                <w:rFonts w:ascii="Verdana" w:hAnsi="Verdana"/>
                <w:sz w:val="18"/>
                <w:szCs w:val="18"/>
              </w:rPr>
              <w:lastRenderedPageBreak/>
              <w:t>Economische Veiligheid (BEV)</w:t>
            </w:r>
            <w:r w:rsidRPr="00654A40">
              <w:rPr>
                <w:rFonts w:ascii="Verdana" w:hAnsi="Verdana"/>
                <w:sz w:val="18"/>
                <w:szCs w:val="18"/>
              </w:rPr>
              <w:t xml:space="preserve"> loopt via het beleidsverantwoordelijke departement (EZ). </w:t>
            </w:r>
          </w:p>
        </w:tc>
      </w:tr>
      <w:tr w:rsidRPr="00654A40" w:rsidR="00A411C8" w:rsidTr="00A411C8" w14:paraId="1767772D" w14:textId="77777777">
        <w:trPr>
          <w:trHeight w:val="1692"/>
        </w:trPr>
        <w:tc>
          <w:tcPr>
            <w:tcW w:w="2681" w:type="dxa"/>
            <w:shd w:val="clear" w:color="auto" w:fill="767171" w:themeFill="background2" w:themeFillShade="80"/>
          </w:tcPr>
          <w:p w:rsidRPr="00654A40" w:rsidR="00A411C8" w:rsidP="00654A40" w:rsidRDefault="00A411C8" w14:paraId="7C4506F0" w14:textId="490AFFE8">
            <w:pPr>
              <w:pStyle w:val="Geenafstand"/>
              <w:spacing w:line="276" w:lineRule="auto"/>
              <w:ind w:left="22"/>
              <w:rPr>
                <w:rFonts w:ascii="Verdana" w:hAnsi="Verdana"/>
                <w:b/>
                <w:bCs/>
                <w:color w:val="FFFFFF" w:themeColor="background1"/>
                <w:sz w:val="18"/>
                <w:szCs w:val="18"/>
              </w:rPr>
            </w:pPr>
            <w:r w:rsidRPr="00654A40">
              <w:rPr>
                <w:rFonts w:ascii="Verdana" w:hAnsi="Verdana"/>
                <w:b/>
                <w:bCs/>
                <w:color w:val="FFFFFF" w:themeColor="background1"/>
                <w:sz w:val="18"/>
                <w:szCs w:val="18"/>
              </w:rPr>
              <w:lastRenderedPageBreak/>
              <w:t>Financiële gevolgen voor het Rijk</w:t>
            </w:r>
          </w:p>
        </w:tc>
        <w:tc>
          <w:tcPr>
            <w:tcW w:w="6336" w:type="dxa"/>
            <w:shd w:val="clear" w:color="auto" w:fill="D0CECE" w:themeFill="background2" w:themeFillShade="E6"/>
          </w:tcPr>
          <w:p w:rsidRPr="00654A40" w:rsidR="00A411C8" w:rsidP="00654A40" w:rsidRDefault="00CD621C" w14:paraId="7F28204B" w14:textId="2EFE927C">
            <w:pPr>
              <w:pStyle w:val="Geenafstand"/>
              <w:spacing w:line="276" w:lineRule="auto"/>
              <w:rPr>
                <w:rFonts w:ascii="Verdana" w:hAnsi="Verdana"/>
                <w:sz w:val="18"/>
                <w:szCs w:val="18"/>
              </w:rPr>
            </w:pPr>
            <w:r w:rsidRPr="00654A40">
              <w:rPr>
                <w:rFonts w:ascii="Verdana" w:hAnsi="Verdana"/>
                <w:sz w:val="18"/>
                <w:szCs w:val="18"/>
              </w:rPr>
              <w:t>Het voorstel, als hierboven vermeld onder ‘Nagestreefde doelen’, is opgezet op basis van de volgende punten:</w:t>
            </w:r>
          </w:p>
          <w:p w:rsidRPr="0093175A" w:rsidR="003A101A" w:rsidP="0093175A" w:rsidRDefault="003A101A" w14:paraId="57152BEE" w14:textId="0F85012B">
            <w:pPr>
              <w:pStyle w:val="Geenafstand"/>
              <w:numPr>
                <w:ilvl w:val="0"/>
                <w:numId w:val="5"/>
              </w:numPr>
              <w:spacing w:line="276" w:lineRule="auto"/>
              <w:rPr>
                <w:rFonts w:ascii="Verdana" w:hAnsi="Verdana"/>
                <w:sz w:val="18"/>
                <w:szCs w:val="18"/>
              </w:rPr>
            </w:pPr>
            <w:r>
              <w:rPr>
                <w:rFonts w:ascii="Verdana" w:hAnsi="Verdana"/>
                <w:sz w:val="18"/>
                <w:szCs w:val="18"/>
              </w:rPr>
              <w:t xml:space="preserve">Kapitaalstorting ter versterking kernkapitaal van in totaal </w:t>
            </w:r>
            <w:r w:rsidR="00AC1360">
              <w:rPr>
                <w:rFonts w:ascii="Verdana" w:hAnsi="Verdana"/>
                <w:sz w:val="18"/>
                <w:szCs w:val="18"/>
              </w:rPr>
              <w:t>€</w:t>
            </w:r>
            <w:r>
              <w:rPr>
                <w:rFonts w:ascii="Verdana" w:hAnsi="Verdana"/>
                <w:sz w:val="18"/>
                <w:szCs w:val="18"/>
              </w:rPr>
              <w:t>600 mln. wordt in de jaren 20</w:t>
            </w:r>
            <w:r w:rsidR="0058084B">
              <w:rPr>
                <w:rFonts w:ascii="Verdana" w:hAnsi="Verdana"/>
                <w:sz w:val="18"/>
                <w:szCs w:val="18"/>
              </w:rPr>
              <w:t>2</w:t>
            </w:r>
            <w:r>
              <w:rPr>
                <w:rFonts w:ascii="Verdana" w:hAnsi="Verdana"/>
                <w:sz w:val="18"/>
                <w:szCs w:val="18"/>
              </w:rPr>
              <w:t xml:space="preserve">7 t/m 2029 in gelijke delen van </w:t>
            </w:r>
            <w:r w:rsidR="00AC1360">
              <w:rPr>
                <w:rFonts w:ascii="Verdana" w:hAnsi="Verdana"/>
                <w:sz w:val="18"/>
                <w:szCs w:val="18"/>
              </w:rPr>
              <w:t>€</w:t>
            </w:r>
            <w:r>
              <w:rPr>
                <w:rFonts w:ascii="Verdana" w:hAnsi="Verdana"/>
                <w:sz w:val="18"/>
                <w:szCs w:val="18"/>
              </w:rPr>
              <w:t xml:space="preserve">200 mln. uitbetaald. Deze stortingen zijn naar verwachting niet EMU-saldorelevant en niet kaderrelevant. </w:t>
            </w:r>
            <w:r w:rsidRPr="0093175A" w:rsidR="0093175A">
              <w:rPr>
                <w:rFonts w:ascii="Verdana" w:hAnsi="Verdana"/>
                <w:sz w:val="18"/>
                <w:szCs w:val="18"/>
              </w:rPr>
              <w:t xml:space="preserve">Doordat </w:t>
            </w:r>
            <w:proofErr w:type="spellStart"/>
            <w:r w:rsidR="0093175A">
              <w:rPr>
                <w:rFonts w:ascii="Verdana" w:hAnsi="Verdana"/>
                <w:sz w:val="18"/>
                <w:szCs w:val="18"/>
              </w:rPr>
              <w:t>Invest</w:t>
            </w:r>
            <w:proofErr w:type="spellEnd"/>
            <w:r w:rsidR="0093175A">
              <w:rPr>
                <w:rFonts w:ascii="Verdana" w:hAnsi="Verdana"/>
                <w:sz w:val="18"/>
                <w:szCs w:val="18"/>
              </w:rPr>
              <w:t xml:space="preserve">-NL </w:t>
            </w:r>
            <w:r w:rsidRPr="0093175A" w:rsidR="0093175A">
              <w:rPr>
                <w:rFonts w:ascii="Verdana" w:hAnsi="Verdana"/>
                <w:sz w:val="18"/>
                <w:szCs w:val="18"/>
              </w:rPr>
              <w:t xml:space="preserve">sector overheid is, zorgen de kapitaalstortingen niet direct tot een toename van de EMU-schuld. Het effect op de EMU-schuld zal uiteindelijk afhangen van het ritme waarin de middelen door </w:t>
            </w:r>
            <w:proofErr w:type="spellStart"/>
            <w:r w:rsidR="0093175A">
              <w:rPr>
                <w:rFonts w:ascii="Verdana" w:hAnsi="Verdana"/>
                <w:sz w:val="18"/>
                <w:szCs w:val="18"/>
              </w:rPr>
              <w:t>Invest</w:t>
            </w:r>
            <w:proofErr w:type="spellEnd"/>
            <w:r w:rsidR="0093175A">
              <w:rPr>
                <w:rFonts w:ascii="Verdana" w:hAnsi="Verdana"/>
                <w:sz w:val="18"/>
                <w:szCs w:val="18"/>
              </w:rPr>
              <w:t xml:space="preserve">-NL </w:t>
            </w:r>
            <w:r w:rsidRPr="0093175A" w:rsidR="0093175A">
              <w:rPr>
                <w:rFonts w:ascii="Verdana" w:hAnsi="Verdana"/>
                <w:sz w:val="18"/>
                <w:szCs w:val="18"/>
              </w:rPr>
              <w:t>worden uitgeven en de behaalde bedrijfsresultaten</w:t>
            </w:r>
            <w:r w:rsidR="0093175A">
              <w:rPr>
                <w:rFonts w:ascii="Verdana" w:hAnsi="Verdana"/>
                <w:sz w:val="18"/>
                <w:szCs w:val="18"/>
              </w:rPr>
              <w:t>.</w:t>
            </w:r>
          </w:p>
          <w:p w:rsidRPr="002061E8" w:rsidR="005721DC" w:rsidP="002061E8" w:rsidRDefault="005721DC" w14:paraId="4CB1F1A8" w14:textId="0EDD6FD0">
            <w:pPr>
              <w:pStyle w:val="Geenafstand"/>
              <w:spacing w:line="276" w:lineRule="auto"/>
              <w:ind w:left="360"/>
              <w:rPr>
                <w:rFonts w:ascii="Verdana" w:hAnsi="Verdana"/>
                <w:sz w:val="18"/>
                <w:szCs w:val="18"/>
              </w:rPr>
            </w:pPr>
          </w:p>
          <w:p w:rsidRPr="00654A40" w:rsidR="00A411C8" w:rsidP="00654A40" w:rsidRDefault="005721DC" w14:paraId="2DB76485" w14:textId="748F2249">
            <w:pPr>
              <w:pStyle w:val="Geenafstand"/>
              <w:spacing w:line="276" w:lineRule="auto"/>
              <w:rPr>
                <w:rFonts w:ascii="Verdana" w:hAnsi="Verdana"/>
                <w:sz w:val="18"/>
                <w:szCs w:val="18"/>
              </w:rPr>
            </w:pPr>
            <w:r w:rsidRPr="00654A40">
              <w:rPr>
                <w:rFonts w:ascii="Verdana" w:hAnsi="Verdana"/>
                <w:sz w:val="18"/>
                <w:szCs w:val="18"/>
              </w:rPr>
              <w:t>Voor de periode t/m 2029 komen daarmee de volgende middelen ter beschikking:</w:t>
            </w:r>
          </w:p>
          <w:tbl>
            <w:tblPr>
              <w:tblStyle w:val="Tabelraster"/>
              <w:tblW w:w="4971" w:type="pct"/>
              <w:tblLook w:val="04A0" w:firstRow="1" w:lastRow="0" w:firstColumn="1" w:lastColumn="0" w:noHBand="0" w:noVBand="1"/>
            </w:tblPr>
            <w:tblGrid>
              <w:gridCol w:w="1632"/>
              <w:gridCol w:w="674"/>
              <w:gridCol w:w="674"/>
              <w:gridCol w:w="674"/>
              <w:gridCol w:w="674"/>
              <w:gridCol w:w="674"/>
              <w:gridCol w:w="1073"/>
            </w:tblGrid>
            <w:tr w:rsidRPr="00654A40" w:rsidR="00D13373" w:rsidTr="003A0D8F" w14:paraId="0EE690A6" w14:textId="77777777">
              <w:trPr>
                <w:trHeight w:val="153"/>
              </w:trPr>
              <w:tc>
                <w:tcPr>
                  <w:tcW w:w="1497" w:type="pct"/>
                  <w:tcBorders>
                    <w:top w:val="single" w:color="000000" w:sz="4" w:space="0"/>
                    <w:left w:val="single" w:color="000000" w:sz="4" w:space="0"/>
                    <w:bottom w:val="single" w:color="000000" w:sz="4" w:space="0"/>
                    <w:right w:val="single" w:color="000000" w:sz="4" w:space="0"/>
                  </w:tcBorders>
                </w:tcPr>
                <w:p w:rsidRPr="00E00486" w:rsidR="00A411C8" w:rsidP="00F74EE4" w:rsidRDefault="00A411C8" w14:paraId="6F97FEC8" w14:textId="356B3806">
                  <w:pPr>
                    <w:framePr w:hSpace="141" w:wrap="around" w:hAnchor="margin" w:y="2062"/>
                    <w:spacing w:line="276" w:lineRule="auto"/>
                    <w:textAlignment w:val="baseline"/>
                    <w:rPr>
                      <w:rFonts w:ascii="Verdana" w:hAnsi="Verdana"/>
                      <w:i/>
                      <w:iCs/>
                      <w:sz w:val="18"/>
                      <w:szCs w:val="18"/>
                    </w:rPr>
                  </w:pPr>
                  <w:bookmarkStart w:name="_Hlk173510110" w:id="1"/>
                  <w:r w:rsidRPr="00E00486">
                    <w:rPr>
                      <w:rFonts w:ascii="Verdana" w:hAnsi="Verdana"/>
                      <w:i/>
                      <w:iCs/>
                      <w:sz w:val="18"/>
                      <w:szCs w:val="18"/>
                    </w:rPr>
                    <w:t xml:space="preserve">In </w:t>
                  </w:r>
                  <w:r w:rsidRPr="00E00486" w:rsidR="0058084B">
                    <w:rPr>
                      <w:rFonts w:ascii="Verdana" w:hAnsi="Verdana"/>
                      <w:i/>
                      <w:iCs/>
                      <w:sz w:val="18"/>
                      <w:szCs w:val="18"/>
                    </w:rPr>
                    <w:t xml:space="preserve">€ </w:t>
                  </w:r>
                  <w:r w:rsidRPr="00E00486">
                    <w:rPr>
                      <w:rFonts w:ascii="Verdana" w:hAnsi="Verdana"/>
                      <w:i/>
                      <w:iCs/>
                      <w:sz w:val="18"/>
                      <w:szCs w:val="18"/>
                    </w:rPr>
                    <w:t>mln.</w:t>
                  </w:r>
                </w:p>
              </w:tc>
              <w:tc>
                <w:tcPr>
                  <w:tcW w:w="494" w:type="pct"/>
                  <w:tcBorders>
                    <w:top w:val="single" w:color="000000" w:sz="4" w:space="0"/>
                    <w:left w:val="single" w:color="000000" w:sz="4" w:space="0"/>
                    <w:bottom w:val="single" w:color="000000" w:sz="4" w:space="0"/>
                    <w:right w:val="single" w:color="000000" w:sz="4" w:space="0"/>
                  </w:tcBorders>
                  <w:hideMark/>
                </w:tcPr>
                <w:p w:rsidRPr="00654A40" w:rsidR="00A411C8" w:rsidP="00F74EE4" w:rsidRDefault="00A411C8" w14:paraId="35162EE6" w14:textId="77777777">
                  <w:pPr>
                    <w:framePr w:hSpace="141" w:wrap="around" w:hAnchor="margin" w:y="2062"/>
                    <w:spacing w:line="276" w:lineRule="auto"/>
                    <w:textAlignment w:val="baseline"/>
                    <w:rPr>
                      <w:rFonts w:ascii="Verdana" w:hAnsi="Verdana"/>
                      <w:sz w:val="18"/>
                      <w:szCs w:val="18"/>
                    </w:rPr>
                  </w:pPr>
                  <w:r w:rsidRPr="00654A40">
                    <w:rPr>
                      <w:rFonts w:ascii="Verdana" w:hAnsi="Verdana"/>
                      <w:sz w:val="18"/>
                      <w:szCs w:val="18"/>
                    </w:rPr>
                    <w:t>2025</w:t>
                  </w:r>
                </w:p>
              </w:tc>
              <w:tc>
                <w:tcPr>
                  <w:tcW w:w="494" w:type="pct"/>
                  <w:tcBorders>
                    <w:top w:val="single" w:color="000000" w:sz="4" w:space="0"/>
                    <w:left w:val="single" w:color="000000" w:sz="4" w:space="0"/>
                    <w:bottom w:val="single" w:color="000000" w:sz="4" w:space="0"/>
                    <w:right w:val="single" w:color="000000" w:sz="4" w:space="0"/>
                  </w:tcBorders>
                  <w:hideMark/>
                </w:tcPr>
                <w:p w:rsidRPr="00654A40" w:rsidR="00A411C8" w:rsidP="00F74EE4" w:rsidRDefault="00A411C8" w14:paraId="2F120B4B" w14:textId="77777777">
                  <w:pPr>
                    <w:framePr w:hSpace="141" w:wrap="around" w:hAnchor="margin" w:y="2062"/>
                    <w:spacing w:line="276" w:lineRule="auto"/>
                    <w:textAlignment w:val="baseline"/>
                    <w:rPr>
                      <w:rFonts w:ascii="Verdana" w:hAnsi="Verdana"/>
                      <w:sz w:val="18"/>
                      <w:szCs w:val="18"/>
                    </w:rPr>
                  </w:pPr>
                  <w:r w:rsidRPr="00654A40">
                    <w:rPr>
                      <w:rFonts w:ascii="Verdana" w:hAnsi="Verdana"/>
                      <w:sz w:val="18"/>
                      <w:szCs w:val="18"/>
                    </w:rPr>
                    <w:t>2026</w:t>
                  </w:r>
                </w:p>
              </w:tc>
              <w:tc>
                <w:tcPr>
                  <w:tcW w:w="493" w:type="pct"/>
                  <w:tcBorders>
                    <w:top w:val="single" w:color="000000" w:sz="4" w:space="0"/>
                    <w:left w:val="single" w:color="000000" w:sz="4" w:space="0"/>
                    <w:bottom w:val="single" w:color="000000" w:sz="4" w:space="0"/>
                    <w:right w:val="single" w:color="000000" w:sz="4" w:space="0"/>
                  </w:tcBorders>
                  <w:hideMark/>
                </w:tcPr>
                <w:p w:rsidRPr="00654A40" w:rsidR="00A411C8" w:rsidP="00F74EE4" w:rsidRDefault="00A411C8" w14:paraId="6247F8A3" w14:textId="77777777">
                  <w:pPr>
                    <w:framePr w:hSpace="141" w:wrap="around" w:hAnchor="margin" w:y="2062"/>
                    <w:spacing w:line="276" w:lineRule="auto"/>
                    <w:textAlignment w:val="baseline"/>
                    <w:rPr>
                      <w:rFonts w:ascii="Verdana" w:hAnsi="Verdana"/>
                      <w:sz w:val="18"/>
                      <w:szCs w:val="18"/>
                    </w:rPr>
                  </w:pPr>
                  <w:r w:rsidRPr="00654A40">
                    <w:rPr>
                      <w:rFonts w:ascii="Verdana" w:hAnsi="Verdana"/>
                      <w:sz w:val="18"/>
                      <w:szCs w:val="18"/>
                    </w:rPr>
                    <w:t>2027</w:t>
                  </w:r>
                </w:p>
              </w:tc>
              <w:tc>
                <w:tcPr>
                  <w:tcW w:w="493" w:type="pct"/>
                  <w:tcBorders>
                    <w:top w:val="single" w:color="000000" w:sz="4" w:space="0"/>
                    <w:left w:val="single" w:color="000000" w:sz="4" w:space="0"/>
                    <w:bottom w:val="single" w:color="000000" w:sz="4" w:space="0"/>
                    <w:right w:val="single" w:color="000000" w:sz="4" w:space="0"/>
                  </w:tcBorders>
                </w:tcPr>
                <w:p w:rsidRPr="00654A40" w:rsidR="00A411C8" w:rsidP="00F74EE4" w:rsidRDefault="00A411C8" w14:paraId="7E1A6E7C" w14:textId="77777777">
                  <w:pPr>
                    <w:framePr w:hSpace="141" w:wrap="around" w:hAnchor="margin" w:y="2062"/>
                    <w:spacing w:line="276" w:lineRule="auto"/>
                    <w:textAlignment w:val="baseline"/>
                    <w:rPr>
                      <w:rFonts w:ascii="Verdana" w:hAnsi="Verdana"/>
                      <w:sz w:val="18"/>
                      <w:szCs w:val="18"/>
                    </w:rPr>
                  </w:pPr>
                  <w:r w:rsidRPr="00654A40">
                    <w:rPr>
                      <w:rFonts w:ascii="Verdana" w:hAnsi="Verdana"/>
                      <w:sz w:val="18"/>
                      <w:szCs w:val="18"/>
                    </w:rPr>
                    <w:t>2028</w:t>
                  </w:r>
                </w:p>
              </w:tc>
              <w:tc>
                <w:tcPr>
                  <w:tcW w:w="493" w:type="pct"/>
                  <w:tcBorders>
                    <w:top w:val="single" w:color="000000" w:sz="4" w:space="0"/>
                    <w:left w:val="single" w:color="000000" w:sz="4" w:space="0"/>
                    <w:bottom w:val="single" w:color="000000" w:sz="4" w:space="0"/>
                    <w:right w:val="single" w:color="000000" w:sz="4" w:space="0"/>
                  </w:tcBorders>
                </w:tcPr>
                <w:p w:rsidRPr="00654A40" w:rsidR="00A411C8" w:rsidP="00F74EE4" w:rsidRDefault="00A411C8" w14:paraId="570D931E" w14:textId="77777777">
                  <w:pPr>
                    <w:framePr w:hSpace="141" w:wrap="around" w:hAnchor="margin" w:y="2062"/>
                    <w:spacing w:line="276" w:lineRule="auto"/>
                    <w:textAlignment w:val="baseline"/>
                    <w:rPr>
                      <w:rFonts w:ascii="Verdana" w:hAnsi="Verdana"/>
                      <w:sz w:val="18"/>
                      <w:szCs w:val="18"/>
                    </w:rPr>
                  </w:pPr>
                  <w:r w:rsidRPr="00654A40">
                    <w:rPr>
                      <w:rFonts w:ascii="Verdana" w:hAnsi="Verdana"/>
                      <w:sz w:val="18"/>
                      <w:szCs w:val="18"/>
                    </w:rPr>
                    <w:t>2029</w:t>
                  </w:r>
                </w:p>
              </w:tc>
              <w:tc>
                <w:tcPr>
                  <w:tcW w:w="1038" w:type="pct"/>
                  <w:tcBorders>
                    <w:top w:val="single" w:color="000000" w:sz="4" w:space="0"/>
                    <w:left w:val="single" w:color="000000" w:sz="4" w:space="0"/>
                    <w:bottom w:val="single" w:color="000000" w:sz="4" w:space="0"/>
                    <w:right w:val="single" w:color="000000" w:sz="4" w:space="0"/>
                  </w:tcBorders>
                  <w:hideMark/>
                </w:tcPr>
                <w:p w:rsidRPr="00654A40" w:rsidR="00A411C8" w:rsidP="00F74EE4" w:rsidRDefault="00A411C8" w14:paraId="3ED1BA58" w14:textId="77777777">
                  <w:pPr>
                    <w:framePr w:hSpace="141" w:wrap="around" w:hAnchor="margin" w:y="2062"/>
                    <w:spacing w:line="276" w:lineRule="auto"/>
                    <w:textAlignment w:val="baseline"/>
                    <w:rPr>
                      <w:rFonts w:ascii="Verdana" w:hAnsi="Verdana"/>
                      <w:b/>
                      <w:bCs/>
                      <w:sz w:val="18"/>
                      <w:szCs w:val="18"/>
                    </w:rPr>
                  </w:pPr>
                  <w:r w:rsidRPr="00654A40">
                    <w:rPr>
                      <w:rFonts w:ascii="Verdana" w:hAnsi="Verdana"/>
                      <w:b/>
                      <w:bCs/>
                      <w:sz w:val="18"/>
                      <w:szCs w:val="18"/>
                    </w:rPr>
                    <w:t>Totaal</w:t>
                  </w:r>
                </w:p>
              </w:tc>
            </w:tr>
            <w:tr w:rsidRPr="00654A40" w:rsidR="00D13373" w:rsidTr="003A0D8F" w14:paraId="1BC94600" w14:textId="77777777">
              <w:trPr>
                <w:trHeight w:val="153"/>
              </w:trPr>
              <w:tc>
                <w:tcPr>
                  <w:tcW w:w="1497" w:type="pct"/>
                  <w:tcBorders>
                    <w:top w:val="single" w:color="auto" w:sz="4" w:space="0"/>
                    <w:left w:val="single" w:color="000000" w:sz="4" w:space="0"/>
                    <w:bottom w:val="single" w:color="000000" w:sz="4" w:space="0"/>
                    <w:right w:val="single" w:color="000000" w:sz="4" w:space="0"/>
                  </w:tcBorders>
                </w:tcPr>
                <w:p w:rsidRPr="00654A40" w:rsidR="00A411C8" w:rsidP="00F74EE4" w:rsidRDefault="00D13373" w14:paraId="3E47D924" w14:textId="29F2FAEF">
                  <w:pPr>
                    <w:framePr w:hSpace="141" w:wrap="around" w:hAnchor="margin" w:y="2062"/>
                    <w:spacing w:line="276" w:lineRule="auto"/>
                    <w:textAlignment w:val="baseline"/>
                    <w:rPr>
                      <w:rFonts w:ascii="Verdana" w:hAnsi="Verdana"/>
                      <w:b/>
                      <w:bCs/>
                      <w:sz w:val="18"/>
                      <w:szCs w:val="18"/>
                    </w:rPr>
                  </w:pPr>
                  <w:bookmarkStart w:name="_Hlk173509470" w:id="2"/>
                  <w:r>
                    <w:rPr>
                      <w:rFonts w:ascii="Verdana" w:hAnsi="Verdana"/>
                      <w:b/>
                      <w:bCs/>
                      <w:sz w:val="18"/>
                      <w:szCs w:val="18"/>
                    </w:rPr>
                    <w:t>Bestaande middelen kernkapitaal</w:t>
                  </w:r>
                </w:p>
                <w:p w:rsidRPr="00654A40" w:rsidR="00A411C8" w:rsidP="00F74EE4" w:rsidRDefault="00A411C8" w14:paraId="656213B1" w14:textId="77777777">
                  <w:pPr>
                    <w:framePr w:hSpace="141" w:wrap="around" w:hAnchor="margin" w:y="2062"/>
                    <w:spacing w:line="276" w:lineRule="auto"/>
                    <w:textAlignment w:val="baseline"/>
                    <w:rPr>
                      <w:rFonts w:ascii="Verdana" w:hAnsi="Verdana"/>
                      <w:b/>
                      <w:bCs/>
                      <w:sz w:val="18"/>
                      <w:szCs w:val="18"/>
                    </w:rPr>
                  </w:pPr>
                </w:p>
              </w:tc>
              <w:tc>
                <w:tcPr>
                  <w:tcW w:w="494" w:type="pct"/>
                  <w:tcBorders>
                    <w:top w:val="single" w:color="auto" w:sz="4" w:space="0"/>
                    <w:left w:val="single" w:color="000000" w:sz="4" w:space="0"/>
                    <w:bottom w:val="single" w:color="000000" w:sz="4" w:space="0"/>
                    <w:right w:val="single" w:color="000000" w:sz="4" w:space="0"/>
                  </w:tcBorders>
                </w:tcPr>
                <w:p w:rsidRPr="00654A40" w:rsidR="00A411C8" w:rsidP="00F74EE4" w:rsidRDefault="005721DC" w14:paraId="7E9A506D" w14:textId="395D5862">
                  <w:pPr>
                    <w:framePr w:hSpace="141" w:wrap="around" w:hAnchor="margin" w:y="2062"/>
                    <w:spacing w:line="276" w:lineRule="auto"/>
                    <w:textAlignment w:val="baseline"/>
                    <w:rPr>
                      <w:rFonts w:ascii="Verdana" w:hAnsi="Verdana"/>
                      <w:sz w:val="18"/>
                      <w:szCs w:val="18"/>
                    </w:rPr>
                  </w:pPr>
                  <w:r w:rsidRPr="00654A40">
                    <w:rPr>
                      <w:rFonts w:ascii="Verdana" w:hAnsi="Verdana"/>
                      <w:sz w:val="18"/>
                      <w:szCs w:val="18"/>
                    </w:rPr>
                    <w:t>330</w:t>
                  </w:r>
                </w:p>
              </w:tc>
              <w:tc>
                <w:tcPr>
                  <w:tcW w:w="494" w:type="pct"/>
                  <w:tcBorders>
                    <w:top w:val="single" w:color="auto" w:sz="4" w:space="0"/>
                    <w:left w:val="single" w:color="000000" w:sz="4" w:space="0"/>
                    <w:bottom w:val="single" w:color="000000" w:sz="4" w:space="0"/>
                    <w:right w:val="single" w:color="000000" w:sz="4" w:space="0"/>
                  </w:tcBorders>
                </w:tcPr>
                <w:p w:rsidRPr="00654A40" w:rsidR="00A411C8" w:rsidP="00F74EE4" w:rsidRDefault="005721DC" w14:paraId="010C71B8" w14:textId="05BB0C76">
                  <w:pPr>
                    <w:framePr w:hSpace="141" w:wrap="around" w:hAnchor="margin" w:y="2062"/>
                    <w:spacing w:line="276" w:lineRule="auto"/>
                    <w:textAlignment w:val="baseline"/>
                    <w:rPr>
                      <w:rFonts w:ascii="Verdana" w:hAnsi="Verdana"/>
                      <w:sz w:val="18"/>
                      <w:szCs w:val="18"/>
                    </w:rPr>
                  </w:pPr>
                  <w:r w:rsidRPr="00654A40">
                    <w:rPr>
                      <w:rFonts w:ascii="Verdana" w:hAnsi="Verdana"/>
                      <w:sz w:val="18"/>
                      <w:szCs w:val="18"/>
                    </w:rPr>
                    <w:t>330</w:t>
                  </w:r>
                </w:p>
              </w:tc>
              <w:tc>
                <w:tcPr>
                  <w:tcW w:w="493" w:type="pct"/>
                  <w:tcBorders>
                    <w:top w:val="single" w:color="auto" w:sz="4" w:space="0"/>
                    <w:left w:val="single" w:color="000000" w:sz="4" w:space="0"/>
                    <w:bottom w:val="single" w:color="000000" w:sz="4" w:space="0"/>
                    <w:right w:val="single" w:color="000000" w:sz="4" w:space="0"/>
                  </w:tcBorders>
                </w:tcPr>
                <w:p w:rsidRPr="00654A40" w:rsidR="00A411C8" w:rsidP="00F74EE4" w:rsidRDefault="005721DC" w14:paraId="557346BB" w14:textId="6C4DA2DA">
                  <w:pPr>
                    <w:framePr w:hSpace="141" w:wrap="around" w:hAnchor="margin" w:y="2062"/>
                    <w:spacing w:line="276" w:lineRule="auto"/>
                    <w:textAlignment w:val="baseline"/>
                    <w:rPr>
                      <w:rFonts w:ascii="Verdana" w:hAnsi="Verdana"/>
                      <w:sz w:val="18"/>
                      <w:szCs w:val="18"/>
                    </w:rPr>
                  </w:pPr>
                  <w:r w:rsidRPr="00654A40">
                    <w:rPr>
                      <w:rFonts w:ascii="Verdana" w:hAnsi="Verdana"/>
                      <w:sz w:val="18"/>
                      <w:szCs w:val="18"/>
                    </w:rPr>
                    <w:t>77</w:t>
                  </w:r>
                </w:p>
              </w:tc>
              <w:tc>
                <w:tcPr>
                  <w:tcW w:w="493" w:type="pct"/>
                  <w:tcBorders>
                    <w:top w:val="single" w:color="auto" w:sz="4" w:space="0"/>
                    <w:left w:val="single" w:color="000000" w:sz="4" w:space="0"/>
                    <w:bottom w:val="single" w:color="000000" w:sz="4" w:space="0"/>
                    <w:right w:val="single" w:color="000000" w:sz="4" w:space="0"/>
                  </w:tcBorders>
                </w:tcPr>
                <w:p w:rsidRPr="00654A40" w:rsidR="00A411C8" w:rsidP="00F74EE4" w:rsidRDefault="00A411C8" w14:paraId="426D5830" w14:textId="796D6999">
                  <w:pPr>
                    <w:framePr w:hSpace="141" w:wrap="around" w:hAnchor="margin" w:y="2062"/>
                    <w:spacing w:line="276" w:lineRule="auto"/>
                    <w:textAlignment w:val="baseline"/>
                    <w:rPr>
                      <w:rFonts w:ascii="Verdana" w:hAnsi="Verdana"/>
                      <w:sz w:val="18"/>
                      <w:szCs w:val="18"/>
                    </w:rPr>
                  </w:pPr>
                </w:p>
              </w:tc>
              <w:tc>
                <w:tcPr>
                  <w:tcW w:w="493" w:type="pct"/>
                  <w:tcBorders>
                    <w:top w:val="single" w:color="auto" w:sz="4" w:space="0"/>
                    <w:left w:val="single" w:color="000000" w:sz="4" w:space="0"/>
                    <w:bottom w:val="single" w:color="000000" w:sz="4" w:space="0"/>
                    <w:right w:val="single" w:color="000000" w:sz="4" w:space="0"/>
                  </w:tcBorders>
                </w:tcPr>
                <w:p w:rsidRPr="00654A40" w:rsidR="00A411C8" w:rsidP="00F74EE4" w:rsidRDefault="00A411C8" w14:paraId="77DD1016" w14:textId="7578FBB4">
                  <w:pPr>
                    <w:framePr w:hSpace="141" w:wrap="around" w:hAnchor="margin" w:y="2062"/>
                    <w:spacing w:line="276" w:lineRule="auto"/>
                    <w:textAlignment w:val="baseline"/>
                    <w:rPr>
                      <w:rFonts w:ascii="Verdana" w:hAnsi="Verdana"/>
                      <w:sz w:val="18"/>
                      <w:szCs w:val="18"/>
                    </w:rPr>
                  </w:pPr>
                </w:p>
              </w:tc>
              <w:tc>
                <w:tcPr>
                  <w:tcW w:w="1038" w:type="pct"/>
                  <w:tcBorders>
                    <w:top w:val="single" w:color="auto" w:sz="4" w:space="0"/>
                    <w:left w:val="single" w:color="000000" w:sz="4" w:space="0"/>
                    <w:bottom w:val="single" w:color="000000" w:sz="4" w:space="0"/>
                    <w:right w:val="single" w:color="000000" w:sz="4" w:space="0"/>
                  </w:tcBorders>
                </w:tcPr>
                <w:p w:rsidRPr="00654A40" w:rsidR="00FF2270" w:rsidP="00F74EE4" w:rsidRDefault="003A0D8F" w14:paraId="76BF1659" w14:textId="4D1AC23E">
                  <w:pPr>
                    <w:framePr w:hSpace="141" w:wrap="around" w:hAnchor="margin" w:y="2062"/>
                    <w:spacing w:line="276" w:lineRule="auto"/>
                    <w:textAlignment w:val="baseline"/>
                    <w:rPr>
                      <w:rFonts w:ascii="Verdana" w:hAnsi="Verdana"/>
                      <w:b/>
                      <w:bCs/>
                      <w:sz w:val="18"/>
                      <w:szCs w:val="18"/>
                    </w:rPr>
                  </w:pPr>
                  <w:r>
                    <w:rPr>
                      <w:rFonts w:ascii="Verdana" w:hAnsi="Verdana"/>
                      <w:b/>
                      <w:bCs/>
                      <w:sz w:val="18"/>
                      <w:szCs w:val="18"/>
                    </w:rPr>
                    <w:t>737</w:t>
                  </w:r>
                  <w:r w:rsidRPr="003A0D8F">
                    <w:rPr>
                      <w:rFonts w:ascii="Verdana" w:hAnsi="Verdana"/>
                      <w:b/>
                      <w:bCs/>
                      <w:sz w:val="18"/>
                      <w:szCs w:val="18"/>
                      <w:vertAlign w:val="superscript"/>
                    </w:rPr>
                    <w:t>1</w:t>
                  </w:r>
                </w:p>
              </w:tc>
            </w:tr>
            <w:tr w:rsidRPr="00654A40" w:rsidR="00D13373" w:rsidTr="003A0D8F" w14:paraId="3DD4B337" w14:textId="77777777">
              <w:trPr>
                <w:trHeight w:val="153"/>
              </w:trPr>
              <w:tc>
                <w:tcPr>
                  <w:tcW w:w="1497" w:type="pct"/>
                  <w:tcBorders>
                    <w:top w:val="single" w:color="auto" w:sz="4" w:space="0"/>
                    <w:left w:val="single" w:color="000000" w:sz="4" w:space="0"/>
                    <w:bottom w:val="single" w:color="000000" w:sz="4" w:space="0"/>
                    <w:right w:val="single" w:color="000000" w:sz="4" w:space="0"/>
                  </w:tcBorders>
                </w:tcPr>
                <w:p w:rsidRPr="00654A40" w:rsidR="00D13373" w:rsidP="00F74EE4" w:rsidRDefault="00D13373" w14:paraId="6B05C12C" w14:textId="56AFBC40">
                  <w:pPr>
                    <w:framePr w:hSpace="141" w:wrap="around" w:hAnchor="margin" w:y="2062"/>
                    <w:spacing w:line="276" w:lineRule="auto"/>
                    <w:textAlignment w:val="baseline"/>
                    <w:rPr>
                      <w:rFonts w:ascii="Verdana" w:hAnsi="Verdana"/>
                      <w:b/>
                      <w:bCs/>
                      <w:sz w:val="18"/>
                      <w:szCs w:val="18"/>
                    </w:rPr>
                  </w:pPr>
                  <w:r>
                    <w:rPr>
                      <w:rFonts w:ascii="Verdana" w:hAnsi="Verdana"/>
                      <w:b/>
                      <w:bCs/>
                      <w:sz w:val="18"/>
                      <w:szCs w:val="18"/>
                    </w:rPr>
                    <w:t>Kapitaalstortingen kernkapitaal</w:t>
                  </w:r>
                </w:p>
              </w:tc>
              <w:tc>
                <w:tcPr>
                  <w:tcW w:w="494" w:type="pct"/>
                  <w:tcBorders>
                    <w:top w:val="single" w:color="auto" w:sz="4" w:space="0"/>
                    <w:left w:val="single" w:color="000000" w:sz="4" w:space="0"/>
                    <w:bottom w:val="single" w:color="000000" w:sz="4" w:space="0"/>
                    <w:right w:val="single" w:color="000000" w:sz="4" w:space="0"/>
                  </w:tcBorders>
                </w:tcPr>
                <w:p w:rsidRPr="00654A40" w:rsidR="00D13373" w:rsidP="00F74EE4" w:rsidRDefault="00D13373" w14:paraId="56D0ABBF" w14:textId="77777777">
                  <w:pPr>
                    <w:framePr w:hSpace="141" w:wrap="around" w:hAnchor="margin" w:y="2062"/>
                    <w:spacing w:line="276" w:lineRule="auto"/>
                    <w:textAlignment w:val="baseline"/>
                    <w:rPr>
                      <w:rFonts w:ascii="Verdana" w:hAnsi="Verdana"/>
                      <w:sz w:val="18"/>
                      <w:szCs w:val="18"/>
                    </w:rPr>
                  </w:pPr>
                </w:p>
              </w:tc>
              <w:tc>
                <w:tcPr>
                  <w:tcW w:w="494" w:type="pct"/>
                  <w:tcBorders>
                    <w:top w:val="single" w:color="auto" w:sz="4" w:space="0"/>
                    <w:left w:val="single" w:color="000000" w:sz="4" w:space="0"/>
                    <w:bottom w:val="single" w:color="000000" w:sz="4" w:space="0"/>
                    <w:right w:val="single" w:color="000000" w:sz="4" w:space="0"/>
                  </w:tcBorders>
                </w:tcPr>
                <w:p w:rsidRPr="00654A40" w:rsidR="00D13373" w:rsidP="00F74EE4" w:rsidRDefault="00D13373" w14:paraId="1E59947B" w14:textId="77777777">
                  <w:pPr>
                    <w:framePr w:hSpace="141" w:wrap="around" w:hAnchor="margin" w:y="2062"/>
                    <w:spacing w:line="276" w:lineRule="auto"/>
                    <w:textAlignment w:val="baseline"/>
                    <w:rPr>
                      <w:rFonts w:ascii="Verdana" w:hAnsi="Verdana"/>
                      <w:sz w:val="18"/>
                      <w:szCs w:val="18"/>
                    </w:rPr>
                  </w:pPr>
                </w:p>
              </w:tc>
              <w:tc>
                <w:tcPr>
                  <w:tcW w:w="493" w:type="pct"/>
                  <w:tcBorders>
                    <w:top w:val="single" w:color="auto" w:sz="4" w:space="0"/>
                    <w:left w:val="single" w:color="000000" w:sz="4" w:space="0"/>
                    <w:bottom w:val="single" w:color="000000" w:sz="4" w:space="0"/>
                    <w:right w:val="single" w:color="000000" w:sz="4" w:space="0"/>
                  </w:tcBorders>
                </w:tcPr>
                <w:p w:rsidRPr="00654A40" w:rsidR="00D13373" w:rsidP="00F74EE4" w:rsidRDefault="00D13373" w14:paraId="6DA20135" w14:textId="6052A6BF">
                  <w:pPr>
                    <w:framePr w:hSpace="141" w:wrap="around" w:hAnchor="margin" w:y="2062"/>
                    <w:spacing w:line="276" w:lineRule="auto"/>
                    <w:textAlignment w:val="baseline"/>
                    <w:rPr>
                      <w:rFonts w:ascii="Verdana" w:hAnsi="Verdana"/>
                      <w:sz w:val="18"/>
                      <w:szCs w:val="18"/>
                    </w:rPr>
                  </w:pPr>
                  <w:r>
                    <w:rPr>
                      <w:rFonts w:ascii="Verdana" w:hAnsi="Verdana"/>
                      <w:sz w:val="18"/>
                      <w:szCs w:val="18"/>
                    </w:rPr>
                    <w:t>200</w:t>
                  </w:r>
                </w:p>
              </w:tc>
              <w:tc>
                <w:tcPr>
                  <w:tcW w:w="493" w:type="pct"/>
                  <w:tcBorders>
                    <w:top w:val="single" w:color="auto" w:sz="4" w:space="0"/>
                    <w:left w:val="single" w:color="000000" w:sz="4" w:space="0"/>
                    <w:bottom w:val="single" w:color="000000" w:sz="4" w:space="0"/>
                    <w:right w:val="single" w:color="000000" w:sz="4" w:space="0"/>
                  </w:tcBorders>
                </w:tcPr>
                <w:p w:rsidRPr="00654A40" w:rsidR="00D13373" w:rsidP="00F74EE4" w:rsidRDefault="00D13373" w14:paraId="7B1535E0" w14:textId="410DA033">
                  <w:pPr>
                    <w:framePr w:hSpace="141" w:wrap="around" w:hAnchor="margin" w:y="2062"/>
                    <w:spacing w:line="276" w:lineRule="auto"/>
                    <w:textAlignment w:val="baseline"/>
                    <w:rPr>
                      <w:rFonts w:ascii="Verdana" w:hAnsi="Verdana"/>
                      <w:sz w:val="18"/>
                      <w:szCs w:val="18"/>
                    </w:rPr>
                  </w:pPr>
                  <w:r>
                    <w:rPr>
                      <w:rFonts w:ascii="Verdana" w:hAnsi="Verdana"/>
                      <w:sz w:val="18"/>
                      <w:szCs w:val="18"/>
                    </w:rPr>
                    <w:t>200</w:t>
                  </w:r>
                </w:p>
              </w:tc>
              <w:tc>
                <w:tcPr>
                  <w:tcW w:w="493" w:type="pct"/>
                  <w:tcBorders>
                    <w:top w:val="single" w:color="auto" w:sz="4" w:space="0"/>
                    <w:left w:val="single" w:color="000000" w:sz="4" w:space="0"/>
                    <w:bottom w:val="single" w:color="000000" w:sz="4" w:space="0"/>
                    <w:right w:val="single" w:color="000000" w:sz="4" w:space="0"/>
                  </w:tcBorders>
                </w:tcPr>
                <w:p w:rsidRPr="00654A40" w:rsidR="00D13373" w:rsidP="00F74EE4" w:rsidRDefault="00D13373" w14:paraId="77C0DAAB" w14:textId="3239412A">
                  <w:pPr>
                    <w:framePr w:hSpace="141" w:wrap="around" w:hAnchor="margin" w:y="2062"/>
                    <w:spacing w:line="276" w:lineRule="auto"/>
                    <w:textAlignment w:val="baseline"/>
                    <w:rPr>
                      <w:rFonts w:ascii="Verdana" w:hAnsi="Verdana"/>
                      <w:sz w:val="18"/>
                      <w:szCs w:val="18"/>
                    </w:rPr>
                  </w:pPr>
                  <w:r>
                    <w:rPr>
                      <w:rFonts w:ascii="Verdana" w:hAnsi="Verdana"/>
                      <w:sz w:val="18"/>
                      <w:szCs w:val="18"/>
                    </w:rPr>
                    <w:t>200</w:t>
                  </w:r>
                </w:p>
              </w:tc>
              <w:tc>
                <w:tcPr>
                  <w:tcW w:w="1038" w:type="pct"/>
                  <w:tcBorders>
                    <w:top w:val="single" w:color="auto" w:sz="4" w:space="0"/>
                    <w:left w:val="single" w:color="000000" w:sz="4" w:space="0"/>
                    <w:bottom w:val="single" w:color="000000" w:sz="4" w:space="0"/>
                    <w:right w:val="single" w:color="000000" w:sz="4" w:space="0"/>
                  </w:tcBorders>
                </w:tcPr>
                <w:p w:rsidRPr="00654A40" w:rsidR="00D13373" w:rsidP="00F74EE4" w:rsidRDefault="003A0D8F" w14:paraId="3C91BB8C" w14:textId="37646C63">
                  <w:pPr>
                    <w:framePr w:hSpace="141" w:wrap="around" w:hAnchor="margin" w:y="2062"/>
                    <w:spacing w:line="276" w:lineRule="auto"/>
                    <w:textAlignment w:val="baseline"/>
                    <w:rPr>
                      <w:rFonts w:ascii="Verdana" w:hAnsi="Verdana"/>
                      <w:b/>
                      <w:bCs/>
                      <w:sz w:val="18"/>
                      <w:szCs w:val="18"/>
                    </w:rPr>
                  </w:pPr>
                  <w:r>
                    <w:rPr>
                      <w:rFonts w:ascii="Verdana" w:hAnsi="Verdana"/>
                      <w:b/>
                      <w:bCs/>
                      <w:sz w:val="18"/>
                      <w:szCs w:val="18"/>
                    </w:rPr>
                    <w:t>600</w:t>
                  </w:r>
                </w:p>
              </w:tc>
            </w:tr>
            <w:bookmarkEnd w:id="2"/>
            <w:tr w:rsidRPr="00654A40" w:rsidR="00D13373" w:rsidTr="003A0D8F" w14:paraId="0E7127F9" w14:textId="77777777">
              <w:trPr>
                <w:trHeight w:val="153"/>
              </w:trPr>
              <w:tc>
                <w:tcPr>
                  <w:tcW w:w="1497" w:type="pct"/>
                  <w:tcBorders>
                    <w:top w:val="single" w:color="000000" w:sz="4" w:space="0"/>
                    <w:left w:val="single" w:color="000000" w:sz="4" w:space="0"/>
                    <w:bottom w:val="single" w:color="auto" w:sz="4" w:space="0"/>
                    <w:right w:val="single" w:color="000000" w:sz="4" w:space="0"/>
                  </w:tcBorders>
                </w:tcPr>
                <w:p w:rsidRPr="00654A40" w:rsidR="00D13373" w:rsidP="00F74EE4" w:rsidRDefault="00D13373" w14:paraId="32838CD5" w14:textId="4C6B203D">
                  <w:pPr>
                    <w:framePr w:hSpace="141" w:wrap="around" w:hAnchor="margin" w:y="2062"/>
                    <w:spacing w:line="276" w:lineRule="auto"/>
                    <w:textAlignment w:val="baseline"/>
                    <w:rPr>
                      <w:rFonts w:ascii="Verdana" w:hAnsi="Verdana"/>
                      <w:i/>
                      <w:iCs/>
                      <w:sz w:val="18"/>
                      <w:szCs w:val="18"/>
                    </w:rPr>
                  </w:pPr>
                  <w:r w:rsidRPr="00654A40">
                    <w:rPr>
                      <w:rFonts w:ascii="Verdana" w:hAnsi="Verdana"/>
                      <w:b/>
                      <w:bCs/>
                      <w:sz w:val="18"/>
                      <w:szCs w:val="18"/>
                    </w:rPr>
                    <w:t xml:space="preserve">Totaal </w:t>
                  </w:r>
                </w:p>
              </w:tc>
              <w:tc>
                <w:tcPr>
                  <w:tcW w:w="494" w:type="pct"/>
                  <w:tcBorders>
                    <w:top w:val="single" w:color="000000" w:sz="4" w:space="0"/>
                    <w:left w:val="single" w:color="000000" w:sz="4" w:space="0"/>
                    <w:bottom w:val="single" w:color="auto" w:sz="4" w:space="0"/>
                    <w:right w:val="single" w:color="000000" w:sz="4" w:space="0"/>
                  </w:tcBorders>
                </w:tcPr>
                <w:p w:rsidRPr="00654A40" w:rsidR="00D13373" w:rsidP="00F74EE4" w:rsidRDefault="00D13373" w14:paraId="5816D73A" w14:textId="44C09D7A">
                  <w:pPr>
                    <w:framePr w:hSpace="141" w:wrap="around" w:hAnchor="margin" w:y="2062"/>
                    <w:spacing w:line="276" w:lineRule="auto"/>
                    <w:textAlignment w:val="baseline"/>
                    <w:rPr>
                      <w:rFonts w:ascii="Verdana" w:hAnsi="Verdana"/>
                      <w:i/>
                      <w:iCs/>
                      <w:sz w:val="18"/>
                      <w:szCs w:val="18"/>
                    </w:rPr>
                  </w:pPr>
                  <w:r>
                    <w:rPr>
                      <w:rFonts w:ascii="Verdana" w:hAnsi="Verdana"/>
                      <w:b/>
                      <w:bCs/>
                      <w:sz w:val="18"/>
                      <w:szCs w:val="18"/>
                    </w:rPr>
                    <w:t>330</w:t>
                  </w:r>
                </w:p>
              </w:tc>
              <w:tc>
                <w:tcPr>
                  <w:tcW w:w="494" w:type="pct"/>
                  <w:tcBorders>
                    <w:top w:val="single" w:color="000000" w:sz="4" w:space="0"/>
                    <w:left w:val="single" w:color="000000" w:sz="4" w:space="0"/>
                    <w:bottom w:val="single" w:color="auto" w:sz="4" w:space="0"/>
                    <w:right w:val="single" w:color="000000" w:sz="4" w:space="0"/>
                  </w:tcBorders>
                </w:tcPr>
                <w:p w:rsidRPr="00654A40" w:rsidR="00D13373" w:rsidP="00F74EE4" w:rsidRDefault="00D13373" w14:paraId="149028AA" w14:textId="63C9B5A3">
                  <w:pPr>
                    <w:framePr w:hSpace="141" w:wrap="around" w:hAnchor="margin" w:y="2062"/>
                    <w:spacing w:line="276" w:lineRule="auto"/>
                    <w:textAlignment w:val="baseline"/>
                    <w:rPr>
                      <w:rFonts w:ascii="Verdana" w:hAnsi="Verdana"/>
                      <w:i/>
                      <w:iCs/>
                      <w:sz w:val="18"/>
                      <w:szCs w:val="18"/>
                    </w:rPr>
                  </w:pPr>
                  <w:r>
                    <w:rPr>
                      <w:rFonts w:ascii="Verdana" w:hAnsi="Verdana"/>
                      <w:b/>
                      <w:bCs/>
                      <w:sz w:val="18"/>
                      <w:szCs w:val="18"/>
                    </w:rPr>
                    <w:t>330</w:t>
                  </w:r>
                </w:p>
              </w:tc>
              <w:tc>
                <w:tcPr>
                  <w:tcW w:w="493" w:type="pct"/>
                  <w:tcBorders>
                    <w:top w:val="single" w:color="000000" w:sz="4" w:space="0"/>
                    <w:left w:val="single" w:color="000000" w:sz="4" w:space="0"/>
                    <w:bottom w:val="single" w:color="auto" w:sz="4" w:space="0"/>
                    <w:right w:val="single" w:color="000000" w:sz="4" w:space="0"/>
                  </w:tcBorders>
                </w:tcPr>
                <w:p w:rsidRPr="00654A40" w:rsidR="00D13373" w:rsidP="00F74EE4" w:rsidRDefault="00D13373" w14:paraId="7974BA07" w14:textId="4ECA8BC8">
                  <w:pPr>
                    <w:framePr w:hSpace="141" w:wrap="around" w:hAnchor="margin" w:y="2062"/>
                    <w:spacing w:line="276" w:lineRule="auto"/>
                    <w:textAlignment w:val="baseline"/>
                    <w:rPr>
                      <w:rFonts w:ascii="Verdana" w:hAnsi="Verdana"/>
                      <w:sz w:val="18"/>
                      <w:szCs w:val="18"/>
                    </w:rPr>
                  </w:pPr>
                  <w:r>
                    <w:rPr>
                      <w:rFonts w:ascii="Verdana" w:hAnsi="Verdana"/>
                      <w:b/>
                      <w:bCs/>
                      <w:sz w:val="18"/>
                      <w:szCs w:val="18"/>
                    </w:rPr>
                    <w:t>277</w:t>
                  </w:r>
                </w:p>
              </w:tc>
              <w:tc>
                <w:tcPr>
                  <w:tcW w:w="493" w:type="pct"/>
                  <w:tcBorders>
                    <w:top w:val="single" w:color="000000" w:sz="4" w:space="0"/>
                    <w:left w:val="single" w:color="000000" w:sz="4" w:space="0"/>
                    <w:bottom w:val="single" w:color="auto" w:sz="4" w:space="0"/>
                    <w:right w:val="single" w:color="000000" w:sz="4" w:space="0"/>
                  </w:tcBorders>
                </w:tcPr>
                <w:p w:rsidRPr="00654A40" w:rsidR="00D13373" w:rsidP="00F74EE4" w:rsidRDefault="00D13373" w14:paraId="0E118832" w14:textId="5869725F">
                  <w:pPr>
                    <w:framePr w:hSpace="141" w:wrap="around" w:hAnchor="margin" w:y="2062"/>
                    <w:spacing w:line="276" w:lineRule="auto"/>
                    <w:textAlignment w:val="baseline"/>
                    <w:rPr>
                      <w:rFonts w:ascii="Verdana" w:hAnsi="Verdana"/>
                      <w:sz w:val="18"/>
                      <w:szCs w:val="18"/>
                    </w:rPr>
                  </w:pPr>
                  <w:r>
                    <w:rPr>
                      <w:rFonts w:ascii="Verdana" w:hAnsi="Verdana"/>
                      <w:b/>
                      <w:bCs/>
                      <w:sz w:val="18"/>
                      <w:szCs w:val="18"/>
                    </w:rPr>
                    <w:t>200</w:t>
                  </w:r>
                </w:p>
              </w:tc>
              <w:tc>
                <w:tcPr>
                  <w:tcW w:w="493" w:type="pct"/>
                  <w:tcBorders>
                    <w:top w:val="single" w:color="000000" w:sz="4" w:space="0"/>
                    <w:left w:val="single" w:color="000000" w:sz="4" w:space="0"/>
                    <w:bottom w:val="single" w:color="auto" w:sz="4" w:space="0"/>
                    <w:right w:val="single" w:color="000000" w:sz="4" w:space="0"/>
                  </w:tcBorders>
                </w:tcPr>
                <w:p w:rsidRPr="00654A40" w:rsidR="00D13373" w:rsidP="00F74EE4" w:rsidRDefault="00D13373" w14:paraId="51A29E22" w14:textId="339AF0D9">
                  <w:pPr>
                    <w:framePr w:hSpace="141" w:wrap="around" w:hAnchor="margin" w:y="2062"/>
                    <w:spacing w:line="276" w:lineRule="auto"/>
                    <w:textAlignment w:val="baseline"/>
                    <w:rPr>
                      <w:rFonts w:ascii="Verdana" w:hAnsi="Verdana"/>
                      <w:sz w:val="18"/>
                      <w:szCs w:val="18"/>
                    </w:rPr>
                  </w:pPr>
                  <w:r>
                    <w:rPr>
                      <w:rFonts w:ascii="Verdana" w:hAnsi="Verdana"/>
                      <w:b/>
                      <w:bCs/>
                      <w:sz w:val="18"/>
                      <w:szCs w:val="18"/>
                    </w:rPr>
                    <w:t>200</w:t>
                  </w:r>
                </w:p>
              </w:tc>
              <w:tc>
                <w:tcPr>
                  <w:tcW w:w="1038" w:type="pct"/>
                  <w:tcBorders>
                    <w:top w:val="single" w:color="000000" w:sz="4" w:space="0"/>
                    <w:left w:val="single" w:color="000000" w:sz="4" w:space="0"/>
                    <w:bottom w:val="single" w:color="auto" w:sz="4" w:space="0"/>
                    <w:right w:val="single" w:color="000000" w:sz="4" w:space="0"/>
                  </w:tcBorders>
                </w:tcPr>
                <w:p w:rsidRPr="00654A40" w:rsidR="00D13373" w:rsidP="00F74EE4" w:rsidRDefault="00D13373" w14:paraId="30460AEE" w14:textId="66F1B559">
                  <w:pPr>
                    <w:framePr w:hSpace="141" w:wrap="around" w:hAnchor="margin" w:y="2062"/>
                    <w:spacing w:line="276" w:lineRule="auto"/>
                    <w:textAlignment w:val="baseline"/>
                    <w:rPr>
                      <w:rFonts w:ascii="Verdana" w:hAnsi="Verdana"/>
                      <w:b/>
                      <w:bCs/>
                      <w:sz w:val="18"/>
                      <w:szCs w:val="18"/>
                    </w:rPr>
                  </w:pPr>
                  <w:r w:rsidRPr="00654A40">
                    <w:rPr>
                      <w:rFonts w:ascii="Verdana" w:hAnsi="Verdana"/>
                      <w:b/>
                      <w:bCs/>
                      <w:sz w:val="18"/>
                      <w:szCs w:val="18"/>
                    </w:rPr>
                    <w:t>1.</w:t>
                  </w:r>
                  <w:r w:rsidR="003A0D8F">
                    <w:rPr>
                      <w:rFonts w:ascii="Verdana" w:hAnsi="Verdana"/>
                      <w:b/>
                      <w:bCs/>
                      <w:sz w:val="18"/>
                      <w:szCs w:val="18"/>
                    </w:rPr>
                    <w:t>3</w:t>
                  </w:r>
                  <w:r w:rsidRPr="00654A40">
                    <w:rPr>
                      <w:rFonts w:ascii="Verdana" w:hAnsi="Verdana"/>
                      <w:b/>
                      <w:bCs/>
                      <w:sz w:val="18"/>
                      <w:szCs w:val="18"/>
                    </w:rPr>
                    <w:t>37</w:t>
                  </w:r>
                </w:p>
                <w:p w:rsidRPr="00654A40" w:rsidR="00D13373" w:rsidP="00F74EE4" w:rsidRDefault="00D13373" w14:paraId="27CA1415" w14:textId="4F943F31">
                  <w:pPr>
                    <w:framePr w:hSpace="141" w:wrap="around" w:hAnchor="margin" w:y="2062"/>
                    <w:spacing w:line="276" w:lineRule="auto"/>
                    <w:textAlignment w:val="baseline"/>
                    <w:rPr>
                      <w:rFonts w:ascii="Verdana" w:hAnsi="Verdana"/>
                      <w:b/>
                      <w:bCs/>
                      <w:i/>
                      <w:iCs/>
                      <w:sz w:val="18"/>
                      <w:szCs w:val="18"/>
                    </w:rPr>
                  </w:pPr>
                </w:p>
              </w:tc>
            </w:tr>
            <w:tr w:rsidRPr="00654A40" w:rsidR="003A0D8F" w:rsidTr="003A0D8F" w14:paraId="1F333F70" w14:textId="77777777">
              <w:trPr>
                <w:trHeight w:val="153"/>
              </w:trPr>
              <w:tc>
                <w:tcPr>
                  <w:tcW w:w="5000" w:type="pct"/>
                  <w:gridSpan w:val="7"/>
                  <w:tcBorders>
                    <w:top w:val="single" w:color="auto" w:sz="4" w:space="0"/>
                    <w:left w:val="nil"/>
                    <w:bottom w:val="single" w:color="auto" w:sz="4" w:space="0"/>
                    <w:right w:val="nil"/>
                  </w:tcBorders>
                </w:tcPr>
                <w:p w:rsidRPr="00AC1360" w:rsidR="00AC1360" w:rsidP="00F74EE4" w:rsidRDefault="003A0D8F" w14:paraId="04ED506E" w14:textId="018D5CCA">
                  <w:pPr>
                    <w:framePr w:hSpace="141" w:wrap="around" w:hAnchor="margin" w:y="2062"/>
                    <w:spacing w:line="276" w:lineRule="auto"/>
                    <w:textAlignment w:val="baseline"/>
                    <w:rPr>
                      <w:rFonts w:ascii="Verdana" w:hAnsi="Verdana"/>
                      <w:sz w:val="14"/>
                      <w:szCs w:val="14"/>
                    </w:rPr>
                  </w:pPr>
                  <w:r w:rsidRPr="003A0D8F">
                    <w:rPr>
                      <w:rFonts w:ascii="Verdana" w:hAnsi="Verdana"/>
                      <w:sz w:val="16"/>
                      <w:szCs w:val="16"/>
                      <w:vertAlign w:val="superscript"/>
                    </w:rPr>
                    <w:t xml:space="preserve">1 </w:t>
                  </w:r>
                  <w:r w:rsidRPr="003A0D8F">
                    <w:rPr>
                      <w:rFonts w:ascii="Verdana" w:hAnsi="Verdana"/>
                      <w:sz w:val="14"/>
                      <w:szCs w:val="14"/>
                    </w:rPr>
                    <w:t>Exclusief voorafgaande jaren. Initieel begroot kernkapitaal</w:t>
                  </w:r>
                  <w:r w:rsidR="00AC1360">
                    <w:rPr>
                      <w:rFonts w:ascii="Verdana" w:hAnsi="Verdana"/>
                      <w:sz w:val="14"/>
                      <w:szCs w:val="14"/>
                    </w:rPr>
                    <w:t xml:space="preserve"> (2020)</w:t>
                  </w:r>
                  <w:r w:rsidRPr="003A0D8F">
                    <w:rPr>
                      <w:rFonts w:ascii="Verdana" w:hAnsi="Verdana"/>
                      <w:sz w:val="14"/>
                      <w:szCs w:val="14"/>
                    </w:rPr>
                    <w:t>: €1,67mld.</w:t>
                  </w:r>
                </w:p>
              </w:tc>
            </w:tr>
            <w:bookmarkEnd w:id="1"/>
          </w:tbl>
          <w:p w:rsidRPr="00654A40" w:rsidR="00A411C8" w:rsidP="00654A40" w:rsidRDefault="00A411C8" w14:paraId="5AA8C3AC" w14:textId="77777777">
            <w:pPr>
              <w:spacing w:line="276" w:lineRule="auto"/>
              <w:textAlignment w:val="baseline"/>
              <w:rPr>
                <w:rFonts w:ascii="Verdana" w:hAnsi="Verdana"/>
                <w:sz w:val="18"/>
                <w:szCs w:val="18"/>
                <w:bdr w:val="none" w:color="auto" w:sz="0" w:space="0" w:frame="1"/>
              </w:rPr>
            </w:pPr>
          </w:p>
        </w:tc>
      </w:tr>
      <w:tr w:rsidRPr="00654A40" w:rsidR="00A411C8" w:rsidTr="00A411C8" w14:paraId="3522EF3F" w14:textId="77777777">
        <w:tc>
          <w:tcPr>
            <w:tcW w:w="2681" w:type="dxa"/>
            <w:shd w:val="clear" w:color="auto" w:fill="767171" w:themeFill="background2" w:themeFillShade="80"/>
          </w:tcPr>
          <w:p w:rsidR="00CE0082" w:rsidP="00654A40" w:rsidRDefault="00A411C8" w14:paraId="31C9F863" w14:textId="226B37C7">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Financiële gevolgen</w:t>
            </w:r>
            <w:r w:rsidRPr="00654A40" w:rsidR="00FD3842">
              <w:rPr>
                <w:rFonts w:ascii="Verdana" w:hAnsi="Verdana"/>
                <w:b/>
                <w:bCs/>
                <w:color w:val="FFFFFF" w:themeColor="background1"/>
                <w:sz w:val="18"/>
                <w:szCs w:val="18"/>
              </w:rPr>
              <w:t xml:space="preserve"> </w:t>
            </w:r>
            <w:r w:rsidRPr="00654A40">
              <w:rPr>
                <w:rFonts w:ascii="Verdana" w:hAnsi="Verdana"/>
                <w:b/>
                <w:bCs/>
                <w:color w:val="FFFFFF" w:themeColor="background1"/>
                <w:sz w:val="18"/>
                <w:szCs w:val="18"/>
              </w:rPr>
              <w:t xml:space="preserve">voor maatschappelijke sectoren – </w:t>
            </w:r>
            <w:r w:rsidR="00CE0082">
              <w:rPr>
                <w:rFonts w:ascii="Verdana" w:hAnsi="Verdana"/>
                <w:b/>
                <w:bCs/>
                <w:color w:val="FFFFFF" w:themeColor="background1"/>
                <w:sz w:val="18"/>
                <w:szCs w:val="18"/>
              </w:rPr>
              <w:t>indien</w:t>
            </w:r>
            <w:r w:rsidRPr="00654A40">
              <w:rPr>
                <w:rFonts w:ascii="Verdana" w:hAnsi="Verdana"/>
                <w:b/>
                <w:bCs/>
                <w:color w:val="FFFFFF" w:themeColor="background1"/>
                <w:sz w:val="18"/>
                <w:szCs w:val="18"/>
              </w:rPr>
              <w:t xml:space="preserve"> van </w:t>
            </w:r>
          </w:p>
          <w:p w:rsidRPr="00654A40" w:rsidR="00A411C8" w:rsidP="00654A40" w:rsidRDefault="00A411C8" w14:paraId="7753BD14" w14:textId="5B8C55F1">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toepassing</w:t>
            </w:r>
          </w:p>
        </w:tc>
        <w:tc>
          <w:tcPr>
            <w:tcW w:w="6336" w:type="dxa"/>
            <w:shd w:val="clear" w:color="auto" w:fill="D0CECE" w:themeFill="background2" w:themeFillShade="E6"/>
          </w:tcPr>
          <w:p w:rsidR="00F7231C" w:rsidP="006D3168" w:rsidRDefault="00F7231C" w14:paraId="44406F2E" w14:textId="1D0F3C6B">
            <w:pPr>
              <w:pStyle w:val="Geenafstand"/>
              <w:spacing w:line="276" w:lineRule="auto"/>
              <w:rPr>
                <w:rFonts w:ascii="Verdana" w:hAnsi="Verdana"/>
                <w:sz w:val="18"/>
                <w:szCs w:val="18"/>
              </w:rPr>
            </w:pPr>
            <w:r>
              <w:rPr>
                <w:rFonts w:ascii="Verdana" w:hAnsi="Verdana"/>
                <w:sz w:val="18"/>
                <w:szCs w:val="18"/>
              </w:rPr>
              <w:t>Met de beschikbaarheid van deze middelen zijn geen nadelige gevolgen voor maatschappelijke sectoren verbonden</w:t>
            </w:r>
            <w:r w:rsidR="003A0D8F">
              <w:rPr>
                <w:rFonts w:ascii="Verdana" w:hAnsi="Verdana"/>
                <w:sz w:val="18"/>
                <w:szCs w:val="18"/>
              </w:rPr>
              <w:t>. Met de dekking is rekening gehouden bij het HLA.</w:t>
            </w:r>
          </w:p>
          <w:p w:rsidRPr="00654A40" w:rsidR="00A411C8" w:rsidP="00F7231C" w:rsidRDefault="00A411C8" w14:paraId="0EAA44ED" w14:textId="391618A8">
            <w:pPr>
              <w:pStyle w:val="Geenafstand"/>
              <w:spacing w:line="276" w:lineRule="auto"/>
              <w:rPr>
                <w:rFonts w:ascii="Verdana" w:hAnsi="Verdana"/>
                <w:sz w:val="18"/>
                <w:szCs w:val="18"/>
              </w:rPr>
            </w:pPr>
            <w:r w:rsidRPr="00654A40">
              <w:rPr>
                <w:rFonts w:ascii="Verdana" w:hAnsi="Verdana"/>
                <w:sz w:val="18"/>
                <w:szCs w:val="18"/>
              </w:rPr>
              <w:t xml:space="preserve">Met de beschikbaarheid van deze middelen komt er directe en indirecte financiering beschikbaar in de vorm van risicokapitaal en leningen voor innovatieve mkb bedrijven. </w:t>
            </w:r>
          </w:p>
        </w:tc>
      </w:tr>
      <w:tr w:rsidRPr="00654A40" w:rsidR="00A411C8" w:rsidTr="00A411C8" w14:paraId="7A04CFB4" w14:textId="77777777">
        <w:tc>
          <w:tcPr>
            <w:tcW w:w="2681" w:type="dxa"/>
            <w:shd w:val="clear" w:color="auto" w:fill="767171" w:themeFill="background2" w:themeFillShade="80"/>
          </w:tcPr>
          <w:p w:rsidR="00CE0082" w:rsidP="00654A40" w:rsidRDefault="00A411C8" w14:paraId="68CEAB3E" w14:textId="77777777">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 xml:space="preserve">Nagestreefde </w:t>
            </w:r>
          </w:p>
          <w:p w:rsidRPr="00654A40" w:rsidR="00A411C8" w:rsidP="00654A40" w:rsidRDefault="00A411C8" w14:paraId="184111BD" w14:textId="6FF36DF8">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doeltreffendheid</w:t>
            </w:r>
          </w:p>
        </w:tc>
        <w:tc>
          <w:tcPr>
            <w:tcW w:w="6336" w:type="dxa"/>
            <w:shd w:val="clear" w:color="auto" w:fill="D0CECE" w:themeFill="background2" w:themeFillShade="E6"/>
          </w:tcPr>
          <w:p w:rsidR="00F7231C" w:rsidP="00654A40" w:rsidRDefault="00F7231C" w14:paraId="6DDB580F" w14:textId="45D8ED30">
            <w:pPr>
              <w:pStyle w:val="Geenafstand"/>
              <w:spacing w:line="276" w:lineRule="auto"/>
              <w:rPr>
                <w:rFonts w:ascii="Verdana" w:hAnsi="Verdana"/>
                <w:sz w:val="18"/>
                <w:szCs w:val="18"/>
              </w:rPr>
            </w:pPr>
            <w:r>
              <w:rPr>
                <w:rFonts w:ascii="Verdana" w:hAnsi="Verdana"/>
                <w:sz w:val="18"/>
                <w:szCs w:val="18"/>
              </w:rPr>
              <w:t xml:space="preserve">In 2022 heeft conform de Machtigingswet </w:t>
            </w:r>
            <w:proofErr w:type="spellStart"/>
            <w:r>
              <w:rPr>
                <w:rFonts w:ascii="Verdana" w:hAnsi="Verdana"/>
                <w:sz w:val="18"/>
                <w:szCs w:val="18"/>
              </w:rPr>
              <w:t>Invest</w:t>
            </w:r>
            <w:proofErr w:type="spellEnd"/>
            <w:r>
              <w:rPr>
                <w:rFonts w:ascii="Verdana" w:hAnsi="Verdana"/>
                <w:sz w:val="18"/>
                <w:szCs w:val="18"/>
              </w:rPr>
              <w:t>-NL een tussentijdse evaluatie plaatsgevonden.</w:t>
            </w:r>
            <w:r w:rsidR="006D3168">
              <w:rPr>
                <w:rStyle w:val="Voetnootmarkering"/>
                <w:rFonts w:ascii="Verdana" w:hAnsi="Verdana"/>
                <w:sz w:val="18"/>
                <w:szCs w:val="18"/>
              </w:rPr>
              <w:footnoteReference w:id="2"/>
            </w:r>
            <w:r>
              <w:rPr>
                <w:rFonts w:ascii="Verdana" w:hAnsi="Verdana"/>
                <w:sz w:val="18"/>
                <w:szCs w:val="18"/>
              </w:rPr>
              <w:t xml:space="preserve"> Hier is de doeltreffendheid van </w:t>
            </w:r>
            <w:proofErr w:type="spellStart"/>
            <w:r>
              <w:rPr>
                <w:rFonts w:ascii="Verdana" w:hAnsi="Verdana"/>
                <w:sz w:val="18"/>
                <w:szCs w:val="18"/>
              </w:rPr>
              <w:t>Invest</w:t>
            </w:r>
            <w:proofErr w:type="spellEnd"/>
            <w:r>
              <w:rPr>
                <w:rFonts w:ascii="Verdana" w:hAnsi="Verdana"/>
                <w:sz w:val="18"/>
                <w:szCs w:val="18"/>
              </w:rPr>
              <w:t>-NL</w:t>
            </w:r>
            <w:r w:rsidR="006D3168">
              <w:rPr>
                <w:rFonts w:ascii="Verdana" w:hAnsi="Verdana"/>
                <w:sz w:val="18"/>
                <w:szCs w:val="18"/>
              </w:rPr>
              <w:t xml:space="preserve"> in het algemeen</w:t>
            </w:r>
            <w:r>
              <w:rPr>
                <w:rFonts w:ascii="Verdana" w:hAnsi="Verdana"/>
                <w:sz w:val="18"/>
                <w:szCs w:val="18"/>
              </w:rPr>
              <w:t xml:space="preserve"> geconcludeerd. Vooralsnog bevalen de onderzoekers aan om het mandaat van </w:t>
            </w:r>
            <w:proofErr w:type="spellStart"/>
            <w:r>
              <w:rPr>
                <w:rFonts w:ascii="Verdana" w:hAnsi="Verdana"/>
                <w:sz w:val="18"/>
                <w:szCs w:val="18"/>
              </w:rPr>
              <w:t>Invest</w:t>
            </w:r>
            <w:proofErr w:type="spellEnd"/>
            <w:r>
              <w:rPr>
                <w:rFonts w:ascii="Verdana" w:hAnsi="Verdana"/>
                <w:sz w:val="18"/>
                <w:szCs w:val="18"/>
              </w:rPr>
              <w:t xml:space="preserve">-NL breder in te zetten, om zo </w:t>
            </w:r>
            <w:proofErr w:type="spellStart"/>
            <w:r>
              <w:rPr>
                <w:rFonts w:ascii="Verdana" w:hAnsi="Verdana"/>
                <w:sz w:val="18"/>
                <w:szCs w:val="18"/>
              </w:rPr>
              <w:t>Invest</w:t>
            </w:r>
            <w:proofErr w:type="spellEnd"/>
            <w:r>
              <w:rPr>
                <w:rFonts w:ascii="Verdana" w:hAnsi="Verdana"/>
                <w:sz w:val="18"/>
                <w:szCs w:val="18"/>
              </w:rPr>
              <w:t xml:space="preserve">-NL beter in de (risicokapitaal-)markt te positioneren. </w:t>
            </w:r>
          </w:p>
          <w:p w:rsidR="00F7231C" w:rsidP="00654A40" w:rsidRDefault="00F7231C" w14:paraId="3CBEA1FD" w14:textId="77777777">
            <w:pPr>
              <w:pStyle w:val="Geenafstand"/>
              <w:spacing w:line="276" w:lineRule="auto"/>
              <w:rPr>
                <w:rFonts w:ascii="Verdana" w:hAnsi="Verdana"/>
                <w:sz w:val="18"/>
                <w:szCs w:val="18"/>
              </w:rPr>
            </w:pPr>
          </w:p>
          <w:p w:rsidRPr="00654A40" w:rsidR="00E169BF" w:rsidP="00654A40" w:rsidRDefault="00E169BF" w14:paraId="273AA1DC" w14:textId="72198FEF">
            <w:pPr>
              <w:pStyle w:val="Geenafstand"/>
              <w:spacing w:line="276" w:lineRule="auto"/>
              <w:rPr>
                <w:rFonts w:ascii="Verdana" w:hAnsi="Verdana"/>
                <w:sz w:val="18"/>
                <w:szCs w:val="18"/>
              </w:rPr>
            </w:pPr>
            <w:r w:rsidRPr="00654A40">
              <w:rPr>
                <w:rFonts w:ascii="Verdana" w:hAnsi="Verdana"/>
                <w:sz w:val="18"/>
                <w:szCs w:val="18"/>
              </w:rPr>
              <w:t>Met de aanvullende middelen (financiering) wordt beoogd om de effectieve</w:t>
            </w:r>
            <w:r w:rsidR="00A03857">
              <w:rPr>
                <w:rFonts w:ascii="Verdana" w:hAnsi="Verdana"/>
                <w:sz w:val="18"/>
                <w:szCs w:val="18"/>
              </w:rPr>
              <w:t>re</w:t>
            </w:r>
            <w:r w:rsidRPr="00654A40">
              <w:rPr>
                <w:rFonts w:ascii="Verdana" w:hAnsi="Verdana"/>
                <w:sz w:val="18"/>
                <w:szCs w:val="18"/>
              </w:rPr>
              <w:t xml:space="preserve"> inzet via </w:t>
            </w:r>
            <w:proofErr w:type="spellStart"/>
            <w:r w:rsidRPr="00654A40">
              <w:rPr>
                <w:rFonts w:ascii="Verdana" w:hAnsi="Verdana"/>
                <w:sz w:val="18"/>
                <w:szCs w:val="18"/>
              </w:rPr>
              <w:t>Invest</w:t>
            </w:r>
            <w:proofErr w:type="spellEnd"/>
            <w:r w:rsidRPr="00654A40">
              <w:rPr>
                <w:rFonts w:ascii="Verdana" w:hAnsi="Verdana"/>
                <w:sz w:val="18"/>
                <w:szCs w:val="18"/>
              </w:rPr>
              <w:t>-NL</w:t>
            </w:r>
            <w:r w:rsidR="00A03857">
              <w:rPr>
                <w:rFonts w:ascii="Verdana" w:hAnsi="Verdana"/>
                <w:sz w:val="18"/>
                <w:szCs w:val="18"/>
              </w:rPr>
              <w:t xml:space="preserve"> (zoals in 2022 aanbevolen)</w:t>
            </w:r>
            <w:r w:rsidRPr="00654A40">
              <w:rPr>
                <w:rFonts w:ascii="Verdana" w:hAnsi="Verdana"/>
                <w:sz w:val="18"/>
                <w:szCs w:val="18"/>
              </w:rPr>
              <w:t xml:space="preserve"> te vergroten middels o.a. diverse financieringsinstrumenten, fund-of-fund, directe fondsen, eigen vermogen</w:t>
            </w:r>
            <w:r w:rsidR="00E00486">
              <w:rPr>
                <w:rFonts w:ascii="Verdana" w:hAnsi="Verdana"/>
                <w:sz w:val="18"/>
                <w:szCs w:val="18"/>
              </w:rPr>
              <w:t xml:space="preserve"> en</w:t>
            </w:r>
            <w:r w:rsidRPr="00654A40">
              <w:rPr>
                <w:rFonts w:ascii="Verdana" w:hAnsi="Verdana"/>
                <w:sz w:val="18"/>
                <w:szCs w:val="18"/>
              </w:rPr>
              <w:t xml:space="preserve"> leningen. Dit moet ertoe leiden: </w:t>
            </w:r>
          </w:p>
          <w:p w:rsidRPr="00654A40" w:rsidR="00A411C8" w:rsidP="00654A40" w:rsidRDefault="00E169BF" w14:paraId="2EFFF6B3" w14:textId="74F8438F">
            <w:pPr>
              <w:pStyle w:val="Geenafstand"/>
              <w:numPr>
                <w:ilvl w:val="0"/>
                <w:numId w:val="3"/>
              </w:numPr>
              <w:spacing w:line="276" w:lineRule="auto"/>
              <w:rPr>
                <w:rFonts w:ascii="Verdana" w:hAnsi="Verdana"/>
                <w:sz w:val="18"/>
                <w:szCs w:val="18"/>
              </w:rPr>
            </w:pPr>
            <w:r w:rsidRPr="00654A40">
              <w:rPr>
                <w:rFonts w:ascii="Verdana" w:hAnsi="Verdana"/>
                <w:sz w:val="18"/>
                <w:szCs w:val="18"/>
              </w:rPr>
              <w:t xml:space="preserve">dat er verbetering ontstaat op het vlak van toegang tot financiering met een effectief </w:t>
            </w:r>
            <w:r w:rsidRPr="00654A40" w:rsidR="00A411C8">
              <w:rPr>
                <w:rFonts w:ascii="Verdana" w:hAnsi="Verdana"/>
                <w:sz w:val="18"/>
                <w:szCs w:val="18"/>
              </w:rPr>
              <w:t xml:space="preserve">kapitaalmarktinstrumentarium en een goed werkende financieringsmarkt (waarin geen of zeer beperkt knelpunten zijn) en een attractief vestigings- </w:t>
            </w:r>
            <w:r w:rsidRPr="00654A40" w:rsidR="00D77300">
              <w:rPr>
                <w:rFonts w:ascii="Verdana" w:hAnsi="Verdana"/>
                <w:sz w:val="18"/>
                <w:szCs w:val="18"/>
              </w:rPr>
              <w:t>en</w:t>
            </w:r>
            <w:r w:rsidRPr="00654A40" w:rsidR="00A411C8">
              <w:rPr>
                <w:rFonts w:ascii="Verdana" w:hAnsi="Verdana"/>
                <w:sz w:val="18"/>
                <w:szCs w:val="18"/>
              </w:rPr>
              <w:t xml:space="preserve"> investeringsklimaat</w:t>
            </w:r>
            <w:r w:rsidRPr="00654A40">
              <w:rPr>
                <w:rFonts w:ascii="Verdana" w:hAnsi="Verdana"/>
                <w:sz w:val="18"/>
                <w:szCs w:val="18"/>
              </w:rPr>
              <w:t>;</w:t>
            </w:r>
          </w:p>
          <w:p w:rsidRPr="00654A40" w:rsidR="00A411C8" w:rsidP="00654A40" w:rsidRDefault="00E169BF" w14:paraId="2CA7FE5B" w14:textId="2FCDC09B">
            <w:pPr>
              <w:pStyle w:val="Geenafstand"/>
              <w:numPr>
                <w:ilvl w:val="0"/>
                <w:numId w:val="3"/>
              </w:numPr>
              <w:spacing w:line="276" w:lineRule="auto"/>
              <w:rPr>
                <w:rFonts w:ascii="Verdana" w:hAnsi="Verdana"/>
                <w:sz w:val="18"/>
                <w:szCs w:val="18"/>
              </w:rPr>
            </w:pPr>
            <w:r w:rsidRPr="00654A40">
              <w:rPr>
                <w:rFonts w:ascii="Verdana" w:hAnsi="Verdana"/>
                <w:sz w:val="18"/>
                <w:szCs w:val="18"/>
              </w:rPr>
              <w:t>dat er een</w:t>
            </w:r>
            <w:r w:rsidRPr="00654A40" w:rsidR="00A411C8">
              <w:rPr>
                <w:rFonts w:ascii="Verdana" w:hAnsi="Verdana"/>
                <w:sz w:val="18"/>
                <w:szCs w:val="18"/>
              </w:rPr>
              <w:t xml:space="preserve"> positief effect </w:t>
            </w:r>
            <w:r w:rsidRPr="00654A40">
              <w:rPr>
                <w:rFonts w:ascii="Verdana" w:hAnsi="Verdana"/>
                <w:sz w:val="18"/>
                <w:szCs w:val="18"/>
              </w:rPr>
              <w:t>wordt</w:t>
            </w:r>
            <w:r w:rsidRPr="00654A40" w:rsidR="00A411C8">
              <w:rPr>
                <w:rFonts w:ascii="Verdana" w:hAnsi="Verdana"/>
                <w:sz w:val="18"/>
                <w:szCs w:val="18"/>
              </w:rPr>
              <w:t xml:space="preserve"> beha</w:t>
            </w:r>
            <w:r w:rsidRPr="00654A40">
              <w:rPr>
                <w:rFonts w:ascii="Verdana" w:hAnsi="Verdana"/>
                <w:sz w:val="18"/>
                <w:szCs w:val="18"/>
              </w:rPr>
              <w:t xml:space="preserve">ald ten aanzien van de </w:t>
            </w:r>
            <w:r w:rsidRPr="00654A40" w:rsidR="00A411C8">
              <w:rPr>
                <w:rFonts w:ascii="Verdana" w:hAnsi="Verdana"/>
                <w:sz w:val="18"/>
                <w:szCs w:val="18"/>
              </w:rPr>
              <w:t xml:space="preserve"> doelstellingen</w:t>
            </w:r>
            <w:r w:rsidRPr="00654A40">
              <w:rPr>
                <w:rFonts w:ascii="Verdana" w:hAnsi="Verdana"/>
                <w:sz w:val="18"/>
                <w:szCs w:val="18"/>
              </w:rPr>
              <w:t xml:space="preserve"> op het gebied van</w:t>
            </w:r>
            <w:r w:rsidRPr="00654A40" w:rsidR="00A411C8">
              <w:rPr>
                <w:rFonts w:ascii="Verdana" w:hAnsi="Verdana"/>
                <w:sz w:val="18"/>
                <w:szCs w:val="18"/>
              </w:rPr>
              <w:t xml:space="preserve"> innovatie en transities (bijvoorbeeld verduurzaming)</w:t>
            </w:r>
            <w:r w:rsidRPr="00654A40">
              <w:rPr>
                <w:rFonts w:ascii="Verdana" w:hAnsi="Verdana"/>
                <w:sz w:val="18"/>
                <w:szCs w:val="18"/>
              </w:rPr>
              <w:t xml:space="preserve"> en het bevorderen van een </w:t>
            </w:r>
            <w:r w:rsidRPr="00654A40" w:rsidR="00D77300">
              <w:rPr>
                <w:rFonts w:ascii="Verdana" w:hAnsi="Verdana"/>
                <w:sz w:val="18"/>
                <w:szCs w:val="18"/>
              </w:rPr>
              <w:lastRenderedPageBreak/>
              <w:t xml:space="preserve">gunstig </w:t>
            </w:r>
            <w:r w:rsidRPr="00654A40" w:rsidR="00A411C8">
              <w:rPr>
                <w:rFonts w:ascii="Verdana" w:hAnsi="Verdana"/>
                <w:sz w:val="18"/>
                <w:szCs w:val="18"/>
              </w:rPr>
              <w:t>ondernemings- en vestigingsklimaat en innovatiebevordering &amp; economische vernieuwing van sectoren</w:t>
            </w:r>
            <w:r w:rsidRPr="00654A40">
              <w:rPr>
                <w:rFonts w:ascii="Verdana" w:hAnsi="Verdana"/>
                <w:sz w:val="18"/>
                <w:szCs w:val="18"/>
              </w:rPr>
              <w:t>;</w:t>
            </w:r>
          </w:p>
          <w:p w:rsidRPr="00AC1360" w:rsidR="00A411C8" w:rsidP="00654A40" w:rsidRDefault="00E169BF" w14:paraId="04C44E84" w14:textId="3295D4EB">
            <w:pPr>
              <w:pStyle w:val="Geenafstand"/>
              <w:numPr>
                <w:ilvl w:val="0"/>
                <w:numId w:val="3"/>
              </w:numPr>
              <w:spacing w:line="276" w:lineRule="auto"/>
              <w:rPr>
                <w:rFonts w:ascii="Verdana" w:hAnsi="Verdana"/>
                <w:sz w:val="18"/>
                <w:szCs w:val="18"/>
              </w:rPr>
            </w:pPr>
            <w:r w:rsidRPr="00654A40">
              <w:rPr>
                <w:rFonts w:ascii="Verdana" w:hAnsi="Verdana"/>
                <w:sz w:val="18"/>
                <w:szCs w:val="18"/>
              </w:rPr>
              <w:t xml:space="preserve">dat er sprake is van toenemende </w:t>
            </w:r>
            <w:r w:rsidRPr="00654A40" w:rsidR="00A411C8">
              <w:rPr>
                <w:rFonts w:ascii="Verdana" w:hAnsi="Verdana"/>
                <w:sz w:val="18"/>
                <w:szCs w:val="18"/>
              </w:rPr>
              <w:t xml:space="preserve">duurzame en maatschappelijk verantwoorde welvaartsgroei en brede welvaart. </w:t>
            </w:r>
          </w:p>
        </w:tc>
      </w:tr>
      <w:tr w:rsidRPr="00654A40" w:rsidR="00A411C8" w:rsidTr="00A411C8" w14:paraId="4CEF3CE6" w14:textId="77777777">
        <w:tc>
          <w:tcPr>
            <w:tcW w:w="2681" w:type="dxa"/>
            <w:shd w:val="clear" w:color="auto" w:fill="767171" w:themeFill="background2" w:themeFillShade="80"/>
          </w:tcPr>
          <w:p w:rsidR="00CE0082" w:rsidP="00654A40" w:rsidRDefault="00A411C8" w14:paraId="63AEFC73" w14:textId="77777777">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lastRenderedPageBreak/>
              <w:t xml:space="preserve">Nagestreefde </w:t>
            </w:r>
          </w:p>
          <w:p w:rsidRPr="00654A40" w:rsidR="00A411C8" w:rsidP="00654A40" w:rsidRDefault="00A411C8" w14:paraId="25A11D9C" w14:textId="15E740D6">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doelmatigheid</w:t>
            </w:r>
          </w:p>
        </w:tc>
        <w:tc>
          <w:tcPr>
            <w:tcW w:w="6336" w:type="dxa"/>
            <w:shd w:val="clear" w:color="auto" w:fill="D0CECE" w:themeFill="background2" w:themeFillShade="E6"/>
          </w:tcPr>
          <w:p w:rsidRPr="00654A40" w:rsidR="00A411C8" w:rsidP="00654A40" w:rsidRDefault="006D3168" w14:paraId="03D99329" w14:textId="2EF65F70">
            <w:pPr>
              <w:pStyle w:val="paragraph"/>
              <w:spacing w:before="0" w:beforeAutospacing="0" w:after="0" w:afterAutospacing="0" w:line="276" w:lineRule="auto"/>
              <w:textAlignment w:val="baseline"/>
              <w:rPr>
                <w:rFonts w:ascii="Verdana" w:hAnsi="Verdana"/>
                <w:sz w:val="18"/>
                <w:szCs w:val="18"/>
              </w:rPr>
            </w:pPr>
            <w:r>
              <w:rPr>
                <w:rFonts w:ascii="Verdana" w:hAnsi="Verdana"/>
                <w:sz w:val="18"/>
                <w:szCs w:val="18"/>
              </w:rPr>
              <w:t xml:space="preserve">In 2022 heeft conform de Machtigingswet </w:t>
            </w:r>
            <w:proofErr w:type="spellStart"/>
            <w:r>
              <w:rPr>
                <w:rFonts w:ascii="Verdana" w:hAnsi="Verdana"/>
                <w:sz w:val="18"/>
                <w:szCs w:val="18"/>
              </w:rPr>
              <w:t>Invest</w:t>
            </w:r>
            <w:proofErr w:type="spellEnd"/>
            <w:r>
              <w:rPr>
                <w:rFonts w:ascii="Verdana" w:hAnsi="Verdana"/>
                <w:sz w:val="18"/>
                <w:szCs w:val="18"/>
              </w:rPr>
              <w:t xml:space="preserve">-NL een tussentijdse evaluatie plaatsgevonden. Verder is in 2024 de financiering van </w:t>
            </w:r>
            <w:proofErr w:type="spellStart"/>
            <w:r>
              <w:rPr>
                <w:rFonts w:ascii="Verdana" w:hAnsi="Verdana"/>
                <w:sz w:val="18"/>
                <w:szCs w:val="18"/>
              </w:rPr>
              <w:t>Invest</w:t>
            </w:r>
            <w:proofErr w:type="spellEnd"/>
            <w:r>
              <w:rPr>
                <w:rFonts w:ascii="Verdana" w:hAnsi="Verdana"/>
                <w:sz w:val="18"/>
                <w:szCs w:val="18"/>
              </w:rPr>
              <w:t>-NL geëvalueerd</w:t>
            </w:r>
            <w:r w:rsidR="009B64A8">
              <w:rPr>
                <w:rStyle w:val="Voetnootmarkering"/>
                <w:rFonts w:ascii="Verdana" w:hAnsi="Verdana"/>
                <w:sz w:val="18"/>
                <w:szCs w:val="18"/>
              </w:rPr>
              <w:footnoteReference w:id="3"/>
            </w:r>
            <w:r>
              <w:rPr>
                <w:rFonts w:ascii="Verdana" w:hAnsi="Verdana"/>
                <w:sz w:val="18"/>
                <w:szCs w:val="18"/>
              </w:rPr>
              <w:t xml:space="preserve">. </w:t>
            </w:r>
            <w:r w:rsidRPr="00654A40" w:rsidR="00A411C8">
              <w:rPr>
                <w:rFonts w:ascii="Verdana" w:hAnsi="Verdana"/>
                <w:sz w:val="18"/>
                <w:szCs w:val="18"/>
              </w:rPr>
              <w:t>Het betreft een efficiënte manier van besteding omdat gebruik gemaakt zal worden van een bestaande organisatie (</w:t>
            </w:r>
            <w:proofErr w:type="spellStart"/>
            <w:r w:rsidRPr="00654A40" w:rsidR="00A411C8">
              <w:rPr>
                <w:rFonts w:ascii="Verdana" w:hAnsi="Verdana"/>
                <w:sz w:val="18"/>
                <w:szCs w:val="18"/>
              </w:rPr>
              <w:t>Invest</w:t>
            </w:r>
            <w:proofErr w:type="spellEnd"/>
            <w:r w:rsidRPr="00654A40" w:rsidR="00A411C8">
              <w:rPr>
                <w:rFonts w:ascii="Verdana" w:hAnsi="Verdana"/>
                <w:sz w:val="18"/>
                <w:szCs w:val="18"/>
              </w:rPr>
              <w:t>-NL) via bestaande entiteiten. Bovendien is de inzet additioneel aan andere bestaande instrumenten.</w:t>
            </w:r>
            <w:r w:rsidR="009C4EE2">
              <w:rPr>
                <w:rFonts w:ascii="Verdana" w:hAnsi="Verdana"/>
                <w:sz w:val="18"/>
                <w:szCs w:val="18"/>
              </w:rPr>
              <w:t xml:space="preserve"> Investeringen vanuit het kernkapitaal moeten voldoen aan </w:t>
            </w:r>
            <w:r w:rsidR="003A0D8F">
              <w:rPr>
                <w:rFonts w:ascii="Verdana" w:hAnsi="Verdana"/>
                <w:sz w:val="18"/>
                <w:szCs w:val="18"/>
              </w:rPr>
              <w:t>de rendementsdoelstelling</w:t>
            </w:r>
            <w:r w:rsidR="009C4EE2">
              <w:rPr>
                <w:rFonts w:ascii="Verdana" w:hAnsi="Verdana"/>
                <w:sz w:val="18"/>
                <w:szCs w:val="18"/>
              </w:rPr>
              <w:t xml:space="preserve">, daarmee </w:t>
            </w:r>
            <w:r w:rsidR="001E2A78">
              <w:rPr>
                <w:rFonts w:ascii="Verdana" w:hAnsi="Verdana"/>
                <w:sz w:val="18"/>
                <w:szCs w:val="18"/>
              </w:rPr>
              <w:t>moeten</w:t>
            </w:r>
            <w:r w:rsidR="009C4EE2">
              <w:rPr>
                <w:rFonts w:ascii="Verdana" w:hAnsi="Verdana"/>
                <w:sz w:val="18"/>
                <w:szCs w:val="18"/>
              </w:rPr>
              <w:t xml:space="preserve"> de middelen </w:t>
            </w:r>
            <w:r w:rsidR="001E2A78">
              <w:rPr>
                <w:rFonts w:ascii="Verdana" w:hAnsi="Verdana"/>
                <w:sz w:val="18"/>
                <w:szCs w:val="18"/>
              </w:rPr>
              <w:t xml:space="preserve">als </w:t>
            </w:r>
            <w:proofErr w:type="spellStart"/>
            <w:r w:rsidR="009C4EE2">
              <w:rPr>
                <w:rFonts w:ascii="Verdana" w:hAnsi="Verdana"/>
                <w:sz w:val="18"/>
                <w:szCs w:val="18"/>
              </w:rPr>
              <w:t>revolverend</w:t>
            </w:r>
            <w:proofErr w:type="spellEnd"/>
            <w:r w:rsidR="001E2A78">
              <w:rPr>
                <w:rFonts w:ascii="Verdana" w:hAnsi="Verdana"/>
                <w:sz w:val="18"/>
                <w:szCs w:val="18"/>
              </w:rPr>
              <w:t xml:space="preserve"> worden gezien</w:t>
            </w:r>
            <w:r w:rsidR="009C4EE2">
              <w:rPr>
                <w:rFonts w:ascii="Verdana" w:hAnsi="Verdana"/>
                <w:sz w:val="18"/>
                <w:szCs w:val="18"/>
              </w:rPr>
              <w:t xml:space="preserve">. </w:t>
            </w:r>
          </w:p>
        </w:tc>
      </w:tr>
      <w:tr w:rsidRPr="00654A40" w:rsidR="00A411C8" w:rsidTr="00A411C8" w14:paraId="25C6C40C" w14:textId="77777777">
        <w:tc>
          <w:tcPr>
            <w:tcW w:w="2681" w:type="dxa"/>
            <w:shd w:val="clear" w:color="auto" w:fill="767171" w:themeFill="background2" w:themeFillShade="80"/>
          </w:tcPr>
          <w:p w:rsidR="00CE0082" w:rsidP="00654A40" w:rsidRDefault="00A411C8" w14:paraId="67B398A2" w14:textId="77777777">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 xml:space="preserve">Evaluatieparagraaf </w:t>
            </w:r>
          </w:p>
          <w:p w:rsidRPr="00654A40" w:rsidR="00A411C8" w:rsidP="00654A40" w:rsidRDefault="00A411C8" w14:paraId="11001574" w14:textId="4B17B625">
            <w:pPr>
              <w:pStyle w:val="Geenafstand"/>
              <w:spacing w:line="276" w:lineRule="auto"/>
              <w:rPr>
                <w:rFonts w:ascii="Verdana" w:hAnsi="Verdana"/>
                <w:b/>
                <w:bCs/>
                <w:color w:val="FFFFFF" w:themeColor="background1"/>
                <w:sz w:val="18"/>
                <w:szCs w:val="18"/>
              </w:rPr>
            </w:pPr>
            <w:r w:rsidRPr="00654A40">
              <w:rPr>
                <w:rFonts w:ascii="Verdana" w:hAnsi="Verdana"/>
                <w:b/>
                <w:bCs/>
                <w:color w:val="FFFFFF" w:themeColor="background1"/>
                <w:sz w:val="18"/>
                <w:szCs w:val="18"/>
              </w:rPr>
              <w:t>(of en hoe)</w:t>
            </w:r>
          </w:p>
        </w:tc>
        <w:tc>
          <w:tcPr>
            <w:tcW w:w="6336" w:type="dxa"/>
            <w:shd w:val="clear" w:color="auto" w:fill="D0CECE" w:themeFill="background2" w:themeFillShade="E6"/>
          </w:tcPr>
          <w:p w:rsidR="009B64A8" w:rsidP="00654A40" w:rsidRDefault="009B64A8" w14:paraId="52E56C29" w14:textId="3222FA89">
            <w:pPr>
              <w:pStyle w:val="Geenafstand"/>
              <w:spacing w:line="276" w:lineRule="auto"/>
              <w:rPr>
                <w:rFonts w:ascii="Verdana" w:hAnsi="Verdana"/>
                <w:sz w:val="18"/>
                <w:szCs w:val="18"/>
              </w:rPr>
            </w:pPr>
            <w:r>
              <w:rPr>
                <w:rFonts w:ascii="Verdana" w:hAnsi="Verdana"/>
                <w:sz w:val="18"/>
                <w:szCs w:val="18"/>
              </w:rPr>
              <w:t xml:space="preserve">Sinds de oprichting is </w:t>
            </w:r>
            <w:proofErr w:type="spellStart"/>
            <w:r>
              <w:rPr>
                <w:rFonts w:ascii="Verdana" w:hAnsi="Verdana"/>
                <w:sz w:val="18"/>
                <w:szCs w:val="18"/>
              </w:rPr>
              <w:t>Invest</w:t>
            </w:r>
            <w:proofErr w:type="spellEnd"/>
            <w:r>
              <w:rPr>
                <w:rFonts w:ascii="Verdana" w:hAnsi="Verdana"/>
                <w:sz w:val="18"/>
                <w:szCs w:val="18"/>
              </w:rPr>
              <w:t>-NL op onderdelen van de werkwijze geëvalueerd: in 2022 (werkwijze/mandaat) en 2024 (financieringsomvang)</w:t>
            </w:r>
            <w:r w:rsidRPr="00654A40" w:rsidR="007D435C">
              <w:rPr>
                <w:rFonts w:ascii="Verdana" w:hAnsi="Verdana"/>
                <w:sz w:val="18"/>
                <w:szCs w:val="18"/>
              </w:rPr>
              <w:t xml:space="preserve">. Hierbij is de kapitaalbehoefte van </w:t>
            </w:r>
            <w:proofErr w:type="spellStart"/>
            <w:r w:rsidRPr="00654A40" w:rsidR="007D435C">
              <w:rPr>
                <w:rFonts w:ascii="Verdana" w:hAnsi="Verdana"/>
                <w:sz w:val="18"/>
                <w:szCs w:val="18"/>
              </w:rPr>
              <w:t>Invest</w:t>
            </w:r>
            <w:proofErr w:type="spellEnd"/>
            <w:r w:rsidRPr="00654A40" w:rsidR="007D435C">
              <w:rPr>
                <w:rFonts w:ascii="Verdana" w:hAnsi="Verdana"/>
                <w:sz w:val="18"/>
                <w:szCs w:val="18"/>
              </w:rPr>
              <w:t xml:space="preserve">-NL voor de komende jaren gevalideerd. </w:t>
            </w:r>
            <w:r>
              <w:rPr>
                <w:rFonts w:ascii="Verdana" w:hAnsi="Verdana"/>
                <w:sz w:val="18"/>
                <w:szCs w:val="18"/>
              </w:rPr>
              <w:t xml:space="preserve">In 2026/2027 zal de staat het aandeelhouderschap in </w:t>
            </w:r>
            <w:proofErr w:type="spellStart"/>
            <w:r>
              <w:rPr>
                <w:rFonts w:ascii="Verdana" w:hAnsi="Verdana"/>
                <w:sz w:val="18"/>
                <w:szCs w:val="18"/>
              </w:rPr>
              <w:t>Invest</w:t>
            </w:r>
            <w:proofErr w:type="spellEnd"/>
            <w:r>
              <w:rPr>
                <w:rFonts w:ascii="Verdana" w:hAnsi="Verdana"/>
                <w:sz w:val="18"/>
                <w:szCs w:val="18"/>
              </w:rPr>
              <w:t xml:space="preserve">-NL evalueren. </w:t>
            </w:r>
          </w:p>
          <w:p w:rsidR="009B64A8" w:rsidP="00654A40" w:rsidRDefault="009B64A8" w14:paraId="5AE996C9" w14:textId="77777777">
            <w:pPr>
              <w:pStyle w:val="Geenafstand"/>
              <w:spacing w:line="276" w:lineRule="auto"/>
              <w:rPr>
                <w:rFonts w:ascii="Verdana" w:hAnsi="Verdana"/>
                <w:sz w:val="18"/>
                <w:szCs w:val="18"/>
              </w:rPr>
            </w:pPr>
          </w:p>
          <w:p w:rsidRPr="00654A40" w:rsidR="00A411C8" w:rsidP="00654A40" w:rsidRDefault="007D435C" w14:paraId="5ACA8114" w14:textId="72ADF701">
            <w:pPr>
              <w:pStyle w:val="Geenafstand"/>
              <w:spacing w:line="276" w:lineRule="auto"/>
              <w:rPr>
                <w:rFonts w:ascii="Verdana" w:hAnsi="Verdana"/>
                <w:sz w:val="18"/>
                <w:szCs w:val="18"/>
              </w:rPr>
            </w:pPr>
            <w:r w:rsidRPr="00654A40">
              <w:rPr>
                <w:rFonts w:ascii="Verdana" w:hAnsi="Verdana"/>
                <w:sz w:val="18"/>
                <w:szCs w:val="18"/>
              </w:rPr>
              <w:t xml:space="preserve">Daarnaast vinden er doorlopend </w:t>
            </w:r>
            <w:proofErr w:type="spellStart"/>
            <w:r w:rsidRPr="00654A40" w:rsidR="003A0D8F">
              <w:rPr>
                <w:rFonts w:ascii="Verdana" w:hAnsi="Verdana"/>
                <w:sz w:val="18"/>
                <w:szCs w:val="18"/>
              </w:rPr>
              <w:t>kwartaalsoverleggen</w:t>
            </w:r>
            <w:proofErr w:type="spellEnd"/>
            <w:r w:rsidRPr="00654A40">
              <w:rPr>
                <w:rFonts w:ascii="Verdana" w:hAnsi="Verdana"/>
                <w:sz w:val="18"/>
                <w:szCs w:val="18"/>
              </w:rPr>
              <w:t xml:space="preserve"> plaats tussen </w:t>
            </w:r>
            <w:proofErr w:type="spellStart"/>
            <w:r w:rsidRPr="00654A40">
              <w:rPr>
                <w:rFonts w:ascii="Verdana" w:hAnsi="Verdana"/>
                <w:sz w:val="18"/>
                <w:szCs w:val="18"/>
              </w:rPr>
              <w:t>Invest</w:t>
            </w:r>
            <w:proofErr w:type="spellEnd"/>
            <w:r w:rsidRPr="00654A40">
              <w:rPr>
                <w:rFonts w:ascii="Verdana" w:hAnsi="Verdana"/>
                <w:sz w:val="18"/>
                <w:szCs w:val="18"/>
              </w:rPr>
              <w:t xml:space="preserve">-NL, FIN en EZ. Bij deze overleggen wordt gereflecteerd op de strategische en beleidsmatige uitdagingen en kansen m.b.t. de activiteiten van </w:t>
            </w:r>
            <w:proofErr w:type="spellStart"/>
            <w:r w:rsidRPr="00654A40">
              <w:rPr>
                <w:rFonts w:ascii="Verdana" w:hAnsi="Verdana"/>
                <w:sz w:val="18"/>
                <w:szCs w:val="18"/>
              </w:rPr>
              <w:t>Invest</w:t>
            </w:r>
            <w:proofErr w:type="spellEnd"/>
            <w:r w:rsidRPr="00654A40">
              <w:rPr>
                <w:rFonts w:ascii="Verdana" w:hAnsi="Verdana"/>
                <w:sz w:val="18"/>
                <w:szCs w:val="18"/>
              </w:rPr>
              <w:t>-NL.</w:t>
            </w:r>
          </w:p>
        </w:tc>
      </w:tr>
      <w:bookmarkEnd w:id="0"/>
    </w:tbl>
    <w:p w:rsidRPr="00654A40" w:rsidR="00A411C8" w:rsidP="00654A40" w:rsidRDefault="00A411C8" w14:paraId="4B2E6C05" w14:textId="77777777">
      <w:pPr>
        <w:spacing w:after="0" w:line="276" w:lineRule="auto"/>
        <w:rPr>
          <w:rFonts w:ascii="Verdana" w:hAnsi="Verdana"/>
          <w:sz w:val="18"/>
          <w:szCs w:val="18"/>
        </w:rPr>
      </w:pPr>
    </w:p>
    <w:p w:rsidRPr="00654A40" w:rsidR="00A411C8" w:rsidP="00654A40" w:rsidRDefault="00A411C8" w14:paraId="530CF5F2" w14:textId="77777777">
      <w:pPr>
        <w:spacing w:after="0" w:line="276" w:lineRule="auto"/>
        <w:rPr>
          <w:rFonts w:ascii="Verdana" w:hAnsi="Verdana"/>
          <w:sz w:val="18"/>
          <w:szCs w:val="18"/>
        </w:rPr>
      </w:pPr>
    </w:p>
    <w:p w:rsidRPr="00654A40" w:rsidR="00A411C8" w:rsidP="00654A40" w:rsidRDefault="00A411C8" w14:paraId="5A08C501" w14:textId="77777777">
      <w:pPr>
        <w:spacing w:after="0" w:line="276" w:lineRule="auto"/>
        <w:rPr>
          <w:rFonts w:ascii="Verdana" w:hAnsi="Verdana"/>
          <w:sz w:val="18"/>
          <w:szCs w:val="18"/>
        </w:rPr>
      </w:pPr>
    </w:p>
    <w:sectPr w:rsidRPr="00654A40" w:rsidR="00A411C8"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20150" w14:textId="77777777" w:rsidR="001D2B15" w:rsidRDefault="001D2B15" w:rsidP="00A411C8">
      <w:pPr>
        <w:spacing w:after="0" w:line="240" w:lineRule="auto"/>
      </w:pPr>
      <w:r>
        <w:separator/>
      </w:r>
    </w:p>
  </w:endnote>
  <w:endnote w:type="continuationSeparator" w:id="0">
    <w:p w14:paraId="15440419" w14:textId="77777777" w:rsidR="001D2B15" w:rsidRDefault="001D2B15" w:rsidP="00A41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FD11" w14:textId="77777777" w:rsidR="001D2B15" w:rsidRDefault="001D2B15" w:rsidP="00A411C8">
      <w:pPr>
        <w:spacing w:after="0" w:line="240" w:lineRule="auto"/>
      </w:pPr>
      <w:r>
        <w:separator/>
      </w:r>
    </w:p>
  </w:footnote>
  <w:footnote w:type="continuationSeparator" w:id="0">
    <w:p w14:paraId="3575F492" w14:textId="77777777" w:rsidR="001D2B15" w:rsidRDefault="001D2B15" w:rsidP="00A411C8">
      <w:pPr>
        <w:spacing w:after="0" w:line="240" w:lineRule="auto"/>
      </w:pPr>
      <w:r>
        <w:continuationSeparator/>
      </w:r>
    </w:p>
  </w:footnote>
  <w:footnote w:id="1">
    <w:p w14:paraId="343DAE48" w14:textId="77777777" w:rsidR="00CC1D24" w:rsidRPr="00932435" w:rsidRDefault="00CC1D24" w:rsidP="00CC1D24">
      <w:pPr>
        <w:pStyle w:val="Voetnoottekst"/>
      </w:pPr>
      <w:r>
        <w:rPr>
          <w:rStyle w:val="Voetnootmarkering"/>
        </w:rPr>
        <w:footnoteRef/>
      </w:r>
      <w:r>
        <w:t xml:space="preserve"> Kamerstukken II, 2024-2025, </w:t>
      </w:r>
      <w:r w:rsidRPr="006D3168">
        <w:t>32637</w:t>
      </w:r>
      <w:r>
        <w:t xml:space="preserve"> </w:t>
      </w:r>
      <w:r w:rsidRPr="006D3168">
        <w:t>658</w:t>
      </w:r>
    </w:p>
  </w:footnote>
  <w:footnote w:id="2">
    <w:p w14:paraId="2E101B36" w14:textId="77777777" w:rsidR="006D3168" w:rsidRDefault="006D3168" w:rsidP="006D3168">
      <w:pPr>
        <w:pStyle w:val="Voetnoottekst"/>
      </w:pPr>
      <w:r>
        <w:rPr>
          <w:rStyle w:val="Voetnootmarkering"/>
        </w:rPr>
        <w:footnoteRef/>
      </w:r>
      <w:r>
        <w:t xml:space="preserve"> Kamerstukken II, 2022-2023, </w:t>
      </w:r>
      <w:r w:rsidRPr="006D3168">
        <w:t>35123</w:t>
      </w:r>
      <w:r>
        <w:t xml:space="preserve"> </w:t>
      </w:r>
      <w:r w:rsidRPr="006D3168">
        <w:t>40</w:t>
      </w:r>
    </w:p>
  </w:footnote>
  <w:footnote w:id="3">
    <w:p w14:paraId="0E6C3A53" w14:textId="14B95E69" w:rsidR="009B64A8" w:rsidRDefault="009B64A8">
      <w:pPr>
        <w:pStyle w:val="Voetnoottekst"/>
      </w:pPr>
      <w:r>
        <w:rPr>
          <w:rStyle w:val="Voetnootmarkering"/>
        </w:rPr>
        <w:footnoteRef/>
      </w:r>
      <w:r>
        <w:t xml:space="preserve"> Kamerstukken II, 2024-2025, </w:t>
      </w:r>
      <w:r w:rsidRPr="009B64A8">
        <w:t>35529</w:t>
      </w:r>
      <w:r>
        <w:t xml:space="preserve"> </w:t>
      </w:r>
      <w:r w:rsidRPr="009B64A8">
        <w:t>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38DD"/>
    <w:multiLevelType w:val="hybridMultilevel"/>
    <w:tmpl w:val="53CC3024"/>
    <w:lvl w:ilvl="0" w:tplc="3998E2E6">
      <w:start w:val="1"/>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BD367AD"/>
    <w:multiLevelType w:val="hybridMultilevel"/>
    <w:tmpl w:val="67EA1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181888"/>
    <w:multiLevelType w:val="hybridMultilevel"/>
    <w:tmpl w:val="82380A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A80B03"/>
    <w:multiLevelType w:val="hybridMultilevel"/>
    <w:tmpl w:val="4E4C3E2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CEF245F"/>
    <w:multiLevelType w:val="hybridMultilevel"/>
    <w:tmpl w:val="5B60E346"/>
    <w:lvl w:ilvl="0" w:tplc="560A30F0">
      <w:numFmt w:val="decimal"/>
      <w:lvlText w:val=""/>
      <w:lvlJc w:val="left"/>
      <w:pPr>
        <w:ind w:left="437" w:hanging="437"/>
      </w:pPr>
      <w:rPr>
        <w:rFonts w:ascii="Symbol" w:hAnsi="Symbol" w:hint="default"/>
      </w:rPr>
    </w:lvl>
    <w:lvl w:ilvl="1" w:tplc="99B64590">
      <w:start w:val="1"/>
      <w:numFmt w:val="decimal"/>
      <w:lvlText w:val="%2."/>
      <w:lvlJc w:val="left"/>
      <w:pPr>
        <w:ind w:left="1310" w:hanging="360"/>
      </w:pPr>
      <w:rPr>
        <w:rFonts w:ascii="Verdana" w:eastAsia="DejaVu Sans" w:hAnsi="Verdana" w:cs="Lohit Hindi"/>
      </w:rPr>
    </w:lvl>
    <w:lvl w:ilvl="2" w:tplc="04130005">
      <w:numFmt w:val="decimal"/>
      <w:lvlText w:val=""/>
      <w:lvlJc w:val="left"/>
      <w:pPr>
        <w:ind w:left="2030" w:hanging="360"/>
      </w:pPr>
      <w:rPr>
        <w:rFonts w:ascii="Wingdings" w:hAnsi="Wingdings" w:hint="default"/>
      </w:rPr>
    </w:lvl>
    <w:lvl w:ilvl="3" w:tplc="04130001">
      <w:numFmt w:val="decimal"/>
      <w:lvlText w:val=""/>
      <w:lvlJc w:val="left"/>
      <w:pPr>
        <w:ind w:left="2750" w:hanging="360"/>
      </w:pPr>
      <w:rPr>
        <w:rFonts w:ascii="Symbol" w:hAnsi="Symbol" w:hint="default"/>
      </w:rPr>
    </w:lvl>
    <w:lvl w:ilvl="4" w:tplc="04130003">
      <w:numFmt w:val="decimal"/>
      <w:lvlText w:val="o"/>
      <w:lvlJc w:val="left"/>
      <w:pPr>
        <w:ind w:left="3470" w:hanging="360"/>
      </w:pPr>
      <w:rPr>
        <w:rFonts w:ascii="Courier New" w:hAnsi="Courier New" w:cs="Courier New" w:hint="default"/>
      </w:rPr>
    </w:lvl>
    <w:lvl w:ilvl="5" w:tplc="04130005">
      <w:numFmt w:val="decimal"/>
      <w:lvlText w:val=""/>
      <w:lvlJc w:val="left"/>
      <w:pPr>
        <w:ind w:left="4190" w:hanging="360"/>
      </w:pPr>
      <w:rPr>
        <w:rFonts w:ascii="Wingdings" w:hAnsi="Wingdings" w:hint="default"/>
      </w:rPr>
    </w:lvl>
    <w:lvl w:ilvl="6" w:tplc="04130001">
      <w:numFmt w:val="decimal"/>
      <w:lvlText w:val=""/>
      <w:lvlJc w:val="left"/>
      <w:pPr>
        <w:ind w:left="4910" w:hanging="360"/>
      </w:pPr>
      <w:rPr>
        <w:rFonts w:ascii="Symbol" w:hAnsi="Symbol" w:hint="default"/>
      </w:rPr>
    </w:lvl>
    <w:lvl w:ilvl="7" w:tplc="04130003">
      <w:numFmt w:val="decimal"/>
      <w:lvlText w:val="o"/>
      <w:lvlJc w:val="left"/>
      <w:pPr>
        <w:ind w:left="5630" w:hanging="360"/>
      </w:pPr>
      <w:rPr>
        <w:rFonts w:ascii="Courier New" w:hAnsi="Courier New" w:cs="Courier New" w:hint="default"/>
      </w:rPr>
    </w:lvl>
    <w:lvl w:ilvl="8" w:tplc="04130005">
      <w:numFmt w:val="decimal"/>
      <w:lvlText w:val=""/>
      <w:lvlJc w:val="left"/>
      <w:pPr>
        <w:ind w:left="6350" w:hanging="360"/>
      </w:pPr>
      <w:rPr>
        <w:rFonts w:ascii="Wingdings" w:hAnsi="Wingdings" w:hint="default"/>
      </w:rPr>
    </w:lvl>
  </w:abstractNum>
  <w:num w:numId="1" w16cid:durableId="193230603">
    <w:abstractNumId w:val="2"/>
  </w:num>
  <w:num w:numId="2" w16cid:durableId="1421482125">
    <w:abstractNumId w:val="4"/>
  </w:num>
  <w:num w:numId="3" w16cid:durableId="1320502">
    <w:abstractNumId w:val="1"/>
  </w:num>
  <w:num w:numId="4" w16cid:durableId="389378429">
    <w:abstractNumId w:val="3"/>
  </w:num>
  <w:num w:numId="5" w16cid:durableId="175034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C8"/>
    <w:rsid w:val="00073C73"/>
    <w:rsid w:val="00080994"/>
    <w:rsid w:val="001969CA"/>
    <w:rsid w:val="001C0233"/>
    <w:rsid w:val="001C1F6E"/>
    <w:rsid w:val="001D2B15"/>
    <w:rsid w:val="001E2A78"/>
    <w:rsid w:val="001E6A24"/>
    <w:rsid w:val="002061E8"/>
    <w:rsid w:val="00227FC1"/>
    <w:rsid w:val="00243499"/>
    <w:rsid w:val="00281215"/>
    <w:rsid w:val="00287FB9"/>
    <w:rsid w:val="002A0BC6"/>
    <w:rsid w:val="002A65DE"/>
    <w:rsid w:val="002A69EE"/>
    <w:rsid w:val="00380A2F"/>
    <w:rsid w:val="003A0D8F"/>
    <w:rsid w:val="003A101A"/>
    <w:rsid w:val="003A29A2"/>
    <w:rsid w:val="003B2ADB"/>
    <w:rsid w:val="003F18FA"/>
    <w:rsid w:val="003F636E"/>
    <w:rsid w:val="0041407F"/>
    <w:rsid w:val="00427707"/>
    <w:rsid w:val="00483C5D"/>
    <w:rsid w:val="00492AED"/>
    <w:rsid w:val="004D76C7"/>
    <w:rsid w:val="00514667"/>
    <w:rsid w:val="005374E1"/>
    <w:rsid w:val="00571A57"/>
    <w:rsid w:val="005721DC"/>
    <w:rsid w:val="0058084B"/>
    <w:rsid w:val="005C7ACF"/>
    <w:rsid w:val="005D3378"/>
    <w:rsid w:val="005F4E03"/>
    <w:rsid w:val="00644E46"/>
    <w:rsid w:val="00654A40"/>
    <w:rsid w:val="006943C1"/>
    <w:rsid w:val="006A3C44"/>
    <w:rsid w:val="006D3168"/>
    <w:rsid w:val="006D5CCE"/>
    <w:rsid w:val="006F7300"/>
    <w:rsid w:val="0077254A"/>
    <w:rsid w:val="007C52C8"/>
    <w:rsid w:val="007D1FB8"/>
    <w:rsid w:val="007D435C"/>
    <w:rsid w:val="0081206E"/>
    <w:rsid w:val="008511E2"/>
    <w:rsid w:val="008B3F81"/>
    <w:rsid w:val="008C7446"/>
    <w:rsid w:val="0093175A"/>
    <w:rsid w:val="009A5D80"/>
    <w:rsid w:val="009B64A8"/>
    <w:rsid w:val="009C4EE2"/>
    <w:rsid w:val="00A03857"/>
    <w:rsid w:val="00A268EC"/>
    <w:rsid w:val="00A349EC"/>
    <w:rsid w:val="00A34ED8"/>
    <w:rsid w:val="00A411C8"/>
    <w:rsid w:val="00AC1360"/>
    <w:rsid w:val="00B06701"/>
    <w:rsid w:val="00CC1D24"/>
    <w:rsid w:val="00CC4960"/>
    <w:rsid w:val="00CD621C"/>
    <w:rsid w:val="00CE0082"/>
    <w:rsid w:val="00D13373"/>
    <w:rsid w:val="00D61666"/>
    <w:rsid w:val="00D77300"/>
    <w:rsid w:val="00DD1ECD"/>
    <w:rsid w:val="00E00486"/>
    <w:rsid w:val="00E169BF"/>
    <w:rsid w:val="00E47CF3"/>
    <w:rsid w:val="00E8651A"/>
    <w:rsid w:val="00F7231C"/>
    <w:rsid w:val="00F74EE4"/>
    <w:rsid w:val="00F949D2"/>
    <w:rsid w:val="00FA53A5"/>
    <w:rsid w:val="00FD3842"/>
    <w:rsid w:val="00FF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3471E"/>
  <w15:chartTrackingRefBased/>
  <w15:docId w15:val="{6D627FBC-00C4-4F4B-86B1-ADC8EE6B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11C8"/>
    <w:rPr>
      <w:rFonts w:asciiTheme="minorHAnsi" w:hAnsiTheme="minorHAnsi"/>
      <w:sz w:val="22"/>
      <w:lang w:val="nl-NL"/>
    </w:rPr>
  </w:style>
  <w:style w:type="paragraph" w:styleId="Kop1">
    <w:name w:val="heading 1"/>
    <w:basedOn w:val="Standaard"/>
    <w:next w:val="Standaard"/>
    <w:link w:val="Kop1Char"/>
    <w:uiPriority w:val="9"/>
    <w:qFormat/>
    <w:rsid w:val="00A411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411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411C8"/>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411C8"/>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411C8"/>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411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1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1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1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1C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411C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411C8"/>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A411C8"/>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A411C8"/>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A411C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411C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411C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411C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41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1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1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1C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411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1C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A411C8"/>
    <w:pPr>
      <w:ind w:left="720"/>
      <w:contextualSpacing/>
    </w:pPr>
  </w:style>
  <w:style w:type="character" w:styleId="Intensievebenadrukking">
    <w:name w:val="Intense Emphasis"/>
    <w:basedOn w:val="Standaardalinea-lettertype"/>
    <w:uiPriority w:val="21"/>
    <w:qFormat/>
    <w:rsid w:val="00A411C8"/>
    <w:rPr>
      <w:i/>
      <w:iCs/>
      <w:color w:val="2E74B5" w:themeColor="accent1" w:themeShade="BF"/>
    </w:rPr>
  </w:style>
  <w:style w:type="paragraph" w:styleId="Duidelijkcitaat">
    <w:name w:val="Intense Quote"/>
    <w:basedOn w:val="Standaard"/>
    <w:next w:val="Standaard"/>
    <w:link w:val="DuidelijkcitaatChar"/>
    <w:uiPriority w:val="30"/>
    <w:qFormat/>
    <w:rsid w:val="00A411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411C8"/>
    <w:rPr>
      <w:i/>
      <w:iCs/>
      <w:color w:val="2E74B5" w:themeColor="accent1" w:themeShade="BF"/>
    </w:rPr>
  </w:style>
  <w:style w:type="character" w:styleId="Intensieveverwijzing">
    <w:name w:val="Intense Reference"/>
    <w:basedOn w:val="Standaardalinea-lettertype"/>
    <w:uiPriority w:val="32"/>
    <w:qFormat/>
    <w:rsid w:val="00A411C8"/>
    <w:rPr>
      <w:b/>
      <w:bCs/>
      <w:smallCaps/>
      <w:color w:val="2E74B5" w:themeColor="accent1" w:themeShade="BF"/>
      <w:spacing w:val="5"/>
    </w:rPr>
  </w:style>
  <w:style w:type="paragraph" w:styleId="Geenafstand">
    <w:name w:val="No Spacing"/>
    <w:uiPriority w:val="1"/>
    <w:qFormat/>
    <w:rsid w:val="00A411C8"/>
    <w:pPr>
      <w:spacing w:after="0" w:line="240" w:lineRule="auto"/>
    </w:pPr>
    <w:rPr>
      <w:rFonts w:asciiTheme="minorHAnsi" w:hAnsiTheme="minorHAnsi"/>
      <w:sz w:val="22"/>
      <w:lang w:val="nl-NL"/>
    </w:rPr>
  </w:style>
  <w:style w:type="table" w:styleId="Tabelraster">
    <w:name w:val="Table Grid"/>
    <w:basedOn w:val="Standaardtabel"/>
    <w:uiPriority w:val="39"/>
    <w:rsid w:val="00A411C8"/>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A411C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A411C8"/>
    <w:rPr>
      <w:color w:val="0563C1" w:themeColor="hyperlink"/>
      <w:u w:val="single"/>
    </w:rPr>
  </w:style>
  <w:style w:type="paragraph" w:styleId="Voetnoottekst">
    <w:name w:val="footnote text"/>
    <w:aliases w:val="LNV Noot,DTE-Voetnoottekst,Codata Voetnoottekst,(NECG) Footnote Text,ALTS FOOTNOTE,AR Footnote Text,Voetnootteksta,07_Foot note,Footnotetext,Footnotetext1,ftx,Footnotetext2,ftx1,Footnotetext3,ftx2,Footnotetext4,ftx3,Footnotetext5,ftx4,ftx5"/>
    <w:basedOn w:val="Standaard"/>
    <w:link w:val="VoetnoottekstChar"/>
    <w:uiPriority w:val="99"/>
    <w:unhideWhenUsed/>
    <w:qFormat/>
    <w:rsid w:val="00A411C8"/>
    <w:pPr>
      <w:spacing w:after="0" w:line="240" w:lineRule="auto"/>
    </w:pPr>
    <w:rPr>
      <w:sz w:val="20"/>
      <w:szCs w:val="20"/>
    </w:rPr>
  </w:style>
  <w:style w:type="character" w:customStyle="1" w:styleId="VoetnoottekstChar">
    <w:name w:val="Voetnoottekst Char"/>
    <w:aliases w:val="LNV Noot Char,DTE-Voetnoottekst Char,Codata Voetnoottekst Char,(NECG) Footnote Text Char,ALTS FOOTNOTE Char,AR Footnote Text Char,Voetnootteksta Char,07_Foot note Char,Footnotetext Char,Footnotetext1 Char,ftx Char,Footnotetext2 Char"/>
    <w:basedOn w:val="Standaardalinea-lettertype"/>
    <w:link w:val="Voetnoottekst"/>
    <w:uiPriority w:val="99"/>
    <w:rsid w:val="00A411C8"/>
    <w:rPr>
      <w:rFonts w:asciiTheme="minorHAnsi" w:hAnsiTheme="minorHAnsi"/>
      <w:sz w:val="20"/>
      <w:szCs w:val="20"/>
      <w:lang w:val="nl-NL"/>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uiPriority w:val="99"/>
    <w:unhideWhenUsed/>
    <w:qFormat/>
    <w:rsid w:val="00A411C8"/>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A411C8"/>
  </w:style>
  <w:style w:type="character" w:styleId="Verwijzingopmerking">
    <w:name w:val="annotation reference"/>
    <w:basedOn w:val="Standaardalinea-lettertype"/>
    <w:uiPriority w:val="99"/>
    <w:semiHidden/>
    <w:unhideWhenUsed/>
    <w:rsid w:val="00A411C8"/>
    <w:rPr>
      <w:sz w:val="16"/>
      <w:szCs w:val="16"/>
    </w:rPr>
  </w:style>
  <w:style w:type="paragraph" w:styleId="Tekstopmerking">
    <w:name w:val="annotation text"/>
    <w:basedOn w:val="Standaard"/>
    <w:link w:val="TekstopmerkingChar"/>
    <w:uiPriority w:val="99"/>
    <w:unhideWhenUsed/>
    <w:rsid w:val="00A411C8"/>
    <w:pPr>
      <w:spacing w:line="240" w:lineRule="auto"/>
    </w:pPr>
    <w:rPr>
      <w:sz w:val="20"/>
      <w:szCs w:val="20"/>
    </w:rPr>
  </w:style>
  <w:style w:type="character" w:customStyle="1" w:styleId="TekstopmerkingChar">
    <w:name w:val="Tekst opmerking Char"/>
    <w:basedOn w:val="Standaardalinea-lettertype"/>
    <w:link w:val="Tekstopmerking"/>
    <w:uiPriority w:val="99"/>
    <w:rsid w:val="00A411C8"/>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411C8"/>
    <w:rPr>
      <w:b/>
      <w:bCs/>
    </w:rPr>
  </w:style>
  <w:style w:type="character" w:customStyle="1" w:styleId="OnderwerpvanopmerkingChar">
    <w:name w:val="Onderwerp van opmerking Char"/>
    <w:basedOn w:val="TekstopmerkingChar"/>
    <w:link w:val="Onderwerpvanopmerking"/>
    <w:uiPriority w:val="99"/>
    <w:semiHidden/>
    <w:rsid w:val="00A411C8"/>
    <w:rPr>
      <w:rFonts w:asciiTheme="minorHAnsi" w:hAnsiTheme="minorHAnsi"/>
      <w:b/>
      <w:bCs/>
      <w:sz w:val="20"/>
      <w:szCs w:val="20"/>
      <w:lang w:val="nl-NL"/>
    </w:rPr>
  </w:style>
  <w:style w:type="character" w:styleId="Onopgelostemelding">
    <w:name w:val="Unresolved Mention"/>
    <w:basedOn w:val="Standaardalinea-lettertype"/>
    <w:uiPriority w:val="99"/>
    <w:semiHidden/>
    <w:unhideWhenUsed/>
    <w:rsid w:val="00A411C8"/>
    <w:rPr>
      <w:color w:val="605E5C"/>
      <w:shd w:val="clear" w:color="auto" w:fill="E1DFDD"/>
    </w:rPr>
  </w:style>
  <w:style w:type="paragraph" w:styleId="Revisie">
    <w:name w:val="Revision"/>
    <w:hidden/>
    <w:uiPriority w:val="99"/>
    <w:semiHidden/>
    <w:rsid w:val="003A29A2"/>
    <w:pPr>
      <w:spacing w:after="0" w:line="240" w:lineRule="auto"/>
    </w:pPr>
    <w:rPr>
      <w:rFonts w:asciiTheme="minorHAnsi" w:hAnsiTheme="minorHAnsi"/>
      <w:sz w:val="22"/>
      <w:lang w:val="nl-NL"/>
    </w:rPr>
  </w:style>
  <w:style w:type="paragraph" w:styleId="Voettekst">
    <w:name w:val="footer"/>
    <w:basedOn w:val="Standaard"/>
    <w:link w:val="VoettekstChar"/>
    <w:uiPriority w:val="99"/>
    <w:unhideWhenUsed/>
    <w:rsid w:val="009C4E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4EE2"/>
    <w:rPr>
      <w:rFonts w:asciiTheme="minorHAnsi" w:hAnsiTheme="minorHAnsi"/>
      <w:sz w:val="22"/>
      <w:lang w:val="nl-NL"/>
    </w:rPr>
  </w:style>
  <w:style w:type="paragraph" w:styleId="Koptekst">
    <w:name w:val="header"/>
    <w:basedOn w:val="Standaard"/>
    <w:link w:val="KoptekstChar"/>
    <w:uiPriority w:val="99"/>
    <w:unhideWhenUsed/>
    <w:rsid w:val="00CC1D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1D24"/>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4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1018</ap:Words>
  <ap:Characters>5604</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2025-03-19T09:06:00.0000000Z</dcterms:created>
  <dcterms:modified xsi:type="dcterms:W3CDTF">2025-03-19T09:06:00.0000000Z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2025-01-31T13:01:14Z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87b690fc-7f42-46db-ba2a-0d374465d653</vt:lpwstr>
  </property>
  <property fmtid="{D5CDD505-2E9C-101B-9397-08002B2CF9AE}" pid="8" name="MSIP_Label_6800fede-0e59-47ad-af95-4e63bbdb932d_ContentBits">
    <vt:lpwstr>0</vt:lpwstr>
  </property>
</Properties>
</file>