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45AE" w:rsidR="008F45AE" w:rsidP="00477D75" w:rsidRDefault="00D80D01" w14:paraId="07E5CB83" w14:textId="42B5478D">
      <w:pPr>
        <w:rPr>
          <w:rFonts w:cstheme="minorHAnsi"/>
          <w:szCs w:val="18"/>
          <w:lang w:val="nl-NL"/>
        </w:rPr>
      </w:pPr>
      <w:r w:rsidRPr="00D80D01">
        <w:rPr>
          <w:rFonts w:cstheme="minorHAnsi"/>
          <w:b/>
          <w:bCs/>
          <w:szCs w:val="18"/>
          <w:lang w:val="nl-NL"/>
        </w:rPr>
        <w:t xml:space="preserve">Bijlage 1 - Tekst </w:t>
      </w:r>
      <w:r>
        <w:rPr>
          <w:rFonts w:cstheme="minorHAnsi"/>
          <w:b/>
          <w:bCs/>
          <w:szCs w:val="18"/>
          <w:lang w:val="nl-NL"/>
        </w:rPr>
        <w:t>P</w:t>
      </w:r>
      <w:r w:rsidRPr="00D80D01">
        <w:rPr>
          <w:rFonts w:cstheme="minorHAnsi"/>
          <w:b/>
          <w:bCs/>
          <w:szCs w:val="18"/>
          <w:lang w:val="nl-NL"/>
        </w:rPr>
        <w:t xml:space="preserve">ublieke </w:t>
      </w:r>
      <w:r>
        <w:rPr>
          <w:rFonts w:cstheme="minorHAnsi"/>
          <w:b/>
          <w:bCs/>
          <w:szCs w:val="18"/>
          <w:lang w:val="nl-NL"/>
        </w:rPr>
        <w:t>C</w:t>
      </w:r>
      <w:r w:rsidRPr="00D80D01">
        <w:rPr>
          <w:rFonts w:cstheme="minorHAnsi"/>
          <w:b/>
          <w:bCs/>
          <w:szCs w:val="18"/>
          <w:lang w:val="nl-NL"/>
        </w:rPr>
        <w:t xml:space="preserve">onsultatie- Gerichte Evaluatie MDR-IVDR </w:t>
      </w:r>
    </w:p>
    <w:p w:rsidRPr="008F45AE" w:rsidR="00477D75" w:rsidP="00477D75" w:rsidRDefault="00477D75" w14:paraId="31ED3F81" w14:textId="34C00258">
      <w:pPr>
        <w:rPr>
          <w:rFonts w:cstheme="minorHAnsi"/>
          <w:szCs w:val="18"/>
        </w:rPr>
      </w:pPr>
      <w:r w:rsidRPr="008F45AE">
        <w:rPr>
          <w:rFonts w:cstheme="minorHAnsi"/>
          <w:szCs w:val="18"/>
        </w:rPr>
        <w:t>The MDR and IVDR were adopted to better ensure patient safety and transparency of the system. The Ministry of Health, Welfare and Sports</w:t>
      </w:r>
      <w:r w:rsidR="006E475A">
        <w:rPr>
          <w:rFonts w:cstheme="minorHAnsi"/>
          <w:szCs w:val="18"/>
        </w:rPr>
        <w:t xml:space="preserve"> (MoH)</w:t>
      </w:r>
      <w:r w:rsidRPr="008F45AE">
        <w:rPr>
          <w:rFonts w:cstheme="minorHAnsi"/>
          <w:szCs w:val="18"/>
        </w:rPr>
        <w:t xml:space="preserve"> </w:t>
      </w:r>
      <w:r w:rsidR="00990C90">
        <w:rPr>
          <w:rFonts w:cstheme="minorHAnsi"/>
          <w:szCs w:val="18"/>
        </w:rPr>
        <w:t>continues</w:t>
      </w:r>
      <w:r w:rsidR="006E475A">
        <w:rPr>
          <w:rFonts w:cstheme="minorHAnsi"/>
          <w:szCs w:val="18"/>
        </w:rPr>
        <w:t xml:space="preserve"> to fully </w:t>
      </w:r>
      <w:r w:rsidRPr="008F45AE">
        <w:rPr>
          <w:rFonts w:cstheme="minorHAnsi"/>
          <w:szCs w:val="18"/>
        </w:rPr>
        <w:t>support these values and goals.</w:t>
      </w:r>
    </w:p>
    <w:p w:rsidRPr="008F45AE" w:rsidR="00477D75" w:rsidP="00477D75" w:rsidRDefault="003477EC" w14:paraId="52351EE2" w14:textId="4526C276">
      <w:pPr>
        <w:rPr>
          <w:rFonts w:cstheme="minorHAnsi"/>
          <w:szCs w:val="18"/>
        </w:rPr>
      </w:pPr>
      <w:r>
        <w:rPr>
          <w:rFonts w:cstheme="minorHAnsi"/>
          <w:szCs w:val="18"/>
        </w:rPr>
        <w:t>O</w:t>
      </w:r>
      <w:r w:rsidRPr="008F45AE" w:rsidR="00477D75">
        <w:rPr>
          <w:rFonts w:cstheme="minorHAnsi"/>
          <w:szCs w:val="18"/>
        </w:rPr>
        <w:t>ver the years it has become clear that the balance between safety, availability and innovation</w:t>
      </w:r>
      <w:r w:rsidR="009E25DA">
        <w:rPr>
          <w:rFonts w:cstheme="minorHAnsi"/>
          <w:szCs w:val="18"/>
        </w:rPr>
        <w:t xml:space="preserve"> of medical devices</w:t>
      </w:r>
      <w:r w:rsidRPr="008F45AE" w:rsidR="00477D75">
        <w:rPr>
          <w:rFonts w:cstheme="minorHAnsi"/>
          <w:szCs w:val="18"/>
        </w:rPr>
        <w:t>,</w:t>
      </w:r>
      <w:r w:rsidR="00990C90">
        <w:rPr>
          <w:rFonts w:cstheme="minorHAnsi"/>
          <w:szCs w:val="18"/>
        </w:rPr>
        <w:t xml:space="preserve"> each </w:t>
      </w:r>
      <w:r w:rsidRPr="008F45AE" w:rsidR="00477D75">
        <w:rPr>
          <w:rFonts w:cstheme="minorHAnsi"/>
          <w:szCs w:val="18"/>
        </w:rPr>
        <w:t xml:space="preserve">of which contribute to patient safety, has not been sufficiently secured in the regulations. The Dutch MoH believes that this evaluation of the regulations should have the goal to ensure a better balance between these three factors. </w:t>
      </w:r>
    </w:p>
    <w:p w:rsidR="00D53FA6" w:rsidP="00477D75" w:rsidRDefault="003477EC" w14:paraId="2F01627B" w14:textId="7AFEF032">
      <w:pPr>
        <w:rPr>
          <w:rFonts w:cstheme="minorHAnsi"/>
          <w:szCs w:val="18"/>
        </w:rPr>
      </w:pPr>
      <w:r>
        <w:rPr>
          <w:rFonts w:cstheme="minorHAnsi"/>
          <w:szCs w:val="18"/>
        </w:rPr>
        <w:t>A</w:t>
      </w:r>
      <w:r w:rsidRPr="008F45AE" w:rsidR="00ED5381">
        <w:rPr>
          <w:rFonts w:cstheme="minorHAnsi"/>
          <w:szCs w:val="18"/>
        </w:rPr>
        <w:t xml:space="preserve">ny proposal which comes forth from this evaluation should </w:t>
      </w:r>
      <w:r w:rsidRPr="008F45AE" w:rsidR="00706E45">
        <w:rPr>
          <w:rFonts w:cstheme="minorHAnsi"/>
          <w:szCs w:val="18"/>
        </w:rPr>
        <w:t xml:space="preserve">clearly contribute to the </w:t>
      </w:r>
      <w:r w:rsidRPr="008F45AE" w:rsidR="00932193">
        <w:rPr>
          <w:rFonts w:cstheme="minorHAnsi"/>
          <w:szCs w:val="18"/>
        </w:rPr>
        <w:t xml:space="preserve">reliability </w:t>
      </w:r>
      <w:r w:rsidRPr="008F45AE" w:rsidR="00706E45">
        <w:rPr>
          <w:rFonts w:cstheme="minorHAnsi"/>
          <w:szCs w:val="18"/>
        </w:rPr>
        <w:t>and credibility of th</w:t>
      </w:r>
      <w:r w:rsidRPr="008F45AE" w:rsidR="00932193">
        <w:rPr>
          <w:rFonts w:cstheme="minorHAnsi"/>
          <w:szCs w:val="18"/>
        </w:rPr>
        <w:t xml:space="preserve">e </w:t>
      </w:r>
      <w:r w:rsidRPr="008F45AE" w:rsidR="00706E45">
        <w:rPr>
          <w:rFonts w:cstheme="minorHAnsi"/>
          <w:szCs w:val="18"/>
        </w:rPr>
        <w:t>regulatory system and should benefit those who</w:t>
      </w:r>
      <w:r w:rsidR="00D53FA6">
        <w:rPr>
          <w:rFonts w:cstheme="minorHAnsi"/>
          <w:szCs w:val="18"/>
        </w:rPr>
        <w:t xml:space="preserve"> </w:t>
      </w:r>
      <w:r w:rsidRPr="008F45AE" w:rsidR="00706E45">
        <w:rPr>
          <w:rFonts w:cstheme="minorHAnsi"/>
          <w:szCs w:val="18"/>
        </w:rPr>
        <w:t>have invested in compliance with the system</w:t>
      </w:r>
      <w:r w:rsidRPr="007709CD" w:rsidR="00706E45">
        <w:rPr>
          <w:rFonts w:cstheme="minorHAnsi"/>
          <w:b/>
          <w:bCs/>
          <w:szCs w:val="18"/>
        </w:rPr>
        <w:t>. Extended transitional timelines have</w:t>
      </w:r>
      <w:r w:rsidRPr="008F45AE" w:rsidR="00706E45">
        <w:rPr>
          <w:rFonts w:cstheme="minorHAnsi"/>
          <w:szCs w:val="18"/>
        </w:rPr>
        <w:t xml:space="preserve">, although sometimes needed, </w:t>
      </w:r>
      <w:r w:rsidRPr="007709CD" w:rsidR="00706E45">
        <w:rPr>
          <w:rFonts w:cstheme="minorHAnsi"/>
          <w:b/>
          <w:bCs/>
          <w:szCs w:val="18"/>
        </w:rPr>
        <w:t>not contributed to th</w:t>
      </w:r>
      <w:r w:rsidRPr="007709CD" w:rsidR="00932193">
        <w:rPr>
          <w:rFonts w:cstheme="minorHAnsi"/>
          <w:b/>
          <w:bCs/>
          <w:szCs w:val="18"/>
        </w:rPr>
        <w:t xml:space="preserve">e reliability </w:t>
      </w:r>
      <w:r w:rsidRPr="007709CD" w:rsidR="00706E45">
        <w:rPr>
          <w:rFonts w:cstheme="minorHAnsi"/>
          <w:b/>
          <w:bCs/>
          <w:szCs w:val="18"/>
        </w:rPr>
        <w:t>of the regulatory framework</w:t>
      </w:r>
      <w:r w:rsidRPr="008F45AE" w:rsidR="00706E45">
        <w:rPr>
          <w:rFonts w:cstheme="minorHAnsi"/>
          <w:szCs w:val="18"/>
        </w:rPr>
        <w:t>. Any such future proposals should take those who have invested in compliance into serious consideration and should not provide ambiguity or possibilities for evasion for those unwilling to comply.</w:t>
      </w:r>
    </w:p>
    <w:p w:rsidRPr="008F45AE" w:rsidR="00ED5381" w:rsidP="00477D75" w:rsidRDefault="00D53FA6" w14:paraId="6E640868" w14:textId="38BE03C7">
      <w:pPr>
        <w:rPr>
          <w:rFonts w:cstheme="minorHAnsi"/>
          <w:szCs w:val="18"/>
        </w:rPr>
      </w:pPr>
      <w:r w:rsidRPr="008F45AE">
        <w:rPr>
          <w:rFonts w:cstheme="minorHAnsi"/>
          <w:szCs w:val="18"/>
        </w:rPr>
        <w:t>With that, The Dutch</w:t>
      </w:r>
      <w:r>
        <w:rPr>
          <w:rFonts w:cstheme="minorHAnsi"/>
          <w:szCs w:val="18"/>
        </w:rPr>
        <w:t xml:space="preserve"> MoH </w:t>
      </w:r>
      <w:r w:rsidRPr="008F45AE">
        <w:rPr>
          <w:rFonts w:cstheme="minorHAnsi"/>
          <w:szCs w:val="18"/>
        </w:rPr>
        <w:t xml:space="preserve">wants to express concerns regarding </w:t>
      </w:r>
      <w:r w:rsidRPr="007709CD">
        <w:rPr>
          <w:rFonts w:cstheme="minorHAnsi"/>
          <w:b/>
          <w:bCs/>
          <w:szCs w:val="18"/>
        </w:rPr>
        <w:t>the impact of horizontal legislation</w:t>
      </w:r>
      <w:r w:rsidRPr="008F45AE">
        <w:rPr>
          <w:rFonts w:cstheme="minorHAnsi"/>
          <w:szCs w:val="18"/>
        </w:rPr>
        <w:t xml:space="preserve"> on the availability of medical devices on the EU market. The MoH supports proposals for adequate regulation of topics such as sustainability, (chemical) substances, data, digital markets, cybersecurity, responsibilities of economic operators and the like, but sees the need to ensure that horizontal legislation </w:t>
      </w:r>
      <w:r>
        <w:rPr>
          <w:rFonts w:cstheme="minorHAnsi"/>
          <w:szCs w:val="18"/>
        </w:rPr>
        <w:t>is</w:t>
      </w:r>
      <w:r w:rsidRPr="008F45AE">
        <w:rPr>
          <w:rFonts w:cstheme="minorHAnsi"/>
          <w:szCs w:val="18"/>
        </w:rPr>
        <w:t xml:space="preserve"> harmonized </w:t>
      </w:r>
      <w:r>
        <w:rPr>
          <w:rFonts w:cstheme="minorHAnsi"/>
          <w:szCs w:val="18"/>
        </w:rPr>
        <w:t xml:space="preserve">as much as possible </w:t>
      </w:r>
      <w:r w:rsidRPr="008F45AE">
        <w:rPr>
          <w:rFonts w:cstheme="minorHAnsi"/>
          <w:szCs w:val="18"/>
        </w:rPr>
        <w:t>with the MDR and IVDR. The MoH</w:t>
      </w:r>
      <w:r>
        <w:rPr>
          <w:rFonts w:cstheme="minorHAnsi"/>
          <w:szCs w:val="18"/>
        </w:rPr>
        <w:t xml:space="preserve"> </w:t>
      </w:r>
      <w:r w:rsidRPr="008F45AE">
        <w:rPr>
          <w:rFonts w:cstheme="minorHAnsi"/>
          <w:szCs w:val="18"/>
        </w:rPr>
        <w:t>supports the need for a better coordination mechanism, and a clear overview of horizon</w:t>
      </w:r>
      <w:r w:rsidR="003477EC">
        <w:rPr>
          <w:rFonts w:cstheme="minorHAnsi"/>
          <w:szCs w:val="18"/>
        </w:rPr>
        <w:t>t</w:t>
      </w:r>
      <w:r w:rsidRPr="008F45AE">
        <w:rPr>
          <w:rFonts w:cstheme="minorHAnsi"/>
          <w:szCs w:val="18"/>
        </w:rPr>
        <w:t xml:space="preserve">al legislation that have an interplay with the MDR and IVDR.  </w:t>
      </w:r>
      <w:r w:rsidRPr="008F45AE" w:rsidR="00706E45">
        <w:rPr>
          <w:rFonts w:cstheme="minorHAnsi"/>
          <w:szCs w:val="18"/>
        </w:rPr>
        <w:t xml:space="preserve"> </w:t>
      </w:r>
    </w:p>
    <w:p w:rsidRPr="008F45AE" w:rsidR="00773EF0" w:rsidP="00477D75" w:rsidRDefault="007D29FE" w14:paraId="5C59C2B5" w14:textId="5E1D9AA4">
      <w:pPr>
        <w:rPr>
          <w:rFonts w:cstheme="minorHAnsi"/>
          <w:szCs w:val="18"/>
        </w:rPr>
      </w:pPr>
      <w:r w:rsidRPr="008F45AE">
        <w:rPr>
          <w:rFonts w:cstheme="minorHAnsi"/>
          <w:szCs w:val="18"/>
        </w:rPr>
        <w:t xml:space="preserve">The MoH values the efforts of </w:t>
      </w:r>
      <w:r w:rsidR="008401CC">
        <w:rPr>
          <w:rFonts w:cstheme="minorHAnsi"/>
          <w:szCs w:val="18"/>
        </w:rPr>
        <w:t>n</w:t>
      </w:r>
      <w:r w:rsidRPr="008F45AE" w:rsidR="008401CC">
        <w:rPr>
          <w:rFonts w:cstheme="minorHAnsi"/>
          <w:szCs w:val="18"/>
        </w:rPr>
        <w:t xml:space="preserve">otified </w:t>
      </w:r>
      <w:r w:rsidRPr="008F45AE">
        <w:rPr>
          <w:rFonts w:cstheme="minorHAnsi"/>
          <w:szCs w:val="18"/>
        </w:rPr>
        <w:t xml:space="preserve">bodies in harmonizing their ways of working and </w:t>
      </w:r>
      <w:r w:rsidRPr="008F45AE" w:rsidR="00EA6AD8">
        <w:rPr>
          <w:rFonts w:cstheme="minorHAnsi"/>
          <w:szCs w:val="18"/>
        </w:rPr>
        <w:t xml:space="preserve">their efforts in the </w:t>
      </w:r>
      <w:r w:rsidRPr="008F45AE" w:rsidR="006207F7">
        <w:rPr>
          <w:rFonts w:cstheme="minorHAnsi"/>
          <w:szCs w:val="18"/>
        </w:rPr>
        <w:t>realization</w:t>
      </w:r>
      <w:r w:rsidRPr="008F45AE" w:rsidR="00EA6AD8">
        <w:rPr>
          <w:rFonts w:cstheme="minorHAnsi"/>
          <w:szCs w:val="18"/>
        </w:rPr>
        <w:t xml:space="preserve"> of the attributed action points of MDCG 2022-14</w:t>
      </w:r>
      <w:r w:rsidRPr="008F45AE" w:rsidR="006207F7">
        <w:rPr>
          <w:rFonts w:cstheme="minorHAnsi"/>
          <w:szCs w:val="18"/>
        </w:rPr>
        <w:t xml:space="preserve"> on </w:t>
      </w:r>
      <w:r w:rsidR="008401CC">
        <w:rPr>
          <w:rFonts w:cstheme="minorHAnsi"/>
          <w:szCs w:val="18"/>
        </w:rPr>
        <w:t>n</w:t>
      </w:r>
      <w:r w:rsidRPr="008F45AE" w:rsidR="006207F7">
        <w:rPr>
          <w:rFonts w:cstheme="minorHAnsi"/>
          <w:szCs w:val="18"/>
        </w:rPr>
        <w:t xml:space="preserve">otified body capacity. For some time now, the capacity of notified bodies has been sufficient for those seriously pursuing regulation certification. The MoH is of the opinion that the </w:t>
      </w:r>
      <w:r w:rsidRPr="008F45AE" w:rsidR="00EB4807">
        <w:rPr>
          <w:rFonts w:cstheme="minorHAnsi"/>
          <w:szCs w:val="18"/>
        </w:rPr>
        <w:t>legislative</w:t>
      </w:r>
      <w:r w:rsidRPr="008F45AE" w:rsidR="00932193">
        <w:rPr>
          <w:rFonts w:cstheme="minorHAnsi"/>
          <w:szCs w:val="18"/>
        </w:rPr>
        <w:t xml:space="preserve"> institutions,</w:t>
      </w:r>
      <w:r w:rsidRPr="008F45AE" w:rsidR="006207F7">
        <w:rPr>
          <w:rFonts w:cstheme="minorHAnsi"/>
          <w:szCs w:val="18"/>
        </w:rPr>
        <w:t xml:space="preserve"> such as the </w:t>
      </w:r>
      <w:r w:rsidR="006E475A">
        <w:rPr>
          <w:rFonts w:cstheme="minorHAnsi"/>
          <w:szCs w:val="18"/>
        </w:rPr>
        <w:t xml:space="preserve">European </w:t>
      </w:r>
      <w:r w:rsidRPr="008F45AE" w:rsidR="006207F7">
        <w:rPr>
          <w:rFonts w:cstheme="minorHAnsi"/>
          <w:szCs w:val="18"/>
        </w:rPr>
        <w:t xml:space="preserve">Commission and MDCG should </w:t>
      </w:r>
      <w:r w:rsidR="006E475A">
        <w:rPr>
          <w:rFonts w:cstheme="minorHAnsi"/>
          <w:szCs w:val="18"/>
        </w:rPr>
        <w:t>continue to develop</w:t>
      </w:r>
      <w:r w:rsidRPr="008F45AE" w:rsidR="006207F7">
        <w:rPr>
          <w:rFonts w:cstheme="minorHAnsi"/>
          <w:szCs w:val="18"/>
        </w:rPr>
        <w:t xml:space="preserve"> tools which would allow for more </w:t>
      </w:r>
      <w:r w:rsidRPr="007709CD" w:rsidR="006207F7">
        <w:rPr>
          <w:rFonts w:cstheme="minorHAnsi"/>
          <w:b/>
          <w:bCs/>
          <w:szCs w:val="18"/>
        </w:rPr>
        <w:t>efficient certification</w:t>
      </w:r>
      <w:r w:rsidRPr="008F45AE" w:rsidR="006207F7">
        <w:rPr>
          <w:rFonts w:cstheme="minorHAnsi"/>
          <w:szCs w:val="18"/>
        </w:rPr>
        <w:t xml:space="preserve"> as described in MDCG 2022-14. </w:t>
      </w:r>
    </w:p>
    <w:p w:rsidRPr="008F45AE" w:rsidR="00932193" w:rsidRDefault="007C2B08" w14:paraId="2B4B87AE" w14:textId="2151AB5F">
      <w:pPr>
        <w:rPr>
          <w:rFonts w:cstheme="minorHAnsi"/>
          <w:szCs w:val="18"/>
        </w:rPr>
      </w:pPr>
      <w:r>
        <w:rPr>
          <w:rFonts w:cstheme="minorHAnsi"/>
          <w:szCs w:val="18"/>
        </w:rPr>
        <w:t>Moreover, t</w:t>
      </w:r>
      <w:r w:rsidRPr="008F45AE" w:rsidR="00932193">
        <w:rPr>
          <w:rFonts w:cstheme="minorHAnsi"/>
          <w:szCs w:val="18"/>
        </w:rPr>
        <w:t xml:space="preserve">he MoH wants to reiterate </w:t>
      </w:r>
      <w:r w:rsidRPr="007709CD" w:rsidR="00932193">
        <w:rPr>
          <w:rFonts w:cstheme="minorHAnsi"/>
          <w:b/>
          <w:bCs/>
          <w:szCs w:val="18"/>
        </w:rPr>
        <w:t xml:space="preserve">the importance of </w:t>
      </w:r>
      <w:r w:rsidRPr="007709CD" w:rsidR="00477D75">
        <w:rPr>
          <w:rFonts w:cstheme="minorHAnsi"/>
          <w:b/>
          <w:bCs/>
          <w:szCs w:val="18"/>
        </w:rPr>
        <w:t>EUDAMED</w:t>
      </w:r>
      <w:r w:rsidRPr="008F45AE" w:rsidR="00932193">
        <w:rPr>
          <w:rFonts w:cstheme="minorHAnsi"/>
          <w:szCs w:val="18"/>
        </w:rPr>
        <w:t xml:space="preserve"> and the considerable role this database </w:t>
      </w:r>
      <w:r w:rsidR="009E25DA">
        <w:rPr>
          <w:rFonts w:cstheme="minorHAnsi"/>
          <w:szCs w:val="18"/>
        </w:rPr>
        <w:t>will have</w:t>
      </w:r>
      <w:r w:rsidRPr="008F45AE" w:rsidR="009E25DA">
        <w:rPr>
          <w:rFonts w:cstheme="minorHAnsi"/>
          <w:szCs w:val="18"/>
        </w:rPr>
        <w:t xml:space="preserve"> </w:t>
      </w:r>
      <w:r w:rsidRPr="008F45AE" w:rsidR="00932193">
        <w:rPr>
          <w:rFonts w:cstheme="minorHAnsi"/>
          <w:szCs w:val="18"/>
        </w:rPr>
        <w:t xml:space="preserve">in making the regulations fit for their goal. EUDAMED will increase transparency on the medical devices and make cooperation between member states more efficient. </w:t>
      </w:r>
    </w:p>
    <w:p w:rsidRPr="008F45AE" w:rsidR="008F45AE" w:rsidP="008F45AE" w:rsidRDefault="00932193" w14:paraId="578669DE" w14:textId="55282311">
      <w:pPr>
        <w:rPr>
          <w:rFonts w:cstheme="minorHAnsi"/>
          <w:szCs w:val="18"/>
        </w:rPr>
      </w:pPr>
      <w:r w:rsidRPr="008F45AE">
        <w:rPr>
          <w:rFonts w:cstheme="minorHAnsi"/>
          <w:szCs w:val="18"/>
        </w:rPr>
        <w:t xml:space="preserve">To conclude, the MoH is in favor of the creation of a </w:t>
      </w:r>
      <w:r w:rsidRPr="007709CD">
        <w:rPr>
          <w:rFonts w:cstheme="minorHAnsi"/>
          <w:b/>
          <w:bCs/>
          <w:szCs w:val="18"/>
        </w:rPr>
        <w:t>political steering group under the CAMD</w:t>
      </w:r>
      <w:r w:rsidRPr="008F45AE">
        <w:rPr>
          <w:rFonts w:cstheme="minorHAnsi"/>
          <w:szCs w:val="18"/>
        </w:rPr>
        <w:t xml:space="preserve"> structure consisting of the Heads of Medical Devices</w:t>
      </w:r>
      <w:r w:rsidRPr="007C2B08" w:rsidR="007C2B08">
        <w:rPr>
          <w:rFonts w:cstheme="minorHAnsi"/>
          <w:szCs w:val="18"/>
        </w:rPr>
        <w:t xml:space="preserve"> </w:t>
      </w:r>
      <w:r w:rsidRPr="008F45AE" w:rsidR="007C2B08">
        <w:rPr>
          <w:rFonts w:cstheme="minorHAnsi"/>
          <w:szCs w:val="18"/>
        </w:rPr>
        <w:t>to further</w:t>
      </w:r>
      <w:r w:rsidR="007C2B08">
        <w:rPr>
          <w:rFonts w:cstheme="minorHAnsi"/>
          <w:szCs w:val="18"/>
        </w:rPr>
        <w:t xml:space="preserve"> improve</w:t>
      </w:r>
      <w:r w:rsidRPr="008F45AE" w:rsidR="007C2B08">
        <w:rPr>
          <w:rFonts w:cstheme="minorHAnsi"/>
          <w:szCs w:val="18"/>
        </w:rPr>
        <w:t xml:space="preserve"> the efficiency and transparency of the system</w:t>
      </w:r>
      <w:r w:rsidRPr="008F45AE">
        <w:rPr>
          <w:rFonts w:cstheme="minorHAnsi"/>
          <w:szCs w:val="18"/>
        </w:rPr>
        <w:t>. The MoH would value one representative body</w:t>
      </w:r>
      <w:r w:rsidRPr="008F45AE" w:rsidR="00E04971">
        <w:rPr>
          <w:rFonts w:cstheme="minorHAnsi"/>
          <w:szCs w:val="18"/>
        </w:rPr>
        <w:t>, with experts on medical devices</w:t>
      </w:r>
      <w:r w:rsidRPr="008F45AE">
        <w:rPr>
          <w:rFonts w:cstheme="minorHAnsi"/>
          <w:szCs w:val="18"/>
        </w:rPr>
        <w:t xml:space="preserve"> </w:t>
      </w:r>
      <w:r w:rsidR="006E475A">
        <w:rPr>
          <w:rFonts w:cstheme="minorHAnsi"/>
          <w:szCs w:val="18"/>
        </w:rPr>
        <w:t>that</w:t>
      </w:r>
      <w:r w:rsidRPr="008F45AE" w:rsidR="006E475A">
        <w:rPr>
          <w:rFonts w:cstheme="minorHAnsi"/>
          <w:szCs w:val="18"/>
        </w:rPr>
        <w:t xml:space="preserve"> </w:t>
      </w:r>
      <w:r w:rsidRPr="008F45AE" w:rsidR="008F45AE">
        <w:rPr>
          <w:rFonts w:cstheme="minorHAnsi"/>
          <w:szCs w:val="18"/>
        </w:rPr>
        <w:t xml:space="preserve">could give input on </w:t>
      </w:r>
      <w:r w:rsidRPr="008F45AE">
        <w:rPr>
          <w:rFonts w:cstheme="minorHAnsi"/>
          <w:szCs w:val="18"/>
        </w:rPr>
        <w:t>priorities</w:t>
      </w:r>
      <w:r w:rsidRPr="008F45AE" w:rsidR="008F45AE">
        <w:rPr>
          <w:rFonts w:cstheme="minorHAnsi"/>
          <w:szCs w:val="18"/>
        </w:rPr>
        <w:t xml:space="preserve">, </w:t>
      </w:r>
      <w:r w:rsidR="00C32342">
        <w:rPr>
          <w:rFonts w:cstheme="minorHAnsi"/>
          <w:kern w:val="0"/>
          <w:szCs w:val="18"/>
        </w:rPr>
        <w:t>a</w:t>
      </w:r>
      <w:r w:rsidRPr="008F45AE" w:rsidR="008F45AE">
        <w:rPr>
          <w:rFonts w:cstheme="minorHAnsi"/>
          <w:kern w:val="0"/>
          <w:szCs w:val="18"/>
        </w:rPr>
        <w:t>ddress long term development of the regulatory system and</w:t>
      </w:r>
      <w:r w:rsidR="006E475A">
        <w:rPr>
          <w:rFonts w:cstheme="minorHAnsi"/>
          <w:kern w:val="0"/>
          <w:szCs w:val="18"/>
        </w:rPr>
        <w:t xml:space="preserve"> coordinate</w:t>
      </w:r>
      <w:r w:rsidRPr="008F45AE" w:rsidR="008F45AE">
        <w:rPr>
          <w:rFonts w:cstheme="minorHAnsi"/>
          <w:kern w:val="0"/>
          <w:szCs w:val="18"/>
        </w:rPr>
        <w:t xml:space="preserve"> </w:t>
      </w:r>
      <w:r w:rsidR="00C32342">
        <w:rPr>
          <w:rFonts w:cstheme="minorHAnsi"/>
          <w:kern w:val="0"/>
          <w:szCs w:val="18"/>
        </w:rPr>
        <w:t xml:space="preserve">international </w:t>
      </w:r>
      <w:r w:rsidRPr="008F45AE" w:rsidR="008F45AE">
        <w:rPr>
          <w:rFonts w:cstheme="minorHAnsi"/>
          <w:kern w:val="0"/>
          <w:szCs w:val="18"/>
        </w:rPr>
        <w:t>activities</w:t>
      </w:r>
      <w:r w:rsidRPr="008F45AE" w:rsidR="008F45AE">
        <w:rPr>
          <w:rFonts w:cstheme="minorHAnsi"/>
          <w:spacing w:val="-6"/>
          <w:kern w:val="0"/>
          <w:szCs w:val="18"/>
        </w:rPr>
        <w:t xml:space="preserve"> </w:t>
      </w:r>
      <w:r w:rsidRPr="008F45AE" w:rsidR="008F45AE">
        <w:rPr>
          <w:rFonts w:cstheme="minorHAnsi"/>
          <w:kern w:val="0"/>
          <w:szCs w:val="18"/>
        </w:rPr>
        <w:t>to</w:t>
      </w:r>
      <w:r w:rsidRPr="008F45AE" w:rsidR="008F45AE">
        <w:rPr>
          <w:rFonts w:cstheme="minorHAnsi"/>
          <w:spacing w:val="-8"/>
          <w:kern w:val="0"/>
          <w:szCs w:val="18"/>
        </w:rPr>
        <w:t xml:space="preserve"> </w:t>
      </w:r>
      <w:r w:rsidRPr="008F45AE" w:rsidR="008F45AE">
        <w:rPr>
          <w:rFonts w:cstheme="minorHAnsi"/>
          <w:kern w:val="0"/>
          <w:szCs w:val="18"/>
        </w:rPr>
        <w:t>ensure</w:t>
      </w:r>
      <w:r w:rsidRPr="008F45AE" w:rsidR="008F45AE">
        <w:rPr>
          <w:rFonts w:cstheme="minorHAnsi"/>
          <w:spacing w:val="-8"/>
          <w:kern w:val="0"/>
          <w:szCs w:val="18"/>
        </w:rPr>
        <w:t xml:space="preserve"> </w:t>
      </w:r>
      <w:r w:rsidRPr="008F45AE" w:rsidR="008F45AE">
        <w:rPr>
          <w:rFonts w:cstheme="minorHAnsi"/>
          <w:kern w:val="0"/>
          <w:szCs w:val="18"/>
        </w:rPr>
        <w:t>consistency,</w:t>
      </w:r>
      <w:r w:rsidRPr="008F45AE" w:rsidR="008F45AE">
        <w:rPr>
          <w:rFonts w:cstheme="minorHAnsi"/>
          <w:spacing w:val="-4"/>
          <w:kern w:val="0"/>
          <w:szCs w:val="18"/>
        </w:rPr>
        <w:t xml:space="preserve"> </w:t>
      </w:r>
      <w:r w:rsidRPr="008F45AE" w:rsidR="008F45AE">
        <w:rPr>
          <w:rFonts w:cstheme="minorHAnsi"/>
          <w:kern w:val="0"/>
          <w:szCs w:val="18"/>
        </w:rPr>
        <w:t>predictability,</w:t>
      </w:r>
      <w:r w:rsidRPr="008F45AE" w:rsidR="008F45AE">
        <w:rPr>
          <w:rFonts w:cstheme="minorHAnsi"/>
          <w:spacing w:val="-4"/>
          <w:kern w:val="0"/>
          <w:szCs w:val="18"/>
        </w:rPr>
        <w:t xml:space="preserve"> </w:t>
      </w:r>
      <w:r w:rsidRPr="008F45AE" w:rsidR="008F45AE">
        <w:rPr>
          <w:rFonts w:cstheme="minorHAnsi"/>
          <w:kern w:val="0"/>
          <w:szCs w:val="18"/>
        </w:rPr>
        <w:t>sustainability</w:t>
      </w:r>
      <w:r w:rsidRPr="008F45AE" w:rsidR="008F45AE">
        <w:rPr>
          <w:rFonts w:cstheme="minorHAnsi"/>
          <w:spacing w:val="-5"/>
          <w:kern w:val="0"/>
          <w:szCs w:val="18"/>
        </w:rPr>
        <w:t xml:space="preserve"> </w:t>
      </w:r>
      <w:r w:rsidRPr="008F45AE" w:rsidR="008F45AE">
        <w:rPr>
          <w:rFonts w:cstheme="minorHAnsi"/>
          <w:kern w:val="0"/>
          <w:szCs w:val="18"/>
        </w:rPr>
        <w:t xml:space="preserve">and </w:t>
      </w:r>
      <w:r w:rsidRPr="008F45AE" w:rsidR="008F45AE">
        <w:rPr>
          <w:rFonts w:cstheme="minorHAnsi"/>
          <w:spacing w:val="-2"/>
          <w:kern w:val="0"/>
          <w:szCs w:val="18"/>
        </w:rPr>
        <w:t>confidence.</w:t>
      </w:r>
    </w:p>
    <w:p w:rsidRPr="00932193" w:rsidR="004039C2" w:rsidRDefault="004039C2" w14:paraId="7DCD98BA" w14:textId="77777777"/>
    <w:sectPr w:rsidRPr="00932193" w:rsidR="004039C2"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lowerLetter"/>
      <w:lvlText w:val="%1)"/>
      <w:lvlJc w:val="left"/>
      <w:pPr>
        <w:ind w:left="875" w:hanging="249"/>
      </w:pPr>
      <w:rPr>
        <w:rFonts w:ascii="Cambria" w:hAnsi="Cambria" w:cs="Cambria"/>
        <w:b w:val="0"/>
        <w:bCs w:val="0"/>
        <w:i w:val="0"/>
        <w:iCs w:val="0"/>
        <w:spacing w:val="0"/>
        <w:w w:val="79"/>
        <w:sz w:val="19"/>
        <w:szCs w:val="19"/>
      </w:rPr>
    </w:lvl>
    <w:lvl w:ilvl="1">
      <w:numFmt w:val="bullet"/>
      <w:lvlText w:val="•"/>
      <w:lvlJc w:val="left"/>
      <w:pPr>
        <w:ind w:left="1838" w:hanging="249"/>
      </w:pPr>
    </w:lvl>
    <w:lvl w:ilvl="2">
      <w:numFmt w:val="bullet"/>
      <w:lvlText w:val="•"/>
      <w:lvlJc w:val="left"/>
      <w:pPr>
        <w:ind w:left="2797" w:hanging="249"/>
      </w:pPr>
    </w:lvl>
    <w:lvl w:ilvl="3">
      <w:numFmt w:val="bullet"/>
      <w:lvlText w:val="•"/>
      <w:lvlJc w:val="left"/>
      <w:pPr>
        <w:ind w:left="3755" w:hanging="249"/>
      </w:pPr>
    </w:lvl>
    <w:lvl w:ilvl="4">
      <w:numFmt w:val="bullet"/>
      <w:lvlText w:val="•"/>
      <w:lvlJc w:val="left"/>
      <w:pPr>
        <w:ind w:left="4714" w:hanging="249"/>
      </w:pPr>
    </w:lvl>
    <w:lvl w:ilvl="5">
      <w:numFmt w:val="bullet"/>
      <w:lvlText w:val="•"/>
      <w:lvlJc w:val="left"/>
      <w:pPr>
        <w:ind w:left="5672" w:hanging="249"/>
      </w:pPr>
    </w:lvl>
    <w:lvl w:ilvl="6">
      <w:numFmt w:val="bullet"/>
      <w:lvlText w:val="•"/>
      <w:lvlJc w:val="left"/>
      <w:pPr>
        <w:ind w:left="6631" w:hanging="249"/>
      </w:pPr>
    </w:lvl>
    <w:lvl w:ilvl="7">
      <w:numFmt w:val="bullet"/>
      <w:lvlText w:val="•"/>
      <w:lvlJc w:val="left"/>
      <w:pPr>
        <w:ind w:left="7589" w:hanging="249"/>
      </w:pPr>
    </w:lvl>
    <w:lvl w:ilvl="8">
      <w:numFmt w:val="bullet"/>
      <w:lvlText w:val="•"/>
      <w:lvlJc w:val="left"/>
      <w:pPr>
        <w:ind w:left="8548" w:hanging="249"/>
      </w:pPr>
    </w:lvl>
  </w:abstractNum>
  <w:num w:numId="1" w16cid:durableId="167236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75"/>
    <w:rsid w:val="00072393"/>
    <w:rsid w:val="001C31C2"/>
    <w:rsid w:val="001E2E3E"/>
    <w:rsid w:val="001E6A24"/>
    <w:rsid w:val="0025570F"/>
    <w:rsid w:val="002D217E"/>
    <w:rsid w:val="002F6D9E"/>
    <w:rsid w:val="003477EC"/>
    <w:rsid w:val="004039C2"/>
    <w:rsid w:val="0046016F"/>
    <w:rsid w:val="00477D75"/>
    <w:rsid w:val="00503DCD"/>
    <w:rsid w:val="00530212"/>
    <w:rsid w:val="0056132C"/>
    <w:rsid w:val="006207F7"/>
    <w:rsid w:val="00657467"/>
    <w:rsid w:val="006E475A"/>
    <w:rsid w:val="00706E45"/>
    <w:rsid w:val="00740739"/>
    <w:rsid w:val="007709CD"/>
    <w:rsid w:val="00773EF0"/>
    <w:rsid w:val="007C2B08"/>
    <w:rsid w:val="007D29FE"/>
    <w:rsid w:val="008401CC"/>
    <w:rsid w:val="00841EFE"/>
    <w:rsid w:val="008F45AE"/>
    <w:rsid w:val="00932193"/>
    <w:rsid w:val="00990C90"/>
    <w:rsid w:val="009B68C5"/>
    <w:rsid w:val="009E25DA"/>
    <w:rsid w:val="00B06701"/>
    <w:rsid w:val="00B24833"/>
    <w:rsid w:val="00B66BDE"/>
    <w:rsid w:val="00BB2063"/>
    <w:rsid w:val="00C32342"/>
    <w:rsid w:val="00CA24FB"/>
    <w:rsid w:val="00D20833"/>
    <w:rsid w:val="00D53FA6"/>
    <w:rsid w:val="00D80D01"/>
    <w:rsid w:val="00E04971"/>
    <w:rsid w:val="00E63BA1"/>
    <w:rsid w:val="00EA6AD8"/>
    <w:rsid w:val="00EB4807"/>
    <w:rsid w:val="00ED5381"/>
    <w:rsid w:val="00EE43A1"/>
    <w:rsid w:val="00F35D54"/>
    <w:rsid w:val="00F763D3"/>
    <w:rsid w:val="00FE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31D0"/>
  <w15:chartTrackingRefBased/>
  <w15:docId w15:val="{B93EB4AF-4C8E-4B57-A47A-870E2A9C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7D75"/>
    <w:pPr>
      <w:spacing w:line="252" w:lineRule="auto"/>
    </w:pPr>
    <w:rPr>
      <w:rFonts w:eastAsia="Calibri" w:cs="Times New Roman"/>
    </w:rPr>
  </w:style>
  <w:style w:type="paragraph" w:styleId="Kop1">
    <w:name w:val="heading 1"/>
    <w:basedOn w:val="Standaard"/>
    <w:next w:val="Standaard"/>
    <w:link w:val="Kop1Char"/>
    <w:uiPriority w:val="9"/>
    <w:qFormat/>
    <w:rsid w:val="00477D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77D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77D7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77D7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77D75"/>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77D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77D7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77D7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77D7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7D75"/>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77D75"/>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77D75"/>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77D75"/>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77D75"/>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77D7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77D7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77D7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77D7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7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7D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7D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7D7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77D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7D75"/>
    <w:rPr>
      <w:i/>
      <w:iCs/>
      <w:color w:val="404040" w:themeColor="text1" w:themeTint="BF"/>
    </w:rPr>
  </w:style>
  <w:style w:type="paragraph" w:styleId="Lijstalinea">
    <w:name w:val="List Paragraph"/>
    <w:basedOn w:val="Standaard"/>
    <w:uiPriority w:val="34"/>
    <w:qFormat/>
    <w:rsid w:val="00477D75"/>
    <w:pPr>
      <w:ind w:left="720"/>
      <w:contextualSpacing/>
    </w:pPr>
  </w:style>
  <w:style w:type="character" w:styleId="Intensievebenadrukking">
    <w:name w:val="Intense Emphasis"/>
    <w:basedOn w:val="Standaardalinea-lettertype"/>
    <w:uiPriority w:val="21"/>
    <w:qFormat/>
    <w:rsid w:val="00477D75"/>
    <w:rPr>
      <w:i/>
      <w:iCs/>
      <w:color w:val="2E74B5" w:themeColor="accent1" w:themeShade="BF"/>
    </w:rPr>
  </w:style>
  <w:style w:type="paragraph" w:styleId="Duidelijkcitaat">
    <w:name w:val="Intense Quote"/>
    <w:basedOn w:val="Standaard"/>
    <w:next w:val="Standaard"/>
    <w:link w:val="DuidelijkcitaatChar"/>
    <w:uiPriority w:val="30"/>
    <w:qFormat/>
    <w:rsid w:val="00477D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77D75"/>
    <w:rPr>
      <w:i/>
      <w:iCs/>
      <w:color w:val="2E74B5" w:themeColor="accent1" w:themeShade="BF"/>
    </w:rPr>
  </w:style>
  <w:style w:type="character" w:styleId="Intensieveverwijzing">
    <w:name w:val="Intense Reference"/>
    <w:basedOn w:val="Standaardalinea-lettertype"/>
    <w:uiPriority w:val="32"/>
    <w:qFormat/>
    <w:rsid w:val="00477D75"/>
    <w:rPr>
      <w:b/>
      <w:bCs/>
      <w:smallCaps/>
      <w:color w:val="2E74B5" w:themeColor="accent1" w:themeShade="BF"/>
      <w:spacing w:val="5"/>
    </w:rPr>
  </w:style>
  <w:style w:type="paragraph" w:styleId="Revisie">
    <w:name w:val="Revision"/>
    <w:hidden/>
    <w:uiPriority w:val="99"/>
    <w:semiHidden/>
    <w:rsid w:val="009E25DA"/>
    <w:pPr>
      <w:spacing w:after="0" w:line="240" w:lineRule="auto"/>
    </w:pPr>
    <w:rPr>
      <w:rFonts w:eastAsia="Calibri" w:cs="Times New Roman"/>
    </w:rPr>
  </w:style>
  <w:style w:type="character" w:styleId="Verwijzingopmerking">
    <w:name w:val="annotation reference"/>
    <w:basedOn w:val="Standaardalinea-lettertype"/>
    <w:uiPriority w:val="99"/>
    <w:semiHidden/>
    <w:unhideWhenUsed/>
    <w:rsid w:val="009E25DA"/>
    <w:rPr>
      <w:sz w:val="16"/>
      <w:szCs w:val="16"/>
    </w:rPr>
  </w:style>
  <w:style w:type="paragraph" w:styleId="Tekstopmerking">
    <w:name w:val="annotation text"/>
    <w:basedOn w:val="Standaard"/>
    <w:link w:val="TekstopmerkingChar"/>
    <w:uiPriority w:val="99"/>
    <w:unhideWhenUsed/>
    <w:rsid w:val="009E25DA"/>
    <w:pPr>
      <w:spacing w:line="240" w:lineRule="auto"/>
    </w:pPr>
    <w:rPr>
      <w:sz w:val="20"/>
      <w:szCs w:val="20"/>
    </w:rPr>
  </w:style>
  <w:style w:type="character" w:customStyle="1" w:styleId="TekstopmerkingChar">
    <w:name w:val="Tekst opmerking Char"/>
    <w:basedOn w:val="Standaardalinea-lettertype"/>
    <w:link w:val="Tekstopmerking"/>
    <w:uiPriority w:val="99"/>
    <w:rsid w:val="009E25DA"/>
    <w:rPr>
      <w:rFonts w:eastAsia="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9E25DA"/>
    <w:rPr>
      <w:b/>
      <w:bCs/>
    </w:rPr>
  </w:style>
  <w:style w:type="character" w:customStyle="1" w:styleId="OnderwerpvanopmerkingChar">
    <w:name w:val="Onderwerp van opmerking Char"/>
    <w:basedOn w:val="TekstopmerkingChar"/>
    <w:link w:val="Onderwerpvanopmerking"/>
    <w:uiPriority w:val="99"/>
    <w:semiHidden/>
    <w:rsid w:val="009E25DA"/>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87801">
      <w:bodyDiv w:val="1"/>
      <w:marLeft w:val="0"/>
      <w:marRight w:val="0"/>
      <w:marTop w:val="0"/>
      <w:marBottom w:val="0"/>
      <w:divBdr>
        <w:top w:val="none" w:sz="0" w:space="0" w:color="auto"/>
        <w:left w:val="none" w:sz="0" w:space="0" w:color="auto"/>
        <w:bottom w:val="none" w:sz="0" w:space="0" w:color="auto"/>
        <w:right w:val="none" w:sz="0" w:space="0" w:color="auto"/>
      </w:divBdr>
    </w:div>
    <w:div w:id="1915583052">
      <w:bodyDiv w:val="1"/>
      <w:marLeft w:val="0"/>
      <w:marRight w:val="0"/>
      <w:marTop w:val="0"/>
      <w:marBottom w:val="0"/>
      <w:divBdr>
        <w:top w:val="none" w:sz="0" w:space="0" w:color="auto"/>
        <w:left w:val="none" w:sz="0" w:space="0" w:color="auto"/>
        <w:bottom w:val="none" w:sz="0" w:space="0" w:color="auto"/>
        <w:right w:val="none" w:sz="0" w:space="0" w:color="auto"/>
      </w:divBdr>
    </w:div>
    <w:div w:id="204952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475</ap:Words>
  <ap:Characters>2614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2025-03-10T13:52:00.0000000Z</dcterms:created>
  <dcterms:modified xsi:type="dcterms:W3CDTF">2025-03-19T10:09:00.0000000Z</dcterms:modified>
  <version/>
  <category/>
</coreProperties>
</file>