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2CF" w:rsidP="009902CF" w:rsidRDefault="009902CF" w14:paraId="7D04B4F5" w14:textId="77777777">
      <w:bookmarkStart w:name="_GoBack" w:id="0"/>
      <w:bookmarkEnd w:id="0"/>
      <w:r>
        <w:t>Geachte voorzitter,</w:t>
      </w:r>
    </w:p>
    <w:p w:rsidR="009902CF" w:rsidP="009902CF" w:rsidRDefault="009902CF" w14:paraId="389F09C0" w14:textId="77777777"/>
    <w:p w:rsidR="009902CF" w:rsidP="009902CF" w:rsidRDefault="009902CF" w14:paraId="4845D035" w14:textId="037430C2">
      <w:r>
        <w:t>De motie van het lid Boswijk c.s.</w:t>
      </w:r>
      <w:r>
        <w:rPr>
          <w:rStyle w:val="FootnoteReference"/>
        </w:rPr>
        <w:footnoteReference w:id="1"/>
      </w:r>
      <w:r w:rsidR="00D3476A">
        <w:t xml:space="preserve">, ingediend bij het </w:t>
      </w:r>
      <w:r w:rsidR="005F2A8D">
        <w:t>Kamerdebat</w:t>
      </w:r>
      <w:r w:rsidR="00D3476A">
        <w:t xml:space="preserve"> van 16 april 2024 over de buitengewone Europese Raad, </w:t>
      </w:r>
      <w:r>
        <w:t xml:space="preserve">verzoekt de regering om onderzoek te doen naar de risico’s van elektrische auto’s voor de nationale veiligheid en om de optie van gebiedsverboden als mogelijke mitigerende maatregel hierin mee te nemen. Middels deze brief wordt u geïnformeerd over de </w:t>
      </w:r>
      <w:r w:rsidR="00237366">
        <w:t>wijze waarop uitvoering is gegeven aan deze motie</w:t>
      </w:r>
      <w:r>
        <w:t xml:space="preserve"> en het vervolgproces.</w:t>
      </w:r>
      <w:r w:rsidRPr="004E760B">
        <w:t xml:space="preserve"> </w:t>
      </w:r>
      <w:r>
        <w:t>Daarbij wordt opgemerkt dat de</w:t>
      </w:r>
      <w:r w:rsidR="00237366">
        <w:t xml:space="preserve"> betreffende onderzoeken, in de vorm van een</w:t>
      </w:r>
      <w:r>
        <w:t xml:space="preserve"> integrale risicoanalyse en dreigingsanalyses</w:t>
      </w:r>
      <w:r w:rsidR="00237366">
        <w:t>,</w:t>
      </w:r>
      <w:r>
        <w:t xml:space="preserve"> inzicht geven in nationale veiligheidsrisico’s en daarom</w:t>
      </w:r>
      <w:r w:rsidR="009A0131">
        <w:t xml:space="preserve"> voor een groot deel</w:t>
      </w:r>
      <w:r>
        <w:t xml:space="preserve"> niet geschikt zijn voor </w:t>
      </w:r>
      <w:r w:rsidR="00387D82">
        <w:t>openbaarmaking</w:t>
      </w:r>
      <w:r>
        <w:t xml:space="preserve">. Deze </w:t>
      </w:r>
      <w:r w:rsidR="00237366">
        <w:t xml:space="preserve">analyses </w:t>
      </w:r>
      <w:r>
        <w:t>kunnen in een vertrouwelijke technische briefing nader worden toegelicht.</w:t>
      </w:r>
    </w:p>
    <w:p w:rsidR="009902CF" w:rsidP="009902CF" w:rsidRDefault="009902CF" w14:paraId="395169B4" w14:textId="77777777"/>
    <w:p w:rsidR="009902CF" w:rsidP="009902CF" w:rsidRDefault="009902CF" w14:paraId="0351002D" w14:textId="77777777">
      <w:pPr>
        <w:rPr>
          <w:b/>
          <w:bCs/>
        </w:rPr>
      </w:pPr>
      <w:r>
        <w:rPr>
          <w:b/>
          <w:bCs/>
        </w:rPr>
        <w:t>Opzet onderzoek</w:t>
      </w:r>
    </w:p>
    <w:p w:rsidR="00BE5B07" w:rsidP="009902CF" w:rsidRDefault="00D3476A" w14:paraId="1F964975" w14:textId="6C7612C8">
      <w:r>
        <w:t xml:space="preserve">De motie verwijst naar </w:t>
      </w:r>
      <w:r w:rsidR="00BE5B07">
        <w:t xml:space="preserve">de toegenomen instroom van Chinese elektrische voertuigen op de Europese markt en de groeiende zorgen over de cyberveiligheid van deze voertuigen. Bij het formuleren van de onderzoeksvraag </w:t>
      </w:r>
      <w:r w:rsidR="009902CF">
        <w:t xml:space="preserve">is geconstateerd dat </w:t>
      </w:r>
      <w:r w:rsidRPr="00977EFF" w:rsidR="009902CF">
        <w:t>de mogelijke risico</w:t>
      </w:r>
      <w:r w:rsidR="009902CF">
        <w:t>’</w:t>
      </w:r>
      <w:r w:rsidRPr="00977EFF" w:rsidR="009902CF">
        <w:t xml:space="preserve">s </w:t>
      </w:r>
      <w:r w:rsidR="009902CF">
        <w:t xml:space="preserve">voor de nationale veiligheid </w:t>
      </w:r>
      <w:r w:rsidRPr="00977EFF" w:rsidR="009902CF">
        <w:t>die in de motie worden genoemd niet alleen</w:t>
      </w:r>
      <w:r w:rsidR="009902CF">
        <w:t xml:space="preserve"> toepasbaar zijn op</w:t>
      </w:r>
      <w:r w:rsidRPr="00977EFF" w:rsidR="009902CF">
        <w:t xml:space="preserve"> elektrische voertuigen (EV’s)</w:t>
      </w:r>
      <w:r w:rsidR="009902CF">
        <w:t xml:space="preserve">. Ook andere ‘slimme voertuigen’ die verbonden zijn met netwerken zoals het internet </w:t>
      </w:r>
      <w:r w:rsidR="005F2A8D">
        <w:t xml:space="preserve">en ongeacht de herkomst ervan </w:t>
      </w:r>
      <w:r w:rsidR="009902CF">
        <w:t xml:space="preserve">zijn mogelijk kwetsbaar voor spionage en sabotage. </w:t>
      </w:r>
      <w:r w:rsidRPr="00977EFF" w:rsidR="009902CF">
        <w:t>Da</w:t>
      </w:r>
      <w:r w:rsidR="009902CF">
        <w:t xml:space="preserve">arom is de onderzoeksopdracht </w:t>
      </w:r>
      <w:r w:rsidR="00197DB2">
        <w:t>verbreed naar</w:t>
      </w:r>
      <w:r w:rsidR="009902CF">
        <w:t xml:space="preserve"> een analyse van de risico’s voor de nationale veiligheid van </w:t>
      </w:r>
      <w:r w:rsidRPr="00977EFF" w:rsidR="009902CF">
        <w:t>slimme (elektrische) voertuigen.</w:t>
      </w:r>
      <w:r w:rsidR="009902CF">
        <w:t xml:space="preserve"> </w:t>
      </w:r>
      <w:r w:rsidR="00361207">
        <w:t>We onderschrijven immers</w:t>
      </w:r>
      <w:r w:rsidRPr="00361207" w:rsidR="00361207">
        <w:t xml:space="preserve"> de constatering van het lid Boswijk dat </w:t>
      </w:r>
      <w:r w:rsidR="00C9566C">
        <w:t xml:space="preserve">inzicht in de nationale veiligheidsrisico’s van </w:t>
      </w:r>
      <w:r w:rsidR="00361207">
        <w:t>slimme (</w:t>
      </w:r>
      <w:r w:rsidRPr="00361207" w:rsidR="00361207">
        <w:t>elektrische</w:t>
      </w:r>
      <w:r w:rsidR="00361207">
        <w:t>)</w:t>
      </w:r>
      <w:r w:rsidRPr="00361207" w:rsidR="00361207">
        <w:t xml:space="preserve"> voertuigen</w:t>
      </w:r>
      <w:r w:rsidR="00C9566C">
        <w:t xml:space="preserve"> noodzakelijk is. De</w:t>
      </w:r>
      <w:r w:rsidR="004518A5">
        <w:t>s te meer omdat deze</w:t>
      </w:r>
      <w:r w:rsidR="00C9566C">
        <w:t xml:space="preserve"> voertuigen behoren</w:t>
      </w:r>
      <w:r w:rsidRPr="00361207" w:rsidR="00361207">
        <w:t xml:space="preserve"> tot een wereldwijde markt van zeer geavanceerde consumentenelektronica met verregaande digitalisering en automatisering</w:t>
      </w:r>
      <w:r w:rsidR="00C9566C">
        <w:t xml:space="preserve"> en </w:t>
      </w:r>
      <w:r w:rsidR="004518A5">
        <w:t>met</w:t>
      </w:r>
      <w:r w:rsidR="00C9566C">
        <w:t xml:space="preserve"> een grote verscheidenheid in voertuigmerken, -types en -modellen. </w:t>
      </w:r>
      <w:r w:rsidRPr="00361207" w:rsidR="00361207">
        <w:t xml:space="preserve"> </w:t>
      </w:r>
    </w:p>
    <w:p w:rsidR="00BE5B07" w:rsidP="009902CF" w:rsidRDefault="00BE5B07" w14:paraId="299D9150" w14:textId="77777777"/>
    <w:p w:rsidRPr="00C9566C" w:rsidR="00C9566C" w:rsidP="00C9566C" w:rsidRDefault="00BE5B07" w14:paraId="4BD70171" w14:textId="77777777">
      <w:r>
        <w:t xml:space="preserve">Ter uitvoering van de motie is </w:t>
      </w:r>
      <w:r w:rsidR="005F2A8D">
        <w:t xml:space="preserve">gekozen </w:t>
      </w:r>
      <w:r>
        <w:t>voor een brede nationale opzet van het onderzoek</w:t>
      </w:r>
      <w:r w:rsidR="00C9566C">
        <w:t xml:space="preserve"> in opdracht van de Task Force Economische Veiligheid (TFEV)</w:t>
      </w:r>
      <w:r>
        <w:t xml:space="preserve">. </w:t>
      </w:r>
      <w:r w:rsidRPr="00C9566C" w:rsidR="00C9566C">
        <w:t>Hierbij is de risicobeoordeling van het Rijksbrede Analistennetwerk Nationale Veiligheid</w:t>
      </w:r>
      <w:r w:rsidRPr="00C9566C" w:rsidR="00C9566C">
        <w:rPr>
          <w:vertAlign w:val="superscript"/>
        </w:rPr>
        <w:footnoteReference w:id="2"/>
      </w:r>
      <w:r w:rsidRPr="00C9566C" w:rsidR="00C9566C">
        <w:t xml:space="preserve"> toegepast. De TFEV, onder voorzitterschap van de NCTV, heeft eerder opdracht </w:t>
      </w:r>
      <w:r w:rsidRPr="00C9566C" w:rsidR="00C9566C">
        <w:lastRenderedPageBreak/>
        <w:t>gegeven tot het uitvoeren van risicoanalyses ten behoeve van bijvoorbeeld de maatregelen voor bescherming van telecomnetwerken en 5G</w:t>
      </w:r>
      <w:r w:rsidRPr="00C9566C" w:rsidR="00C9566C">
        <w:rPr>
          <w:vertAlign w:val="superscript"/>
        </w:rPr>
        <w:footnoteReference w:id="3"/>
      </w:r>
      <w:r w:rsidRPr="00C9566C" w:rsidR="00C9566C">
        <w:t xml:space="preserve">. </w:t>
      </w:r>
    </w:p>
    <w:p w:rsidR="00BE5B07" w:rsidP="009902CF" w:rsidRDefault="00BE5B07" w14:paraId="24D883E8" w14:textId="78F2F6BB">
      <w:r w:rsidRPr="00BE5B07">
        <w:t>Op basis van deze aanpak zijn een</w:t>
      </w:r>
      <w:r w:rsidR="005F2A8D">
        <w:t xml:space="preserve"> brede interdepartementale</w:t>
      </w:r>
      <w:r w:rsidRPr="00BE5B07">
        <w:t xml:space="preserve"> technische werkgroep en een beleidswerkgroep opgezet.</w:t>
      </w:r>
      <w:r w:rsidR="007C671D">
        <w:t xml:space="preserve"> </w:t>
      </w:r>
      <w:r w:rsidR="00C9566C">
        <w:t xml:space="preserve">Door de technische werkgroep zijn </w:t>
      </w:r>
      <w:r w:rsidRPr="00FE0D2F" w:rsidR="00C9566C">
        <w:t xml:space="preserve">scenario’s opgesteld waarin </w:t>
      </w:r>
      <w:r w:rsidR="00C9566C">
        <w:t xml:space="preserve">een slim (elektrisch) voertuig </w:t>
      </w:r>
      <w:r w:rsidRPr="00FE0D2F" w:rsidR="00C9566C">
        <w:t xml:space="preserve">de nationale veiligheid zou kunnen </w:t>
      </w:r>
      <w:r w:rsidR="00C9566C">
        <w:t>schaden</w:t>
      </w:r>
      <w:r w:rsidRPr="00FE0D2F" w:rsidR="00C9566C">
        <w:t>.</w:t>
      </w:r>
      <w:r w:rsidR="00C9566C">
        <w:t xml:space="preserve"> Mogelijke spionage- en sabotagerisico’s zijn hierin meegenomen. Deze resultaten zijn vervolgens voorgelegd aan de TFEV.</w:t>
      </w:r>
      <w:r w:rsidRPr="00BE5B07">
        <w:t xml:space="preserve">  </w:t>
      </w:r>
    </w:p>
    <w:p w:rsidR="007C671D" w:rsidP="009902CF" w:rsidRDefault="007C671D" w14:paraId="279862DB" w14:textId="77777777"/>
    <w:p w:rsidR="009902CF" w:rsidP="009902CF" w:rsidRDefault="009902CF" w14:paraId="62EA793F" w14:textId="264145D9">
      <w:r w:rsidRPr="00FE0D2F">
        <w:t xml:space="preserve">Deelnemende partijen aan </w:t>
      </w:r>
      <w:r>
        <w:t xml:space="preserve">de </w:t>
      </w:r>
      <w:r w:rsidRPr="00FE0D2F">
        <w:t xml:space="preserve">werkgroepen zijn de ministeries van Infrastructuur en Waterstaat, </w:t>
      </w:r>
      <w:r w:rsidR="005F27DE">
        <w:t xml:space="preserve">Defensie, </w:t>
      </w:r>
      <w:r w:rsidRPr="00FE0D2F">
        <w:t xml:space="preserve">Economische Zaken, Buitenlandse Zaken, Financiën, </w:t>
      </w:r>
      <w:r w:rsidR="00C9566C">
        <w:t>Justitie en Veiligheid</w:t>
      </w:r>
      <w:r>
        <w:t>, NCSC</w:t>
      </w:r>
      <w:r w:rsidRPr="00FE0D2F">
        <w:t>, alsmede voertuigenautoriteit RDW, de Algemene Inlichtingen- en Veiligheidsdienst (AIVD), en de Autoriteit Persoonsgegevens (AP).</w:t>
      </w:r>
      <w:r>
        <w:t xml:space="preserve"> Ook is het Ministerie van Klimaat en Groene Groei geconsulteerd op onderdelen van de analyse.</w:t>
      </w:r>
      <w:r w:rsidR="009A0131">
        <w:t xml:space="preserve"> Niet elke partij is bij beide werkgroepen betrokken geweest.</w:t>
      </w:r>
    </w:p>
    <w:p w:rsidR="009902CF" w:rsidP="009902CF" w:rsidRDefault="009902CF" w14:paraId="583A5946" w14:textId="77777777"/>
    <w:p w:rsidR="009902CF" w:rsidP="009902CF" w:rsidRDefault="009902CF" w14:paraId="340E9F61" w14:textId="77777777">
      <w:pPr>
        <w:rPr>
          <w:b/>
          <w:bCs/>
        </w:rPr>
      </w:pPr>
      <w:r>
        <w:rPr>
          <w:b/>
          <w:bCs/>
        </w:rPr>
        <w:t>Conclusies onderzoek</w:t>
      </w:r>
    </w:p>
    <w:p w:rsidR="009902CF" w:rsidP="009902CF" w:rsidRDefault="009902CF" w14:paraId="30050C61" w14:textId="77777777"/>
    <w:p w:rsidR="00D107F2" w:rsidP="009902CF" w:rsidRDefault="00AA08DE" w14:paraId="65CABA92" w14:textId="55BB5818">
      <w:bookmarkStart w:name="_Hlk191893657" w:id="1"/>
      <w:r>
        <w:t xml:space="preserve">De resultaten van de risicoanalyse inclusief inventarisatie van mogelijke maatregelen </w:t>
      </w:r>
      <w:r w:rsidR="00992290">
        <w:t>bevat veel informatie over</w:t>
      </w:r>
      <w:r>
        <w:t xml:space="preserve"> nationale veiligheidsrisico’s en zijn </w:t>
      </w:r>
      <w:r w:rsidR="00992290">
        <w:t xml:space="preserve">daarom </w:t>
      </w:r>
      <w:r>
        <w:t xml:space="preserve">voor een groot deel niet geschikt voor </w:t>
      </w:r>
      <w:r w:rsidR="00387D82">
        <w:t>openbaarmaking</w:t>
      </w:r>
      <w:r>
        <w:t xml:space="preserve">. </w:t>
      </w:r>
      <w:r w:rsidR="001D57CA">
        <w:t xml:space="preserve">Wel valt uit de risicoanalyse op te maken dat er een bepaalde mate van risico bestaat op het gebied van spionage en sabotage. Deze risico’s raken onder meer aan locaties en persoonsgegevens. </w:t>
      </w:r>
      <w:r>
        <w:t xml:space="preserve">Omdat de motie verzoekt om eventuele gebiedsverboden mee te nemen bij de uitvoering </w:t>
      </w:r>
      <w:r w:rsidR="00FE2147">
        <w:t>ervan,</w:t>
      </w:r>
      <w:r>
        <w:t xml:space="preserve"> wordt hieronder voor zover geschikt voor </w:t>
      </w:r>
      <w:r w:rsidR="00387D82">
        <w:t>openbaarmaking</w:t>
      </w:r>
      <w:r>
        <w:t xml:space="preserve"> kort stilgestaan bij dat onderwerp. </w:t>
      </w:r>
      <w:r w:rsidR="00992290">
        <w:t xml:space="preserve">Dat is mogelijk omdat Defensie vanwege het hogere risicoprofiel reeds maatregelen </w:t>
      </w:r>
      <w:r w:rsidR="00D92E4F">
        <w:t>had getroffen</w:t>
      </w:r>
      <w:r w:rsidR="00992290">
        <w:t xml:space="preserve">. </w:t>
      </w:r>
      <w:r w:rsidR="005C04CD">
        <w:t xml:space="preserve">Ook voor persoonsgegevens zijn een aantal </w:t>
      </w:r>
      <w:r w:rsidR="00DE06CC">
        <w:t>bevindingen</w:t>
      </w:r>
      <w:r w:rsidR="005C04CD">
        <w:t xml:space="preserve"> geschikt voor openbaarmaking. </w:t>
      </w:r>
    </w:p>
    <w:p w:rsidR="00AA08DE" w:rsidP="009902CF" w:rsidRDefault="00AA08DE" w14:paraId="16D89894" w14:textId="77777777"/>
    <w:p w:rsidRPr="00CC2E2F" w:rsidR="009902CF" w:rsidP="009902CF" w:rsidRDefault="009902CF" w14:paraId="4CB8AB4C" w14:textId="77777777">
      <w:pPr>
        <w:rPr>
          <w:u w:val="single"/>
        </w:rPr>
      </w:pPr>
      <w:r>
        <w:rPr>
          <w:u w:val="single"/>
        </w:rPr>
        <w:t xml:space="preserve">Defensieterreinen </w:t>
      </w:r>
    </w:p>
    <w:p w:rsidRPr="00CC2E2F" w:rsidR="005F27DE" w:rsidP="005F27DE" w:rsidRDefault="009902CF" w14:paraId="0474FEA5" w14:textId="781028C6">
      <w:r w:rsidRPr="00CC2E2F">
        <w:t xml:space="preserve">Defensie ziet risico's in slimme voertuigen die opnames </w:t>
      </w:r>
      <w:r w:rsidR="007F0EDA">
        <w:t xml:space="preserve">kunnen </w:t>
      </w:r>
      <w:r w:rsidRPr="00CC2E2F">
        <w:t>maken van passagiers en kazernes</w:t>
      </w:r>
      <w:r w:rsidR="00992290">
        <w:t xml:space="preserve">. </w:t>
      </w:r>
      <w:r w:rsidRPr="00000FD0" w:rsidR="005F27DE">
        <w:t>Om dit risico te verkleinen, mogen medewerkers in het openb</w:t>
      </w:r>
      <w:r w:rsidR="005F27DE">
        <w:t xml:space="preserve">aar, in openbare ruimtes of in </w:t>
      </w:r>
      <w:r w:rsidRPr="00085266" w:rsidR="005F27DE">
        <w:t xml:space="preserve">niet-operationele </w:t>
      </w:r>
      <w:r w:rsidRPr="00000FD0" w:rsidR="005F27DE">
        <w:t>voertuigen alleen onger</w:t>
      </w:r>
      <w:r w:rsidR="005F27DE">
        <w:t>ubriceerde informatie bespreken.</w:t>
      </w:r>
      <w:r w:rsidRPr="00CC2E2F">
        <w:t xml:space="preserve"> </w:t>
      </w:r>
      <w:r w:rsidR="005F27DE">
        <w:t xml:space="preserve">Daarnaast zijn </w:t>
      </w:r>
      <w:r w:rsidRPr="00CC2E2F" w:rsidR="005F27DE">
        <w:t>commandanten</w:t>
      </w:r>
      <w:r w:rsidR="005F27DE">
        <w:t xml:space="preserve"> al</w:t>
      </w:r>
      <w:r w:rsidRPr="00CC2E2F" w:rsidR="005F27DE">
        <w:t xml:space="preserve"> bevoegd om maatregelen te nemen om het</w:t>
      </w:r>
      <w:r w:rsidR="005F27DE">
        <w:t xml:space="preserve"> risico van</w:t>
      </w:r>
      <w:r w:rsidRPr="00CC2E2F" w:rsidR="005F27DE">
        <w:t xml:space="preserve"> </w:t>
      </w:r>
      <w:r w:rsidR="005F27DE">
        <w:t>maken van foto, film, video en audio opnames</w:t>
      </w:r>
      <w:r w:rsidRPr="00CC2E2F" w:rsidR="005F27DE">
        <w:t xml:space="preserve"> van kazernes</w:t>
      </w:r>
      <w:r w:rsidR="005F27DE">
        <w:t>, mede</w:t>
      </w:r>
      <w:r w:rsidRPr="00CC2E2F" w:rsidR="005F27DE">
        <w:t xml:space="preserve"> door slimme voertuigen</w:t>
      </w:r>
      <w:r w:rsidR="005F27DE">
        <w:t>,</w:t>
      </w:r>
      <w:r w:rsidRPr="00CC2E2F" w:rsidR="005F27DE">
        <w:t xml:space="preserve"> te </w:t>
      </w:r>
      <w:r w:rsidR="005F27DE">
        <w:t>verminderen</w:t>
      </w:r>
      <w:r w:rsidRPr="00CC2E2F" w:rsidR="005F27DE">
        <w:t>.</w:t>
      </w:r>
    </w:p>
    <w:p w:rsidRPr="00CC2E2F" w:rsidR="009902CF" w:rsidP="009902CF" w:rsidRDefault="009902CF" w14:paraId="33432471" w14:textId="77777777"/>
    <w:p w:rsidRPr="00CC2E2F" w:rsidR="009902CF" w:rsidP="009902CF" w:rsidRDefault="009902CF" w14:paraId="31D9E176" w14:textId="26BDEC17">
      <w:r w:rsidRPr="00CC2E2F">
        <w:t xml:space="preserve">Defensie werkt </w:t>
      </w:r>
      <w:r w:rsidR="005F27DE">
        <w:t>verder</w:t>
      </w:r>
      <w:r w:rsidRPr="00CC2E2F">
        <w:t xml:space="preserve"> aan de inrichting van "Kazernes van de toekomst", waarbij voertuigen aan de periferie van de kazernes worden geplaatst en goederen kunnen worden afgeleverd zonder het terrein op te hoeven. Er zijn</w:t>
      </w:r>
      <w:r w:rsidR="005F27DE">
        <w:t xml:space="preserve"> ook</w:t>
      </w:r>
      <w:r w:rsidRPr="00CC2E2F">
        <w:t xml:space="preserve"> richtlijnen voor het melden van verdachte situaties, zoals een tactisch geplaatst slim voertuig, en indien het dreigingsniveau stijgt, kunnen aanvullende maatregelen worden genomen, zoals het weren van voertuigen van het terrein.</w:t>
      </w:r>
      <w:r w:rsidR="00992290">
        <w:t xml:space="preserve"> </w:t>
      </w:r>
      <w:r w:rsidR="00D92E4F">
        <w:t>De bevindingen van de risicoanalyse zullen worden meegenomen bij het verder ontwikkelen van de “Kazernes van de toekoms</w:t>
      </w:r>
      <w:r w:rsidR="00AD5F79">
        <w:t>t</w:t>
      </w:r>
      <w:r w:rsidR="00D92E4F">
        <w:t>”</w:t>
      </w:r>
      <w:r w:rsidR="00901B36">
        <w:t>.</w:t>
      </w:r>
    </w:p>
    <w:bookmarkEnd w:id="1"/>
    <w:p w:rsidR="009902CF" w:rsidP="009902CF" w:rsidRDefault="009902CF" w14:paraId="0EAB409D" w14:textId="77777777"/>
    <w:p w:rsidRPr="00CC2E2F" w:rsidR="009902CF" w:rsidP="009902CF" w:rsidRDefault="009902CF" w14:paraId="5ADA8B38" w14:textId="77777777">
      <w:pPr>
        <w:rPr>
          <w:u w:val="single"/>
        </w:rPr>
      </w:pPr>
      <w:r w:rsidRPr="00CC2E2F">
        <w:rPr>
          <w:u w:val="single"/>
        </w:rPr>
        <w:t xml:space="preserve">Persoonsgegevens </w:t>
      </w:r>
    </w:p>
    <w:p w:rsidRPr="00694A4A" w:rsidR="009902CF" w:rsidP="009902CF" w:rsidRDefault="009902CF" w14:paraId="0D1BC86D" w14:textId="615BF7D4">
      <w:r w:rsidRPr="00694A4A">
        <w:t xml:space="preserve">Uit het </w:t>
      </w:r>
      <w:r w:rsidR="005C04CD">
        <w:t xml:space="preserve">technische </w:t>
      </w:r>
      <w:r w:rsidRPr="00694A4A">
        <w:t xml:space="preserve">onderzoek blijkt </w:t>
      </w:r>
      <w:r w:rsidR="005C04CD">
        <w:t xml:space="preserve">onder meer </w:t>
      </w:r>
      <w:r w:rsidRPr="00694A4A">
        <w:t xml:space="preserve">dat er op dit moment nog (te) weinig inzicht is in wat voertuigen aan persoonsgegevens verwerken, waarom ze dit doen, en wat er met deze persoonsgegevens wordt gedaan. </w:t>
      </w:r>
      <w:r>
        <w:t xml:space="preserve">Daarom werkt </w:t>
      </w:r>
      <w:r w:rsidR="007F0EDA">
        <w:t xml:space="preserve">het ministerie van </w:t>
      </w:r>
      <w:r>
        <w:t>IenW samen met relevante stakeholders aan het in kaart brengen van de effectiviteit en de inrichting van het toezicht op data en connectiviteit.</w:t>
      </w:r>
      <w:r w:rsidRPr="00694A4A">
        <w:t xml:space="preserve"> </w:t>
      </w:r>
    </w:p>
    <w:p w:rsidR="009902CF" w:rsidP="009902CF" w:rsidRDefault="009902CF" w14:paraId="7DE4B258" w14:textId="77777777">
      <w:pPr>
        <w:rPr>
          <w:b/>
          <w:bCs/>
        </w:rPr>
      </w:pPr>
    </w:p>
    <w:p w:rsidRPr="00CC2E2F" w:rsidR="009902CF" w:rsidP="009902CF" w:rsidRDefault="009902CF" w14:paraId="499AD560" w14:textId="77777777">
      <w:r>
        <w:rPr>
          <w:b/>
          <w:bCs/>
        </w:rPr>
        <w:t xml:space="preserve">Vervolgonderzoek </w:t>
      </w:r>
    </w:p>
    <w:p w:rsidRPr="004B0637" w:rsidR="007F0EDA" w:rsidP="009902CF" w:rsidRDefault="009902CF" w14:paraId="6D22B152" w14:textId="7B358D71">
      <w:r w:rsidRPr="004B0637">
        <w:t xml:space="preserve">Om op basis van de uitgevoerde analyse te komen tot het treffen van verstrekkende beveiligingsmaatregelen is een dieper detailniveau noodzakelijk. De werkgroepen bereiden deze verdieping momenteel voor. Daarbij </w:t>
      </w:r>
      <w:r w:rsidRPr="004B0637" w:rsidR="007F0EDA">
        <w:t xml:space="preserve">worden reeds </w:t>
      </w:r>
      <w:r w:rsidRPr="004B0637">
        <w:t>genomen maatregelen</w:t>
      </w:r>
      <w:r w:rsidRPr="004B0637" w:rsidR="007F0EDA">
        <w:t xml:space="preserve"> meegenomen</w:t>
      </w:r>
      <w:r w:rsidRPr="004B0637">
        <w:t xml:space="preserve"> en zullen specifieke objecten en organisaties </w:t>
      </w:r>
      <w:r w:rsidRPr="004B0637" w:rsidR="004B0637">
        <w:rPr>
          <w:rStyle w:val="CommentReference"/>
          <w:sz w:val="18"/>
          <w:szCs w:val="18"/>
        </w:rPr>
        <w:t>met een hoger risicoprofiel</w:t>
      </w:r>
      <w:r w:rsidR="008A25F1">
        <w:rPr>
          <w:rStyle w:val="CommentReference"/>
          <w:sz w:val="18"/>
          <w:szCs w:val="18"/>
        </w:rPr>
        <w:t>, bijvoorbeeld binnen vitale infrastructuur,</w:t>
      </w:r>
      <w:r w:rsidRPr="004B0637" w:rsidR="004B0637">
        <w:rPr>
          <w:rStyle w:val="CommentReference"/>
          <w:sz w:val="18"/>
          <w:szCs w:val="18"/>
        </w:rPr>
        <w:t xml:space="preserve"> </w:t>
      </w:r>
      <w:r w:rsidRPr="004B0637">
        <w:t xml:space="preserve">nader tegen het licht gehouden moeten worden. </w:t>
      </w:r>
    </w:p>
    <w:p w:rsidR="007F0EDA" w:rsidP="009902CF" w:rsidRDefault="007F0EDA" w14:paraId="1D9DF24D" w14:textId="77777777"/>
    <w:p w:rsidR="009902CF" w:rsidP="009902CF" w:rsidRDefault="009902CF" w14:paraId="3E1C3B60" w14:textId="342F97AE">
      <w:r>
        <w:t xml:space="preserve">Ook </w:t>
      </w:r>
      <w:r w:rsidR="004B0637">
        <w:t xml:space="preserve">zullen de </w:t>
      </w:r>
      <w:r w:rsidR="005F27DE">
        <w:t>stappen</w:t>
      </w:r>
      <w:r w:rsidR="004B0637">
        <w:t xml:space="preserve"> die in Europees verband gezet worden meer aandacht </w:t>
      </w:r>
      <w:r w:rsidR="005F27DE">
        <w:t xml:space="preserve">moeten </w:t>
      </w:r>
      <w:r w:rsidR="004B0637">
        <w:t xml:space="preserve">krijgen. </w:t>
      </w:r>
      <w:r>
        <w:t xml:space="preserve">Europa kent geharmoniseerde typegoedkeuringseisen voor voertuigen binnen de interne markt van de Unie. Daarom ligt het voor de hand om eventuele maatregelen in Europees verband te bepleiten. </w:t>
      </w:r>
      <w:r w:rsidR="00387D82">
        <w:t>Het kabinet</w:t>
      </w:r>
      <w:r w:rsidR="00AD5F79">
        <w:t xml:space="preserve"> </w:t>
      </w:r>
      <w:r w:rsidR="00387D82">
        <w:t>is</w:t>
      </w:r>
      <w:r w:rsidR="005F27DE">
        <w:t xml:space="preserve"> ook</w:t>
      </w:r>
      <w:r>
        <w:t xml:space="preserve"> in </w:t>
      </w:r>
      <w:r w:rsidR="00281676">
        <w:t>Europa zowel bilateraal als met de Europese Commissie in overleg o</w:t>
      </w:r>
      <w:r>
        <w:t xml:space="preserve">m aandacht te vragen </w:t>
      </w:r>
      <w:r w:rsidR="007F0EDA">
        <w:t>voor de mogelijke spionage en sabotage risico’s</w:t>
      </w:r>
      <w:r>
        <w:t xml:space="preserve"> </w:t>
      </w:r>
      <w:r w:rsidR="007F0EDA">
        <w:t xml:space="preserve">van slimme (elektrische) voertuigen </w:t>
      </w:r>
      <w:r>
        <w:t>en om kennis uit te wisselen. Indien zich ontwikkelingen voordoen, zal ik u hierover nader informeren.</w:t>
      </w:r>
    </w:p>
    <w:p w:rsidR="009902CF" w:rsidP="009902CF" w:rsidRDefault="009902CF" w14:paraId="5C1E9935" w14:textId="77777777">
      <w:r>
        <w:t xml:space="preserve"> </w:t>
      </w:r>
    </w:p>
    <w:p w:rsidRPr="0077052C" w:rsidR="009902CF" w:rsidP="009902CF" w:rsidRDefault="009902CF" w14:paraId="1CE85D19" w14:textId="77777777">
      <w:pPr>
        <w:rPr>
          <w:u w:val="single"/>
        </w:rPr>
      </w:pPr>
      <w:r>
        <w:rPr>
          <w:u w:val="single"/>
        </w:rPr>
        <w:t xml:space="preserve">Overige mobiliteitsproducten </w:t>
      </w:r>
    </w:p>
    <w:p w:rsidR="009902CF" w:rsidP="009902CF" w:rsidRDefault="00281676" w14:paraId="19484F91" w14:textId="265B0061">
      <w:pPr>
        <w:pStyle w:val="WitregelW1bodytekst"/>
      </w:pPr>
      <w:r>
        <w:t xml:space="preserve">Bij de begrotingsbehandeling van </w:t>
      </w:r>
      <w:r w:rsidR="00B41958">
        <w:t>BZ op 21 november 2024 heeft het lid Boswijk c.s. de regering verzocht</w:t>
      </w:r>
      <w:r w:rsidR="008A25F1">
        <w:rPr>
          <w:rStyle w:val="FootnoteReference"/>
        </w:rPr>
        <w:footnoteReference w:id="4"/>
      </w:r>
      <w:r w:rsidR="00B41958">
        <w:t xml:space="preserve"> </w:t>
      </w:r>
      <w:r w:rsidR="009902CF">
        <w:t>om de risicoanalyse uit te breiden naar overige mobiliteitsproducten uit China. Het uitgevoerde onderzoek kijkt reeds naar de technische aspecten van voertuigen</w:t>
      </w:r>
      <w:r w:rsidR="007F0EDA">
        <w:t>,</w:t>
      </w:r>
      <w:r w:rsidR="009902CF">
        <w:t xml:space="preserve"> ongeacht herkomst en is daarmee al breder dan de initiële scope. In het aangekondigde verdiepende onderzoek zullen de technische risico’s van bussen en vrachtwagens nog onderzocht worden. </w:t>
      </w:r>
    </w:p>
    <w:p w:rsidRPr="003F0053" w:rsidR="009902CF" w:rsidP="009902CF" w:rsidRDefault="009902CF" w14:paraId="06212C18" w14:textId="77777777"/>
    <w:p w:rsidR="009902CF" w:rsidP="009902CF" w:rsidRDefault="009902CF" w14:paraId="41A553F5" w14:textId="77777777">
      <w:pPr>
        <w:pStyle w:val="Slotzin"/>
      </w:pPr>
      <w:r>
        <w:t>Hoogachtend,</w:t>
      </w:r>
    </w:p>
    <w:p w:rsidR="009902CF" w:rsidP="009902CF" w:rsidRDefault="009902CF" w14:paraId="7E92C387" w14:textId="77777777">
      <w:pPr>
        <w:pStyle w:val="OndertekeningArea1"/>
      </w:pPr>
      <w:r>
        <w:t>DE MINISTER VAN INFRASTRUCTUUR EN WATERSTAAT,</w:t>
      </w:r>
    </w:p>
    <w:p w:rsidR="009902CF" w:rsidP="009902CF" w:rsidRDefault="009902CF" w14:paraId="5F6416F7" w14:textId="77777777"/>
    <w:p w:rsidR="009902CF" w:rsidP="009902CF" w:rsidRDefault="009902CF" w14:paraId="1DD1E490" w14:textId="77777777"/>
    <w:p w:rsidR="009902CF" w:rsidP="009902CF" w:rsidRDefault="009902CF" w14:paraId="183A3232" w14:textId="77777777"/>
    <w:p w:rsidR="009902CF" w:rsidP="009902CF" w:rsidRDefault="009902CF" w14:paraId="0BA45F64" w14:textId="77777777"/>
    <w:p w:rsidR="00E10E83" w:rsidP="009902CF" w:rsidRDefault="00E10E83" w14:paraId="5B928661" w14:textId="77777777"/>
    <w:p w:rsidR="009902CF" w:rsidP="009902CF" w:rsidRDefault="009902CF" w14:paraId="3BEC2DC9" w14:textId="77777777">
      <w:r>
        <w:t>Barry Madlener</w:t>
      </w:r>
    </w:p>
    <w:p w:rsidRPr="009902CF" w:rsidR="007E2951" w:rsidP="009902CF" w:rsidRDefault="007E2951" w14:paraId="2B6560B6" w14:textId="554CC3E9"/>
    <w:sectPr w:rsidRPr="009902CF" w:rsidR="007E295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8FA27" w14:textId="77777777" w:rsidR="009506A9" w:rsidRDefault="009506A9">
      <w:pPr>
        <w:spacing w:line="240" w:lineRule="auto"/>
      </w:pPr>
      <w:r>
        <w:separator/>
      </w:r>
    </w:p>
  </w:endnote>
  <w:endnote w:type="continuationSeparator" w:id="0">
    <w:p w14:paraId="77D4BC5A" w14:textId="77777777" w:rsidR="009506A9" w:rsidRDefault="00950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4BFB" w14:textId="77777777" w:rsidR="002F5346" w:rsidRDefault="002F5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4088" w14:textId="77777777" w:rsidR="002F5346" w:rsidRDefault="002F5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16CE" w14:textId="77777777" w:rsidR="002F5346" w:rsidRDefault="002F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3855" w14:textId="77777777" w:rsidR="009506A9" w:rsidRDefault="009506A9">
      <w:pPr>
        <w:spacing w:line="240" w:lineRule="auto"/>
      </w:pPr>
      <w:r>
        <w:separator/>
      </w:r>
    </w:p>
  </w:footnote>
  <w:footnote w:type="continuationSeparator" w:id="0">
    <w:p w14:paraId="1AE03496" w14:textId="77777777" w:rsidR="009506A9" w:rsidRDefault="009506A9">
      <w:pPr>
        <w:spacing w:line="240" w:lineRule="auto"/>
      </w:pPr>
      <w:r>
        <w:continuationSeparator/>
      </w:r>
    </w:p>
  </w:footnote>
  <w:footnote w:id="1">
    <w:p w14:paraId="550ECFF1" w14:textId="307F01B7" w:rsidR="009902CF" w:rsidRPr="00E81D5C" w:rsidRDefault="009902CF" w:rsidP="009902CF">
      <w:pPr>
        <w:pStyle w:val="FootnoteText"/>
        <w:rPr>
          <w:sz w:val="16"/>
          <w:szCs w:val="16"/>
        </w:rPr>
      </w:pPr>
      <w:r w:rsidRPr="00E81D5C">
        <w:rPr>
          <w:rStyle w:val="FootnoteReference"/>
          <w:sz w:val="16"/>
          <w:szCs w:val="16"/>
        </w:rPr>
        <w:footnoteRef/>
      </w:r>
      <w:r w:rsidR="00E81D5C">
        <w:rPr>
          <w:sz w:val="16"/>
          <w:szCs w:val="16"/>
        </w:rPr>
        <w:t xml:space="preserve"> </w:t>
      </w:r>
      <w:r w:rsidR="00237366" w:rsidRPr="00E81D5C">
        <w:rPr>
          <w:sz w:val="16"/>
          <w:szCs w:val="16"/>
        </w:rPr>
        <w:t>Kamerstuk</w:t>
      </w:r>
      <w:r w:rsidRPr="00E81D5C">
        <w:rPr>
          <w:sz w:val="16"/>
          <w:szCs w:val="16"/>
        </w:rPr>
        <w:t xml:space="preserve"> 21 501-20, nr. 2068</w:t>
      </w:r>
    </w:p>
  </w:footnote>
  <w:footnote w:id="2">
    <w:p w14:paraId="67DE6641" w14:textId="77777777" w:rsidR="00C9566C" w:rsidRDefault="00C9566C" w:rsidP="00C9566C">
      <w:pPr>
        <w:pStyle w:val="FootnoteText"/>
        <w:rPr>
          <w:sz w:val="18"/>
          <w:szCs w:val="18"/>
        </w:rPr>
      </w:pPr>
      <w:r w:rsidRPr="00E81D5C">
        <w:rPr>
          <w:rStyle w:val="FootnoteReference"/>
          <w:sz w:val="16"/>
          <w:szCs w:val="16"/>
        </w:rPr>
        <w:footnoteRef/>
      </w:r>
      <w:r w:rsidRPr="00E81D5C">
        <w:rPr>
          <w:sz w:val="16"/>
          <w:szCs w:val="16"/>
        </w:rPr>
        <w:t xml:space="preserve"> https://www.rivm.nl/documenten/leidraad-risicobeoordeling-2022</w:t>
      </w:r>
    </w:p>
  </w:footnote>
  <w:footnote w:id="3">
    <w:p w14:paraId="5A05CAC4" w14:textId="2D7D7A33" w:rsidR="00C9566C" w:rsidRPr="004518A5" w:rsidRDefault="00C9566C" w:rsidP="00C9566C">
      <w:pPr>
        <w:pStyle w:val="FootnoteText"/>
      </w:pPr>
      <w:r>
        <w:rPr>
          <w:rStyle w:val="FootnoteReference"/>
          <w:sz w:val="16"/>
          <w:szCs w:val="16"/>
        </w:rPr>
        <w:footnoteRef/>
      </w:r>
      <w:r w:rsidRPr="004518A5">
        <w:rPr>
          <w:sz w:val="16"/>
          <w:szCs w:val="16"/>
        </w:rPr>
        <w:t xml:space="preserve"> Kamerstuk 30 821, nr. 92</w:t>
      </w:r>
    </w:p>
  </w:footnote>
  <w:footnote w:id="4">
    <w:p w14:paraId="0C2A4230" w14:textId="72FFCCB0" w:rsidR="008A25F1" w:rsidRPr="00E81D5C" w:rsidRDefault="008A25F1">
      <w:pPr>
        <w:pStyle w:val="FootnoteText"/>
        <w:rPr>
          <w:sz w:val="16"/>
          <w:szCs w:val="16"/>
        </w:rPr>
      </w:pPr>
      <w:r w:rsidRPr="00E81D5C">
        <w:rPr>
          <w:rStyle w:val="FootnoteReference"/>
          <w:sz w:val="16"/>
          <w:szCs w:val="16"/>
        </w:rPr>
        <w:footnoteRef/>
      </w:r>
      <w:r w:rsidRPr="00E81D5C">
        <w:rPr>
          <w:sz w:val="16"/>
          <w:szCs w:val="16"/>
        </w:rPr>
        <w:t xml:space="preserve"> Kamerstuk 36 600 V,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83EF" w14:textId="77777777" w:rsidR="002F5346" w:rsidRDefault="002F5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ED84" w14:textId="77777777" w:rsidR="007E2951" w:rsidRDefault="004A0786">
    <w:r>
      <w:rPr>
        <w:noProof/>
        <w:lang w:val="en-GB" w:eastAsia="en-GB"/>
      </w:rPr>
      <mc:AlternateContent>
        <mc:Choice Requires="wps">
          <w:drawing>
            <wp:anchor distT="0" distB="0" distL="0" distR="0" simplePos="0" relativeHeight="251651584" behindDoc="0" locked="1" layoutInCell="1" allowOverlap="1" wp14:anchorId="2853C92D" wp14:editId="31599A3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EB2991" w14:textId="77777777" w:rsidR="007E2951" w:rsidRDefault="004A0786">
                          <w:pPr>
                            <w:pStyle w:val="AfzendgegevensKop0"/>
                          </w:pPr>
                          <w:r>
                            <w:t>Ministerie van Infrastructuur en Waterstaat</w:t>
                          </w:r>
                        </w:p>
                        <w:p w14:paraId="030BF39F" w14:textId="77777777" w:rsidR="00461280" w:rsidRDefault="00461280" w:rsidP="00461280"/>
                        <w:p w14:paraId="68D5C866" w14:textId="77777777" w:rsidR="00461280" w:rsidRDefault="00461280" w:rsidP="00461280">
                          <w:pPr>
                            <w:pStyle w:val="Referentiegegevenskop"/>
                          </w:pPr>
                          <w:r>
                            <w:t>Ons kenmerk</w:t>
                          </w:r>
                        </w:p>
                        <w:p w14:paraId="6C75D7B4" w14:textId="77777777" w:rsidR="00461280" w:rsidRDefault="00461280" w:rsidP="00461280">
                          <w:pPr>
                            <w:pStyle w:val="Referentiegegevens"/>
                          </w:pPr>
                          <w:r>
                            <w:t>IENW/BSK/2025/29566</w:t>
                          </w:r>
                        </w:p>
                        <w:p w14:paraId="65CC473C" w14:textId="77777777" w:rsidR="00461280" w:rsidRPr="00461280" w:rsidRDefault="00461280" w:rsidP="00461280"/>
                      </w:txbxContent>
                    </wps:txbx>
                    <wps:bodyPr vert="horz" wrap="square" lIns="0" tIns="0" rIns="0" bIns="0" anchor="t" anchorCtr="0"/>
                  </wps:wsp>
                </a:graphicData>
              </a:graphic>
            </wp:anchor>
          </w:drawing>
        </mc:Choice>
        <mc:Fallback>
          <w:pict>
            <v:shapetype w14:anchorId="2853C92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FEB2991" w14:textId="77777777" w:rsidR="007E2951" w:rsidRDefault="004A0786">
                    <w:pPr>
                      <w:pStyle w:val="AfzendgegevensKop0"/>
                    </w:pPr>
                    <w:r>
                      <w:t>Ministerie van Infrastructuur en Waterstaat</w:t>
                    </w:r>
                  </w:p>
                  <w:p w14:paraId="030BF39F" w14:textId="77777777" w:rsidR="00461280" w:rsidRDefault="00461280" w:rsidP="00461280"/>
                  <w:p w14:paraId="68D5C866" w14:textId="77777777" w:rsidR="00461280" w:rsidRDefault="00461280" w:rsidP="00461280">
                    <w:pPr>
                      <w:pStyle w:val="Referentiegegevenskop"/>
                    </w:pPr>
                    <w:r>
                      <w:t>Ons kenmerk</w:t>
                    </w:r>
                  </w:p>
                  <w:p w14:paraId="6C75D7B4" w14:textId="77777777" w:rsidR="00461280" w:rsidRDefault="00461280" w:rsidP="00461280">
                    <w:pPr>
                      <w:pStyle w:val="Referentiegegevens"/>
                    </w:pPr>
                    <w:r>
                      <w:t>IENW/BSK/2025/29566</w:t>
                    </w:r>
                  </w:p>
                  <w:p w14:paraId="65CC473C" w14:textId="77777777" w:rsidR="00461280" w:rsidRPr="00461280" w:rsidRDefault="00461280" w:rsidP="004612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57D1148" wp14:editId="3A0CDBE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DE56A6" w14:textId="77777777" w:rsidR="007E2951" w:rsidRDefault="004A0786">
                          <w:pPr>
                            <w:pStyle w:val="Referentiegegevens"/>
                          </w:pPr>
                          <w:r>
                            <w:t xml:space="preserve">Pagina </w:t>
                          </w:r>
                          <w:r>
                            <w:fldChar w:fldCharType="begin"/>
                          </w:r>
                          <w:r>
                            <w:instrText>PAGE</w:instrText>
                          </w:r>
                          <w:r>
                            <w:fldChar w:fldCharType="separate"/>
                          </w:r>
                          <w:r w:rsidR="00845560">
                            <w:rPr>
                              <w:noProof/>
                            </w:rPr>
                            <w:t>1</w:t>
                          </w:r>
                          <w:r>
                            <w:fldChar w:fldCharType="end"/>
                          </w:r>
                          <w:r>
                            <w:t xml:space="preserve"> van </w:t>
                          </w:r>
                          <w:r>
                            <w:fldChar w:fldCharType="begin"/>
                          </w:r>
                          <w:r>
                            <w:instrText>NUMPAGES</w:instrText>
                          </w:r>
                          <w:r>
                            <w:fldChar w:fldCharType="separate"/>
                          </w:r>
                          <w:r w:rsidR="00845560">
                            <w:rPr>
                              <w:noProof/>
                            </w:rPr>
                            <w:t>1</w:t>
                          </w:r>
                          <w:r>
                            <w:fldChar w:fldCharType="end"/>
                          </w:r>
                        </w:p>
                      </w:txbxContent>
                    </wps:txbx>
                    <wps:bodyPr vert="horz" wrap="square" lIns="0" tIns="0" rIns="0" bIns="0" anchor="t" anchorCtr="0"/>
                  </wps:wsp>
                </a:graphicData>
              </a:graphic>
            </wp:anchor>
          </w:drawing>
        </mc:Choice>
        <mc:Fallback>
          <w:pict>
            <v:shape w14:anchorId="557D114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DE56A6" w14:textId="77777777" w:rsidR="007E2951" w:rsidRDefault="004A0786">
                    <w:pPr>
                      <w:pStyle w:val="Referentiegegevens"/>
                    </w:pPr>
                    <w:r>
                      <w:t xml:space="preserve">Pagina </w:t>
                    </w:r>
                    <w:r>
                      <w:fldChar w:fldCharType="begin"/>
                    </w:r>
                    <w:r>
                      <w:instrText>PAGE</w:instrText>
                    </w:r>
                    <w:r>
                      <w:fldChar w:fldCharType="separate"/>
                    </w:r>
                    <w:r w:rsidR="00845560">
                      <w:rPr>
                        <w:noProof/>
                      </w:rPr>
                      <w:t>1</w:t>
                    </w:r>
                    <w:r>
                      <w:fldChar w:fldCharType="end"/>
                    </w:r>
                    <w:r>
                      <w:t xml:space="preserve"> van </w:t>
                    </w:r>
                    <w:r>
                      <w:fldChar w:fldCharType="begin"/>
                    </w:r>
                    <w:r>
                      <w:instrText>NUMPAGES</w:instrText>
                    </w:r>
                    <w:r>
                      <w:fldChar w:fldCharType="separate"/>
                    </w:r>
                    <w:r w:rsidR="0084556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A5E456E" wp14:editId="2D9A4C2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AD4E9C" w14:textId="77777777" w:rsidR="004A0786" w:rsidRDefault="004A0786"/>
                      </w:txbxContent>
                    </wps:txbx>
                    <wps:bodyPr vert="horz" wrap="square" lIns="0" tIns="0" rIns="0" bIns="0" anchor="t" anchorCtr="0"/>
                  </wps:wsp>
                </a:graphicData>
              </a:graphic>
            </wp:anchor>
          </w:drawing>
        </mc:Choice>
        <mc:Fallback>
          <w:pict>
            <v:shape w14:anchorId="1A5E456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AD4E9C" w14:textId="77777777" w:rsidR="004A0786" w:rsidRDefault="004A07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674630" wp14:editId="7BFC5B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B0EFBF" w14:textId="77777777" w:rsidR="004A0786" w:rsidRDefault="004A0786"/>
                      </w:txbxContent>
                    </wps:txbx>
                    <wps:bodyPr vert="horz" wrap="square" lIns="0" tIns="0" rIns="0" bIns="0" anchor="t" anchorCtr="0"/>
                  </wps:wsp>
                </a:graphicData>
              </a:graphic>
            </wp:anchor>
          </w:drawing>
        </mc:Choice>
        <mc:Fallback>
          <w:pict>
            <v:shape w14:anchorId="1367463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AB0EFBF" w14:textId="77777777" w:rsidR="004A0786" w:rsidRDefault="004A078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9B30" w14:textId="77777777" w:rsidR="007E2951" w:rsidRDefault="004A078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B58DD6C" wp14:editId="3B3337B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CE4A07B" w14:textId="77777777" w:rsidR="004A0786" w:rsidRDefault="004A0786"/>
                      </w:txbxContent>
                    </wps:txbx>
                    <wps:bodyPr vert="horz" wrap="square" lIns="0" tIns="0" rIns="0" bIns="0" anchor="t" anchorCtr="0"/>
                  </wps:wsp>
                </a:graphicData>
              </a:graphic>
            </wp:anchor>
          </w:drawing>
        </mc:Choice>
        <mc:Fallback>
          <w:pict>
            <v:shapetype w14:anchorId="1B58DD6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CE4A07B" w14:textId="77777777" w:rsidR="004A0786" w:rsidRDefault="004A07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ECA219" wp14:editId="2F136B4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14544D" w14:textId="36C9B010" w:rsidR="007E2951" w:rsidRDefault="004A0786">
                          <w:pPr>
                            <w:pStyle w:val="Referentiegegevens"/>
                          </w:pPr>
                          <w:r>
                            <w:t xml:space="preserve">Pagina </w:t>
                          </w:r>
                          <w:r>
                            <w:fldChar w:fldCharType="begin"/>
                          </w:r>
                          <w:r>
                            <w:instrText>PAGE</w:instrText>
                          </w:r>
                          <w:r>
                            <w:fldChar w:fldCharType="separate"/>
                          </w:r>
                          <w:r w:rsidR="005A2874">
                            <w:rPr>
                              <w:noProof/>
                            </w:rPr>
                            <w:t>1</w:t>
                          </w:r>
                          <w:r>
                            <w:fldChar w:fldCharType="end"/>
                          </w:r>
                          <w:r>
                            <w:t xml:space="preserve"> van </w:t>
                          </w:r>
                          <w:r>
                            <w:fldChar w:fldCharType="begin"/>
                          </w:r>
                          <w:r>
                            <w:instrText>NUMPAGES</w:instrText>
                          </w:r>
                          <w:r>
                            <w:fldChar w:fldCharType="separate"/>
                          </w:r>
                          <w:r w:rsidR="005A2874">
                            <w:rPr>
                              <w:noProof/>
                            </w:rPr>
                            <w:t>1</w:t>
                          </w:r>
                          <w:r>
                            <w:fldChar w:fldCharType="end"/>
                          </w:r>
                        </w:p>
                      </w:txbxContent>
                    </wps:txbx>
                    <wps:bodyPr vert="horz" wrap="square" lIns="0" tIns="0" rIns="0" bIns="0" anchor="t" anchorCtr="0"/>
                  </wps:wsp>
                </a:graphicData>
              </a:graphic>
            </wp:anchor>
          </w:drawing>
        </mc:Choice>
        <mc:Fallback>
          <w:pict>
            <v:shape w14:anchorId="36ECA21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14544D" w14:textId="36C9B010" w:rsidR="007E2951" w:rsidRDefault="004A0786">
                    <w:pPr>
                      <w:pStyle w:val="Referentiegegevens"/>
                    </w:pPr>
                    <w:r>
                      <w:t xml:space="preserve">Pagina </w:t>
                    </w:r>
                    <w:r>
                      <w:fldChar w:fldCharType="begin"/>
                    </w:r>
                    <w:r>
                      <w:instrText>PAGE</w:instrText>
                    </w:r>
                    <w:r>
                      <w:fldChar w:fldCharType="separate"/>
                    </w:r>
                    <w:r w:rsidR="005A2874">
                      <w:rPr>
                        <w:noProof/>
                      </w:rPr>
                      <w:t>1</w:t>
                    </w:r>
                    <w:r>
                      <w:fldChar w:fldCharType="end"/>
                    </w:r>
                    <w:r>
                      <w:t xml:space="preserve"> van </w:t>
                    </w:r>
                    <w:r>
                      <w:fldChar w:fldCharType="begin"/>
                    </w:r>
                    <w:r>
                      <w:instrText>NUMPAGES</w:instrText>
                    </w:r>
                    <w:r>
                      <w:fldChar w:fldCharType="separate"/>
                    </w:r>
                    <w:r w:rsidR="005A287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707669A" wp14:editId="11F7D3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68A911" w14:textId="77777777" w:rsidR="007E2951" w:rsidRDefault="004A0786">
                          <w:pPr>
                            <w:pStyle w:val="AfzendgegevensKop0"/>
                          </w:pPr>
                          <w:r>
                            <w:t>Ministerie van Infrastructuur en Waterstaat</w:t>
                          </w:r>
                        </w:p>
                        <w:p w14:paraId="722ACED5" w14:textId="77777777" w:rsidR="007E2951" w:rsidRDefault="007E2951">
                          <w:pPr>
                            <w:pStyle w:val="WitregelW1"/>
                          </w:pPr>
                        </w:p>
                        <w:p w14:paraId="6F4DC387" w14:textId="77777777" w:rsidR="007E2951" w:rsidRDefault="004A0786">
                          <w:pPr>
                            <w:pStyle w:val="Afzendgegevens"/>
                          </w:pPr>
                          <w:r>
                            <w:t>Rijnstraat 8</w:t>
                          </w:r>
                        </w:p>
                        <w:p w14:paraId="1552FF84" w14:textId="77777777" w:rsidR="007E2951" w:rsidRPr="00845560" w:rsidRDefault="004A0786">
                          <w:pPr>
                            <w:pStyle w:val="Afzendgegevens"/>
                            <w:rPr>
                              <w:lang w:val="de-DE"/>
                            </w:rPr>
                          </w:pPr>
                          <w:r w:rsidRPr="00845560">
                            <w:rPr>
                              <w:lang w:val="de-DE"/>
                            </w:rPr>
                            <w:t>2515 XP  Den Haag</w:t>
                          </w:r>
                        </w:p>
                        <w:p w14:paraId="2C212CF7" w14:textId="77777777" w:rsidR="007E2951" w:rsidRPr="00845560" w:rsidRDefault="004A0786">
                          <w:pPr>
                            <w:pStyle w:val="Afzendgegevens"/>
                            <w:rPr>
                              <w:lang w:val="de-DE"/>
                            </w:rPr>
                          </w:pPr>
                          <w:r w:rsidRPr="00845560">
                            <w:rPr>
                              <w:lang w:val="de-DE"/>
                            </w:rPr>
                            <w:t>Postbus 20901</w:t>
                          </w:r>
                        </w:p>
                        <w:p w14:paraId="0FC6DA8C" w14:textId="77777777" w:rsidR="007E2951" w:rsidRPr="00845560" w:rsidRDefault="004A0786">
                          <w:pPr>
                            <w:pStyle w:val="Afzendgegevens"/>
                            <w:rPr>
                              <w:lang w:val="de-DE"/>
                            </w:rPr>
                          </w:pPr>
                          <w:r w:rsidRPr="00845560">
                            <w:rPr>
                              <w:lang w:val="de-DE"/>
                            </w:rPr>
                            <w:t>2500 EX Den Haag</w:t>
                          </w:r>
                        </w:p>
                        <w:p w14:paraId="5ABAE607" w14:textId="77777777" w:rsidR="007E2951" w:rsidRPr="00845560" w:rsidRDefault="007E2951">
                          <w:pPr>
                            <w:pStyle w:val="WitregelW1"/>
                            <w:rPr>
                              <w:lang w:val="de-DE"/>
                            </w:rPr>
                          </w:pPr>
                        </w:p>
                        <w:p w14:paraId="4F178B16" w14:textId="77777777" w:rsidR="007E2951" w:rsidRPr="00845560" w:rsidRDefault="004A0786">
                          <w:pPr>
                            <w:pStyle w:val="Afzendgegevens"/>
                            <w:rPr>
                              <w:lang w:val="de-DE"/>
                            </w:rPr>
                          </w:pPr>
                          <w:r w:rsidRPr="00845560">
                            <w:rPr>
                              <w:lang w:val="de-DE"/>
                            </w:rPr>
                            <w:t>T   070-456 0000</w:t>
                          </w:r>
                        </w:p>
                        <w:p w14:paraId="553F9E16" w14:textId="77777777" w:rsidR="007E2951" w:rsidRDefault="004A0786">
                          <w:pPr>
                            <w:pStyle w:val="Afzendgegevens"/>
                          </w:pPr>
                          <w:r>
                            <w:t>F   070-456 1111</w:t>
                          </w:r>
                        </w:p>
                        <w:p w14:paraId="04A09CB2" w14:textId="77777777" w:rsidR="007E2951" w:rsidRDefault="007E2951">
                          <w:pPr>
                            <w:pStyle w:val="WitregelW2"/>
                          </w:pPr>
                        </w:p>
                        <w:p w14:paraId="20A7FEF4" w14:textId="247E77DB" w:rsidR="007E2951" w:rsidRDefault="00977EFF">
                          <w:pPr>
                            <w:pStyle w:val="Referentiegegevenskop"/>
                          </w:pPr>
                          <w:r>
                            <w:t>Ons</w:t>
                          </w:r>
                          <w:r w:rsidR="004A0786">
                            <w:t xml:space="preserve"> kenmerk</w:t>
                          </w:r>
                        </w:p>
                        <w:p w14:paraId="67ECA982" w14:textId="28534F19" w:rsidR="007E2951" w:rsidRDefault="004A0786">
                          <w:pPr>
                            <w:pStyle w:val="Referentiegegevens"/>
                          </w:pPr>
                          <w:r>
                            <w:t>IENW/BSK/</w:t>
                          </w:r>
                          <w:r w:rsidR="00461280">
                            <w:t>2025/29566</w:t>
                          </w:r>
                        </w:p>
                        <w:p w14:paraId="0D3C2B43" w14:textId="77777777" w:rsidR="00977EFF" w:rsidRPr="00977EFF" w:rsidRDefault="00977EFF" w:rsidP="00977EFF">
                          <w:pPr>
                            <w:rPr>
                              <w:sz w:val="13"/>
                              <w:szCs w:val="13"/>
                            </w:rPr>
                          </w:pPr>
                        </w:p>
                        <w:p w14:paraId="33FA3C97" w14:textId="15424796" w:rsidR="00461280" w:rsidRPr="00461280" w:rsidRDefault="00461280" w:rsidP="00977EFF">
                          <w:pPr>
                            <w:rPr>
                              <w:b/>
                              <w:bCs/>
                              <w:sz w:val="13"/>
                              <w:szCs w:val="13"/>
                            </w:rPr>
                          </w:pPr>
                          <w:r w:rsidRPr="00461280">
                            <w:rPr>
                              <w:b/>
                              <w:bCs/>
                              <w:sz w:val="13"/>
                              <w:szCs w:val="13"/>
                            </w:rPr>
                            <w:t>Bijlage(n)</w:t>
                          </w:r>
                        </w:p>
                        <w:p w14:paraId="49B44167" w14:textId="5975B003" w:rsidR="00461280" w:rsidRPr="00977EFF" w:rsidRDefault="00E10E83" w:rsidP="00977EFF">
                          <w:pPr>
                            <w:rPr>
                              <w:sz w:val="13"/>
                              <w:szCs w:val="13"/>
                            </w:rPr>
                          </w:pPr>
                          <w:r>
                            <w:rPr>
                              <w:sz w:val="13"/>
                              <w:szCs w:val="13"/>
                            </w:rPr>
                            <w:t>1</w:t>
                          </w:r>
                        </w:p>
                      </w:txbxContent>
                    </wps:txbx>
                    <wps:bodyPr vert="horz" wrap="square" lIns="0" tIns="0" rIns="0" bIns="0" anchor="t" anchorCtr="0"/>
                  </wps:wsp>
                </a:graphicData>
              </a:graphic>
            </wp:anchor>
          </w:drawing>
        </mc:Choice>
        <mc:Fallback>
          <w:pict>
            <v:shape w14:anchorId="1707669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68A911" w14:textId="77777777" w:rsidR="007E2951" w:rsidRDefault="004A0786">
                    <w:pPr>
                      <w:pStyle w:val="AfzendgegevensKop0"/>
                    </w:pPr>
                    <w:r>
                      <w:t>Ministerie van Infrastructuur en Waterstaat</w:t>
                    </w:r>
                  </w:p>
                  <w:p w14:paraId="722ACED5" w14:textId="77777777" w:rsidR="007E2951" w:rsidRDefault="007E2951">
                    <w:pPr>
                      <w:pStyle w:val="WitregelW1"/>
                    </w:pPr>
                  </w:p>
                  <w:p w14:paraId="6F4DC387" w14:textId="77777777" w:rsidR="007E2951" w:rsidRDefault="004A0786">
                    <w:pPr>
                      <w:pStyle w:val="Afzendgegevens"/>
                    </w:pPr>
                    <w:r>
                      <w:t>Rijnstraat 8</w:t>
                    </w:r>
                  </w:p>
                  <w:p w14:paraId="1552FF84" w14:textId="77777777" w:rsidR="007E2951" w:rsidRPr="00845560" w:rsidRDefault="004A0786">
                    <w:pPr>
                      <w:pStyle w:val="Afzendgegevens"/>
                      <w:rPr>
                        <w:lang w:val="de-DE"/>
                      </w:rPr>
                    </w:pPr>
                    <w:r w:rsidRPr="00845560">
                      <w:rPr>
                        <w:lang w:val="de-DE"/>
                      </w:rPr>
                      <w:t>2515 XP  Den Haag</w:t>
                    </w:r>
                  </w:p>
                  <w:p w14:paraId="2C212CF7" w14:textId="77777777" w:rsidR="007E2951" w:rsidRPr="00845560" w:rsidRDefault="004A0786">
                    <w:pPr>
                      <w:pStyle w:val="Afzendgegevens"/>
                      <w:rPr>
                        <w:lang w:val="de-DE"/>
                      </w:rPr>
                    </w:pPr>
                    <w:r w:rsidRPr="00845560">
                      <w:rPr>
                        <w:lang w:val="de-DE"/>
                      </w:rPr>
                      <w:t>Postbus 20901</w:t>
                    </w:r>
                  </w:p>
                  <w:p w14:paraId="0FC6DA8C" w14:textId="77777777" w:rsidR="007E2951" w:rsidRPr="00845560" w:rsidRDefault="004A0786">
                    <w:pPr>
                      <w:pStyle w:val="Afzendgegevens"/>
                      <w:rPr>
                        <w:lang w:val="de-DE"/>
                      </w:rPr>
                    </w:pPr>
                    <w:r w:rsidRPr="00845560">
                      <w:rPr>
                        <w:lang w:val="de-DE"/>
                      </w:rPr>
                      <w:t>2500 EX Den Haag</w:t>
                    </w:r>
                  </w:p>
                  <w:p w14:paraId="5ABAE607" w14:textId="77777777" w:rsidR="007E2951" w:rsidRPr="00845560" w:rsidRDefault="007E2951">
                    <w:pPr>
                      <w:pStyle w:val="WitregelW1"/>
                      <w:rPr>
                        <w:lang w:val="de-DE"/>
                      </w:rPr>
                    </w:pPr>
                  </w:p>
                  <w:p w14:paraId="4F178B16" w14:textId="77777777" w:rsidR="007E2951" w:rsidRPr="00845560" w:rsidRDefault="004A0786">
                    <w:pPr>
                      <w:pStyle w:val="Afzendgegevens"/>
                      <w:rPr>
                        <w:lang w:val="de-DE"/>
                      </w:rPr>
                    </w:pPr>
                    <w:r w:rsidRPr="00845560">
                      <w:rPr>
                        <w:lang w:val="de-DE"/>
                      </w:rPr>
                      <w:t>T   070-456 0000</w:t>
                    </w:r>
                  </w:p>
                  <w:p w14:paraId="553F9E16" w14:textId="77777777" w:rsidR="007E2951" w:rsidRDefault="004A0786">
                    <w:pPr>
                      <w:pStyle w:val="Afzendgegevens"/>
                    </w:pPr>
                    <w:r>
                      <w:t>F   070-456 1111</w:t>
                    </w:r>
                  </w:p>
                  <w:p w14:paraId="04A09CB2" w14:textId="77777777" w:rsidR="007E2951" w:rsidRDefault="007E2951">
                    <w:pPr>
                      <w:pStyle w:val="WitregelW2"/>
                    </w:pPr>
                  </w:p>
                  <w:p w14:paraId="20A7FEF4" w14:textId="247E77DB" w:rsidR="007E2951" w:rsidRDefault="00977EFF">
                    <w:pPr>
                      <w:pStyle w:val="Referentiegegevenskop"/>
                    </w:pPr>
                    <w:r>
                      <w:t>Ons</w:t>
                    </w:r>
                    <w:r w:rsidR="004A0786">
                      <w:t xml:space="preserve"> kenmerk</w:t>
                    </w:r>
                  </w:p>
                  <w:p w14:paraId="67ECA982" w14:textId="28534F19" w:rsidR="007E2951" w:rsidRDefault="004A0786">
                    <w:pPr>
                      <w:pStyle w:val="Referentiegegevens"/>
                    </w:pPr>
                    <w:r>
                      <w:t>IENW/BSK/</w:t>
                    </w:r>
                    <w:r w:rsidR="00461280">
                      <w:t>2025/29566</w:t>
                    </w:r>
                  </w:p>
                  <w:p w14:paraId="0D3C2B43" w14:textId="77777777" w:rsidR="00977EFF" w:rsidRPr="00977EFF" w:rsidRDefault="00977EFF" w:rsidP="00977EFF">
                    <w:pPr>
                      <w:rPr>
                        <w:sz w:val="13"/>
                        <w:szCs w:val="13"/>
                      </w:rPr>
                    </w:pPr>
                  </w:p>
                  <w:p w14:paraId="33FA3C97" w14:textId="15424796" w:rsidR="00461280" w:rsidRPr="00461280" w:rsidRDefault="00461280" w:rsidP="00977EFF">
                    <w:pPr>
                      <w:rPr>
                        <w:b/>
                        <w:bCs/>
                        <w:sz w:val="13"/>
                        <w:szCs w:val="13"/>
                      </w:rPr>
                    </w:pPr>
                    <w:r w:rsidRPr="00461280">
                      <w:rPr>
                        <w:b/>
                        <w:bCs/>
                        <w:sz w:val="13"/>
                        <w:szCs w:val="13"/>
                      </w:rPr>
                      <w:t>Bijlage(n)</w:t>
                    </w:r>
                  </w:p>
                  <w:p w14:paraId="49B44167" w14:textId="5975B003" w:rsidR="00461280" w:rsidRPr="00977EFF" w:rsidRDefault="00E10E83" w:rsidP="00977EFF">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72E586" wp14:editId="31DC45B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26749E" w14:textId="77777777" w:rsidR="007E2951" w:rsidRDefault="004A0786">
                          <w:pPr>
                            <w:spacing w:line="240" w:lineRule="auto"/>
                          </w:pPr>
                          <w:r>
                            <w:rPr>
                              <w:noProof/>
                              <w:lang w:val="en-GB" w:eastAsia="en-GB"/>
                            </w:rPr>
                            <w:drawing>
                              <wp:inline distT="0" distB="0" distL="0" distR="0" wp14:anchorId="0494E71A" wp14:editId="5F728DC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72E58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26749E" w14:textId="77777777" w:rsidR="007E2951" w:rsidRDefault="004A0786">
                    <w:pPr>
                      <w:spacing w:line="240" w:lineRule="auto"/>
                    </w:pPr>
                    <w:r>
                      <w:rPr>
                        <w:noProof/>
                        <w:lang w:val="en-GB" w:eastAsia="en-GB"/>
                      </w:rPr>
                      <w:drawing>
                        <wp:inline distT="0" distB="0" distL="0" distR="0" wp14:anchorId="0494E71A" wp14:editId="5F728DC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A6C011B" wp14:editId="4C73516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03A2CD" w14:textId="77777777" w:rsidR="007E2951" w:rsidRDefault="004A0786">
                          <w:pPr>
                            <w:spacing w:line="240" w:lineRule="auto"/>
                          </w:pPr>
                          <w:r>
                            <w:rPr>
                              <w:noProof/>
                              <w:lang w:val="en-GB" w:eastAsia="en-GB"/>
                            </w:rPr>
                            <w:drawing>
                              <wp:inline distT="0" distB="0" distL="0" distR="0" wp14:anchorId="48B73556" wp14:editId="3785F6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01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03A2CD" w14:textId="77777777" w:rsidR="007E2951" w:rsidRDefault="004A0786">
                    <w:pPr>
                      <w:spacing w:line="240" w:lineRule="auto"/>
                    </w:pPr>
                    <w:r>
                      <w:rPr>
                        <w:noProof/>
                        <w:lang w:val="en-GB" w:eastAsia="en-GB"/>
                      </w:rPr>
                      <w:drawing>
                        <wp:inline distT="0" distB="0" distL="0" distR="0" wp14:anchorId="48B73556" wp14:editId="3785F6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06F27F" wp14:editId="4891EBA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B165E5" w14:textId="77777777" w:rsidR="007E2951" w:rsidRDefault="004A078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06F27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B165E5" w14:textId="77777777" w:rsidR="007E2951" w:rsidRDefault="004A078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10AF0F0" wp14:editId="3BC9FDA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D10E94" w14:textId="77777777" w:rsidR="007E2951" w:rsidRDefault="004A078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10AF0F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4D10E94" w14:textId="77777777" w:rsidR="007E2951" w:rsidRDefault="004A078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14E109" wp14:editId="6F09E94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2951" w14:paraId="70C6E61D" w14:textId="77777777">
                            <w:trPr>
                              <w:trHeight w:val="200"/>
                            </w:trPr>
                            <w:tc>
                              <w:tcPr>
                                <w:tcW w:w="1140" w:type="dxa"/>
                              </w:tcPr>
                              <w:p w14:paraId="209D18B8" w14:textId="77777777" w:rsidR="007E2951" w:rsidRDefault="007E2951"/>
                            </w:tc>
                            <w:tc>
                              <w:tcPr>
                                <w:tcW w:w="5400" w:type="dxa"/>
                              </w:tcPr>
                              <w:p w14:paraId="45C9FB9F" w14:textId="77777777" w:rsidR="007E2951" w:rsidRDefault="007E2951"/>
                            </w:tc>
                          </w:tr>
                          <w:tr w:rsidR="007E2951" w14:paraId="1434843C" w14:textId="77777777">
                            <w:trPr>
                              <w:trHeight w:val="240"/>
                            </w:trPr>
                            <w:tc>
                              <w:tcPr>
                                <w:tcW w:w="1140" w:type="dxa"/>
                              </w:tcPr>
                              <w:p w14:paraId="1976E132" w14:textId="77777777" w:rsidR="007E2951" w:rsidRDefault="004A0786">
                                <w:r>
                                  <w:t>Datum</w:t>
                                </w:r>
                              </w:p>
                            </w:tc>
                            <w:tc>
                              <w:tcPr>
                                <w:tcW w:w="5400" w:type="dxa"/>
                              </w:tcPr>
                              <w:p w14:paraId="00A9FBFB" w14:textId="018A8EC9" w:rsidR="007E2951" w:rsidRDefault="002F5346">
                                <w:r>
                                  <w:t>19 maart 2025</w:t>
                                </w:r>
                              </w:p>
                            </w:tc>
                          </w:tr>
                          <w:tr w:rsidR="007E2951" w14:paraId="2E231A62" w14:textId="77777777">
                            <w:trPr>
                              <w:trHeight w:val="240"/>
                            </w:trPr>
                            <w:tc>
                              <w:tcPr>
                                <w:tcW w:w="1140" w:type="dxa"/>
                              </w:tcPr>
                              <w:p w14:paraId="3DC1A02E" w14:textId="77777777" w:rsidR="007E2951" w:rsidRDefault="004A0786">
                                <w:r>
                                  <w:t>Betreft</w:t>
                                </w:r>
                              </w:p>
                            </w:tc>
                            <w:tc>
                              <w:tcPr>
                                <w:tcW w:w="5400" w:type="dxa"/>
                              </w:tcPr>
                              <w:p w14:paraId="482AD466" w14:textId="72D91F70" w:rsidR="007E2951" w:rsidRDefault="00237366">
                                <w:r>
                                  <w:t xml:space="preserve">Uitvoering </w:t>
                                </w:r>
                                <w:r w:rsidR="004A0786">
                                  <w:t xml:space="preserve">motie Boswijk </w:t>
                                </w:r>
                                <w:r>
                                  <w:t xml:space="preserve">inzake </w:t>
                                </w:r>
                                <w:r w:rsidR="004A0786">
                                  <w:t xml:space="preserve">nationale veiligheidsrisico's slimme (elektrische) auto's </w:t>
                                </w:r>
                              </w:p>
                            </w:tc>
                          </w:tr>
                          <w:tr w:rsidR="007E2951" w14:paraId="57369436" w14:textId="77777777">
                            <w:trPr>
                              <w:trHeight w:val="200"/>
                            </w:trPr>
                            <w:tc>
                              <w:tcPr>
                                <w:tcW w:w="1140" w:type="dxa"/>
                              </w:tcPr>
                              <w:p w14:paraId="13B7E677" w14:textId="77777777" w:rsidR="007E2951" w:rsidRDefault="007E2951"/>
                            </w:tc>
                            <w:tc>
                              <w:tcPr>
                                <w:tcW w:w="5400" w:type="dxa"/>
                              </w:tcPr>
                              <w:p w14:paraId="111113F0" w14:textId="77777777" w:rsidR="007E2951" w:rsidRDefault="007E2951"/>
                            </w:tc>
                          </w:tr>
                        </w:tbl>
                        <w:p w14:paraId="63E0B408" w14:textId="77777777" w:rsidR="004A0786" w:rsidRDefault="004A0786"/>
                      </w:txbxContent>
                    </wps:txbx>
                    <wps:bodyPr vert="horz" wrap="square" lIns="0" tIns="0" rIns="0" bIns="0" anchor="t" anchorCtr="0"/>
                  </wps:wsp>
                </a:graphicData>
              </a:graphic>
            </wp:anchor>
          </w:drawing>
        </mc:Choice>
        <mc:Fallback>
          <w:pict>
            <v:shape w14:anchorId="4F14E10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E2951" w14:paraId="70C6E61D" w14:textId="77777777">
                      <w:trPr>
                        <w:trHeight w:val="200"/>
                      </w:trPr>
                      <w:tc>
                        <w:tcPr>
                          <w:tcW w:w="1140" w:type="dxa"/>
                        </w:tcPr>
                        <w:p w14:paraId="209D18B8" w14:textId="77777777" w:rsidR="007E2951" w:rsidRDefault="007E2951"/>
                      </w:tc>
                      <w:tc>
                        <w:tcPr>
                          <w:tcW w:w="5400" w:type="dxa"/>
                        </w:tcPr>
                        <w:p w14:paraId="45C9FB9F" w14:textId="77777777" w:rsidR="007E2951" w:rsidRDefault="007E2951"/>
                      </w:tc>
                    </w:tr>
                    <w:tr w:rsidR="007E2951" w14:paraId="1434843C" w14:textId="77777777">
                      <w:trPr>
                        <w:trHeight w:val="240"/>
                      </w:trPr>
                      <w:tc>
                        <w:tcPr>
                          <w:tcW w:w="1140" w:type="dxa"/>
                        </w:tcPr>
                        <w:p w14:paraId="1976E132" w14:textId="77777777" w:rsidR="007E2951" w:rsidRDefault="004A0786">
                          <w:r>
                            <w:t>Datum</w:t>
                          </w:r>
                        </w:p>
                      </w:tc>
                      <w:tc>
                        <w:tcPr>
                          <w:tcW w:w="5400" w:type="dxa"/>
                        </w:tcPr>
                        <w:p w14:paraId="00A9FBFB" w14:textId="018A8EC9" w:rsidR="007E2951" w:rsidRDefault="002F5346">
                          <w:r>
                            <w:t>19 maart 2025</w:t>
                          </w:r>
                        </w:p>
                      </w:tc>
                    </w:tr>
                    <w:tr w:rsidR="007E2951" w14:paraId="2E231A62" w14:textId="77777777">
                      <w:trPr>
                        <w:trHeight w:val="240"/>
                      </w:trPr>
                      <w:tc>
                        <w:tcPr>
                          <w:tcW w:w="1140" w:type="dxa"/>
                        </w:tcPr>
                        <w:p w14:paraId="3DC1A02E" w14:textId="77777777" w:rsidR="007E2951" w:rsidRDefault="004A0786">
                          <w:r>
                            <w:t>Betreft</w:t>
                          </w:r>
                        </w:p>
                      </w:tc>
                      <w:tc>
                        <w:tcPr>
                          <w:tcW w:w="5400" w:type="dxa"/>
                        </w:tcPr>
                        <w:p w14:paraId="482AD466" w14:textId="72D91F70" w:rsidR="007E2951" w:rsidRDefault="00237366">
                          <w:r>
                            <w:t xml:space="preserve">Uitvoering </w:t>
                          </w:r>
                          <w:r w:rsidR="004A0786">
                            <w:t xml:space="preserve">motie Boswijk </w:t>
                          </w:r>
                          <w:r>
                            <w:t xml:space="preserve">inzake </w:t>
                          </w:r>
                          <w:r w:rsidR="004A0786">
                            <w:t xml:space="preserve">nationale veiligheidsrisico's slimme (elektrische) auto's </w:t>
                          </w:r>
                        </w:p>
                      </w:tc>
                    </w:tr>
                    <w:tr w:rsidR="007E2951" w14:paraId="57369436" w14:textId="77777777">
                      <w:trPr>
                        <w:trHeight w:val="200"/>
                      </w:trPr>
                      <w:tc>
                        <w:tcPr>
                          <w:tcW w:w="1140" w:type="dxa"/>
                        </w:tcPr>
                        <w:p w14:paraId="13B7E677" w14:textId="77777777" w:rsidR="007E2951" w:rsidRDefault="007E2951"/>
                      </w:tc>
                      <w:tc>
                        <w:tcPr>
                          <w:tcW w:w="5400" w:type="dxa"/>
                        </w:tcPr>
                        <w:p w14:paraId="111113F0" w14:textId="77777777" w:rsidR="007E2951" w:rsidRDefault="007E2951"/>
                      </w:tc>
                    </w:tr>
                  </w:tbl>
                  <w:p w14:paraId="63E0B408" w14:textId="77777777" w:rsidR="004A0786" w:rsidRDefault="004A07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A479F9C" wp14:editId="58C31AE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4B8AD1" w14:textId="77777777" w:rsidR="004A0786" w:rsidRDefault="004A0786"/>
                      </w:txbxContent>
                    </wps:txbx>
                    <wps:bodyPr vert="horz" wrap="square" lIns="0" tIns="0" rIns="0" bIns="0" anchor="t" anchorCtr="0"/>
                  </wps:wsp>
                </a:graphicData>
              </a:graphic>
            </wp:anchor>
          </w:drawing>
        </mc:Choice>
        <mc:Fallback>
          <w:pict>
            <v:shape w14:anchorId="6A479F9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34B8AD1" w14:textId="77777777" w:rsidR="004A0786" w:rsidRDefault="004A078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3CD71"/>
    <w:multiLevelType w:val="multilevel"/>
    <w:tmpl w:val="353F088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7807B6"/>
    <w:multiLevelType w:val="multilevel"/>
    <w:tmpl w:val="358F85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1B2B5C"/>
    <w:multiLevelType w:val="multilevel"/>
    <w:tmpl w:val="A487334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43F109"/>
    <w:multiLevelType w:val="multilevel"/>
    <w:tmpl w:val="9ED7536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24190A"/>
    <w:multiLevelType w:val="multilevel"/>
    <w:tmpl w:val="71E57F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015DEC"/>
    <w:multiLevelType w:val="multilevel"/>
    <w:tmpl w:val="5FFF361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CC4583D"/>
    <w:multiLevelType w:val="multilevel"/>
    <w:tmpl w:val="54D0E04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B95F93"/>
    <w:multiLevelType w:val="multilevel"/>
    <w:tmpl w:val="A0C977E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CED30C"/>
    <w:multiLevelType w:val="multilevel"/>
    <w:tmpl w:val="D12CD2E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27A245"/>
    <w:multiLevelType w:val="multilevel"/>
    <w:tmpl w:val="CD1A74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FDDC3B"/>
    <w:multiLevelType w:val="multilevel"/>
    <w:tmpl w:val="7AB364D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4D6154"/>
    <w:multiLevelType w:val="multilevel"/>
    <w:tmpl w:val="2CAF9F4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5081E9"/>
    <w:multiLevelType w:val="multilevel"/>
    <w:tmpl w:val="78AA025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E193F2"/>
    <w:multiLevelType w:val="multilevel"/>
    <w:tmpl w:val="945EA7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5A16A9"/>
    <w:multiLevelType w:val="multilevel"/>
    <w:tmpl w:val="8EF0419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E5162F"/>
    <w:multiLevelType w:val="multilevel"/>
    <w:tmpl w:val="7E841A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3A6717"/>
    <w:multiLevelType w:val="multilevel"/>
    <w:tmpl w:val="6E4E7C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E885F"/>
    <w:multiLevelType w:val="multilevel"/>
    <w:tmpl w:val="F18834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468D55C2"/>
    <w:multiLevelType w:val="hybridMultilevel"/>
    <w:tmpl w:val="6CDA5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ACF4A0"/>
    <w:multiLevelType w:val="multilevel"/>
    <w:tmpl w:val="198B504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CC5F14"/>
    <w:multiLevelType w:val="multilevel"/>
    <w:tmpl w:val="1778FE0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45422E"/>
    <w:multiLevelType w:val="multilevel"/>
    <w:tmpl w:val="7ACC758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7FB6B8"/>
    <w:multiLevelType w:val="multilevel"/>
    <w:tmpl w:val="92F7269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C91242"/>
    <w:multiLevelType w:val="multilevel"/>
    <w:tmpl w:val="1B392E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5"/>
  </w:num>
  <w:num w:numId="3">
    <w:abstractNumId w:val="22"/>
  </w:num>
  <w:num w:numId="4">
    <w:abstractNumId w:val="6"/>
  </w:num>
  <w:num w:numId="5">
    <w:abstractNumId w:val="17"/>
  </w:num>
  <w:num w:numId="6">
    <w:abstractNumId w:val="15"/>
  </w:num>
  <w:num w:numId="7">
    <w:abstractNumId w:val="12"/>
  </w:num>
  <w:num w:numId="8">
    <w:abstractNumId w:val="16"/>
  </w:num>
  <w:num w:numId="9">
    <w:abstractNumId w:val="21"/>
  </w:num>
  <w:num w:numId="10">
    <w:abstractNumId w:val="3"/>
  </w:num>
  <w:num w:numId="11">
    <w:abstractNumId w:val="1"/>
  </w:num>
  <w:num w:numId="12">
    <w:abstractNumId w:val="23"/>
  </w:num>
  <w:num w:numId="13">
    <w:abstractNumId w:val="7"/>
  </w:num>
  <w:num w:numId="14">
    <w:abstractNumId w:val="4"/>
  </w:num>
  <w:num w:numId="15">
    <w:abstractNumId w:val="14"/>
  </w:num>
  <w:num w:numId="16">
    <w:abstractNumId w:val="0"/>
  </w:num>
  <w:num w:numId="17">
    <w:abstractNumId w:val="19"/>
  </w:num>
  <w:num w:numId="18">
    <w:abstractNumId w:val="11"/>
  </w:num>
  <w:num w:numId="19">
    <w:abstractNumId w:val="13"/>
  </w:num>
  <w:num w:numId="20">
    <w:abstractNumId w:val="10"/>
  </w:num>
  <w:num w:numId="21">
    <w:abstractNumId w:val="20"/>
  </w:num>
  <w:num w:numId="22">
    <w:abstractNumId w:val="9"/>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60"/>
    <w:rsid w:val="00002AB8"/>
    <w:rsid w:val="0000470D"/>
    <w:rsid w:val="0005408F"/>
    <w:rsid w:val="00062594"/>
    <w:rsid w:val="00075898"/>
    <w:rsid w:val="00095628"/>
    <w:rsid w:val="00096546"/>
    <w:rsid w:val="00111614"/>
    <w:rsid w:val="0011178E"/>
    <w:rsid w:val="0011349A"/>
    <w:rsid w:val="00143DB0"/>
    <w:rsid w:val="00197DB2"/>
    <w:rsid w:val="001B29F1"/>
    <w:rsid w:val="001D57CA"/>
    <w:rsid w:val="001F3695"/>
    <w:rsid w:val="002009AC"/>
    <w:rsid w:val="00237366"/>
    <w:rsid w:val="00242D64"/>
    <w:rsid w:val="00250753"/>
    <w:rsid w:val="00281676"/>
    <w:rsid w:val="002A1950"/>
    <w:rsid w:val="002E1E22"/>
    <w:rsid w:val="002E3F7C"/>
    <w:rsid w:val="002F15E7"/>
    <w:rsid w:val="002F2903"/>
    <w:rsid w:val="002F5346"/>
    <w:rsid w:val="003136A4"/>
    <w:rsid w:val="003339AD"/>
    <w:rsid w:val="003347BC"/>
    <w:rsid w:val="00336C34"/>
    <w:rsid w:val="003551A0"/>
    <w:rsid w:val="00361207"/>
    <w:rsid w:val="003634BD"/>
    <w:rsid w:val="00372B40"/>
    <w:rsid w:val="003777D2"/>
    <w:rsid w:val="00387AA8"/>
    <w:rsid w:val="00387D82"/>
    <w:rsid w:val="003B702E"/>
    <w:rsid w:val="003F0053"/>
    <w:rsid w:val="003F5309"/>
    <w:rsid w:val="003F627B"/>
    <w:rsid w:val="00402764"/>
    <w:rsid w:val="0043351B"/>
    <w:rsid w:val="004518A5"/>
    <w:rsid w:val="004534F5"/>
    <w:rsid w:val="00461280"/>
    <w:rsid w:val="00461463"/>
    <w:rsid w:val="00485B74"/>
    <w:rsid w:val="0049422D"/>
    <w:rsid w:val="004A0786"/>
    <w:rsid w:val="004B0428"/>
    <w:rsid w:val="004B0637"/>
    <w:rsid w:val="004C19E6"/>
    <w:rsid w:val="004E395A"/>
    <w:rsid w:val="004E583F"/>
    <w:rsid w:val="0050285D"/>
    <w:rsid w:val="00521678"/>
    <w:rsid w:val="00524D73"/>
    <w:rsid w:val="00550A4A"/>
    <w:rsid w:val="0057207B"/>
    <w:rsid w:val="00584C63"/>
    <w:rsid w:val="005A2874"/>
    <w:rsid w:val="005B04BE"/>
    <w:rsid w:val="005B2886"/>
    <w:rsid w:val="005B311E"/>
    <w:rsid w:val="005C04CD"/>
    <w:rsid w:val="005D0F1D"/>
    <w:rsid w:val="005D4358"/>
    <w:rsid w:val="005E4706"/>
    <w:rsid w:val="005F27DE"/>
    <w:rsid w:val="005F2A8D"/>
    <w:rsid w:val="00646C86"/>
    <w:rsid w:val="00654E9F"/>
    <w:rsid w:val="00675A42"/>
    <w:rsid w:val="00694A4A"/>
    <w:rsid w:val="006B0019"/>
    <w:rsid w:val="006B328E"/>
    <w:rsid w:val="006D12DE"/>
    <w:rsid w:val="006D5EC7"/>
    <w:rsid w:val="006E292B"/>
    <w:rsid w:val="00703793"/>
    <w:rsid w:val="00730242"/>
    <w:rsid w:val="00755218"/>
    <w:rsid w:val="0077052C"/>
    <w:rsid w:val="007C671D"/>
    <w:rsid w:val="007C7F1A"/>
    <w:rsid w:val="007E09DD"/>
    <w:rsid w:val="007E2951"/>
    <w:rsid w:val="007E6B87"/>
    <w:rsid w:val="007F0EDA"/>
    <w:rsid w:val="008163B2"/>
    <w:rsid w:val="00833F63"/>
    <w:rsid w:val="00845560"/>
    <w:rsid w:val="0086091B"/>
    <w:rsid w:val="008741CE"/>
    <w:rsid w:val="00887AF5"/>
    <w:rsid w:val="008A25F1"/>
    <w:rsid w:val="008D759A"/>
    <w:rsid w:val="008F15A5"/>
    <w:rsid w:val="008F5BE9"/>
    <w:rsid w:val="00901B36"/>
    <w:rsid w:val="009506A9"/>
    <w:rsid w:val="00972987"/>
    <w:rsid w:val="00977EFF"/>
    <w:rsid w:val="009902CF"/>
    <w:rsid w:val="00992290"/>
    <w:rsid w:val="009A0131"/>
    <w:rsid w:val="009B645F"/>
    <w:rsid w:val="009C5E07"/>
    <w:rsid w:val="009C7B96"/>
    <w:rsid w:val="009E4EFA"/>
    <w:rsid w:val="009E5908"/>
    <w:rsid w:val="00A35E7F"/>
    <w:rsid w:val="00A55F98"/>
    <w:rsid w:val="00A56146"/>
    <w:rsid w:val="00A704D6"/>
    <w:rsid w:val="00A828B3"/>
    <w:rsid w:val="00AA08DE"/>
    <w:rsid w:val="00AC21EA"/>
    <w:rsid w:val="00AC5C1B"/>
    <w:rsid w:val="00AD5F79"/>
    <w:rsid w:val="00AE6FD6"/>
    <w:rsid w:val="00B04961"/>
    <w:rsid w:val="00B110B0"/>
    <w:rsid w:val="00B23E1D"/>
    <w:rsid w:val="00B41958"/>
    <w:rsid w:val="00B76DB7"/>
    <w:rsid w:val="00BA0193"/>
    <w:rsid w:val="00BA0389"/>
    <w:rsid w:val="00BB454E"/>
    <w:rsid w:val="00BE1E03"/>
    <w:rsid w:val="00BE398A"/>
    <w:rsid w:val="00BE5B07"/>
    <w:rsid w:val="00C40EEF"/>
    <w:rsid w:val="00C64AF2"/>
    <w:rsid w:val="00C71703"/>
    <w:rsid w:val="00C83D53"/>
    <w:rsid w:val="00C84F8F"/>
    <w:rsid w:val="00C9566C"/>
    <w:rsid w:val="00CA42AD"/>
    <w:rsid w:val="00CB39A3"/>
    <w:rsid w:val="00CC3251"/>
    <w:rsid w:val="00CE6C9F"/>
    <w:rsid w:val="00D107F2"/>
    <w:rsid w:val="00D267E3"/>
    <w:rsid w:val="00D341D8"/>
    <w:rsid w:val="00D3476A"/>
    <w:rsid w:val="00D759AB"/>
    <w:rsid w:val="00D75C2A"/>
    <w:rsid w:val="00D7644E"/>
    <w:rsid w:val="00D92E4F"/>
    <w:rsid w:val="00DE06CC"/>
    <w:rsid w:val="00DE15D3"/>
    <w:rsid w:val="00DE53EE"/>
    <w:rsid w:val="00DF3F85"/>
    <w:rsid w:val="00E10E83"/>
    <w:rsid w:val="00E13CD9"/>
    <w:rsid w:val="00E42F7A"/>
    <w:rsid w:val="00E64E24"/>
    <w:rsid w:val="00E73D6B"/>
    <w:rsid w:val="00E81D5C"/>
    <w:rsid w:val="00EA0C23"/>
    <w:rsid w:val="00EB0D61"/>
    <w:rsid w:val="00EB24D8"/>
    <w:rsid w:val="00EB4B5E"/>
    <w:rsid w:val="00ED7FE8"/>
    <w:rsid w:val="00EF4FB2"/>
    <w:rsid w:val="00F11830"/>
    <w:rsid w:val="00F17E67"/>
    <w:rsid w:val="00F527AE"/>
    <w:rsid w:val="00F6199C"/>
    <w:rsid w:val="00F859D9"/>
    <w:rsid w:val="00FE0D2F"/>
    <w:rsid w:val="00FE2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02C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45560"/>
    <w:pPr>
      <w:tabs>
        <w:tab w:val="center" w:pos="4536"/>
        <w:tab w:val="right" w:pos="9072"/>
      </w:tabs>
      <w:spacing w:line="240" w:lineRule="auto"/>
    </w:pPr>
  </w:style>
  <w:style w:type="character" w:customStyle="1" w:styleId="HeaderChar">
    <w:name w:val="Header Char"/>
    <w:basedOn w:val="DefaultParagraphFont"/>
    <w:link w:val="Header"/>
    <w:uiPriority w:val="99"/>
    <w:rsid w:val="00845560"/>
    <w:rPr>
      <w:rFonts w:ascii="Verdana" w:hAnsi="Verdana"/>
      <w:color w:val="000000"/>
      <w:sz w:val="18"/>
      <w:szCs w:val="18"/>
    </w:rPr>
  </w:style>
  <w:style w:type="paragraph" w:styleId="Footer">
    <w:name w:val="footer"/>
    <w:basedOn w:val="Normal"/>
    <w:link w:val="FooterChar"/>
    <w:uiPriority w:val="99"/>
    <w:unhideWhenUsed/>
    <w:rsid w:val="00845560"/>
    <w:pPr>
      <w:tabs>
        <w:tab w:val="center" w:pos="4536"/>
        <w:tab w:val="right" w:pos="9072"/>
      </w:tabs>
      <w:spacing w:line="240" w:lineRule="auto"/>
    </w:pPr>
  </w:style>
  <w:style w:type="character" w:customStyle="1" w:styleId="FooterChar">
    <w:name w:val="Footer Char"/>
    <w:basedOn w:val="DefaultParagraphFont"/>
    <w:link w:val="Footer"/>
    <w:uiPriority w:val="99"/>
    <w:rsid w:val="00845560"/>
    <w:rPr>
      <w:rFonts w:ascii="Verdana" w:hAnsi="Verdana"/>
      <w:color w:val="000000"/>
      <w:sz w:val="18"/>
      <w:szCs w:val="18"/>
    </w:rPr>
  </w:style>
  <w:style w:type="paragraph" w:styleId="FootnoteText">
    <w:name w:val="footnote text"/>
    <w:basedOn w:val="Normal"/>
    <w:link w:val="FootnoteTextChar"/>
    <w:uiPriority w:val="99"/>
    <w:semiHidden/>
    <w:unhideWhenUsed/>
    <w:rsid w:val="003339AD"/>
    <w:pPr>
      <w:spacing w:line="240" w:lineRule="auto"/>
    </w:pPr>
    <w:rPr>
      <w:sz w:val="20"/>
      <w:szCs w:val="20"/>
    </w:rPr>
  </w:style>
  <w:style w:type="character" w:customStyle="1" w:styleId="FootnoteTextChar">
    <w:name w:val="Footnote Text Char"/>
    <w:basedOn w:val="DefaultParagraphFont"/>
    <w:link w:val="FootnoteText"/>
    <w:uiPriority w:val="99"/>
    <w:semiHidden/>
    <w:rsid w:val="003339AD"/>
    <w:rPr>
      <w:rFonts w:ascii="Verdana" w:hAnsi="Verdana"/>
      <w:color w:val="000000"/>
    </w:rPr>
  </w:style>
  <w:style w:type="character" w:styleId="FootnoteReference">
    <w:name w:val="footnote reference"/>
    <w:basedOn w:val="DefaultParagraphFont"/>
    <w:uiPriority w:val="99"/>
    <w:semiHidden/>
    <w:unhideWhenUsed/>
    <w:rsid w:val="003339AD"/>
    <w:rPr>
      <w:vertAlign w:val="superscript"/>
    </w:rPr>
  </w:style>
  <w:style w:type="paragraph" w:styleId="ListParagraph">
    <w:name w:val="List Paragraph"/>
    <w:basedOn w:val="Normal"/>
    <w:uiPriority w:val="34"/>
    <w:semiHidden/>
    <w:rsid w:val="0049422D"/>
    <w:pPr>
      <w:ind w:left="720"/>
      <w:contextualSpacing/>
    </w:pPr>
  </w:style>
  <w:style w:type="character" w:styleId="CommentReference">
    <w:name w:val="annotation reference"/>
    <w:basedOn w:val="DefaultParagraphFont"/>
    <w:uiPriority w:val="99"/>
    <w:semiHidden/>
    <w:unhideWhenUsed/>
    <w:rsid w:val="004A0786"/>
    <w:rPr>
      <w:sz w:val="16"/>
      <w:szCs w:val="16"/>
    </w:rPr>
  </w:style>
  <w:style w:type="paragraph" w:styleId="CommentText">
    <w:name w:val="annotation text"/>
    <w:basedOn w:val="Normal"/>
    <w:link w:val="CommentTextChar"/>
    <w:uiPriority w:val="99"/>
    <w:unhideWhenUsed/>
    <w:rsid w:val="004A0786"/>
    <w:pPr>
      <w:spacing w:line="240" w:lineRule="auto"/>
    </w:pPr>
    <w:rPr>
      <w:sz w:val="20"/>
      <w:szCs w:val="20"/>
    </w:rPr>
  </w:style>
  <w:style w:type="character" w:customStyle="1" w:styleId="CommentTextChar">
    <w:name w:val="Comment Text Char"/>
    <w:basedOn w:val="DefaultParagraphFont"/>
    <w:link w:val="CommentText"/>
    <w:uiPriority w:val="99"/>
    <w:rsid w:val="004A07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A0786"/>
    <w:rPr>
      <w:b/>
      <w:bCs/>
    </w:rPr>
  </w:style>
  <w:style w:type="character" w:customStyle="1" w:styleId="CommentSubjectChar">
    <w:name w:val="Comment Subject Char"/>
    <w:basedOn w:val="CommentTextChar"/>
    <w:link w:val="CommentSubject"/>
    <w:uiPriority w:val="99"/>
    <w:semiHidden/>
    <w:rsid w:val="004A0786"/>
    <w:rPr>
      <w:rFonts w:ascii="Verdana" w:hAnsi="Verdana"/>
      <w:b/>
      <w:bCs/>
      <w:color w:val="000000"/>
    </w:rPr>
  </w:style>
  <w:style w:type="paragraph" w:styleId="Revision">
    <w:name w:val="Revision"/>
    <w:hidden/>
    <w:uiPriority w:val="99"/>
    <w:semiHidden/>
    <w:rsid w:val="002009A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527">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703357501">
      <w:bodyDiv w:val="1"/>
      <w:marLeft w:val="0"/>
      <w:marRight w:val="0"/>
      <w:marTop w:val="0"/>
      <w:marBottom w:val="0"/>
      <w:divBdr>
        <w:top w:val="none" w:sz="0" w:space="0" w:color="auto"/>
        <w:left w:val="none" w:sz="0" w:space="0" w:color="auto"/>
        <w:bottom w:val="none" w:sz="0" w:space="0" w:color="auto"/>
        <w:right w:val="none" w:sz="0" w:space="0" w:color="auto"/>
      </w:divBdr>
    </w:div>
    <w:div w:id="177486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1046</ap:Words>
  <ap:Characters>5967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motie Boswijk nationale veiligheidsrisico's slimme (elektrische) auto's </vt:lpstr>
    </vt:vector>
  </ap:TitlesOfParts>
  <ap:LinksUpToDate>false</ap:LinksUpToDate>
  <ap:CharactersWithSpaces>7000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2025-03-19T11:23:00.0000000Z</dcterms:created>
  <dcterms:modified xsi:type="dcterms:W3CDTF">2025-03-19T11:23:00.0000000Z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motie Boswijk nationale veiligheidsrisico's slimme (elektrische) auto's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J.J.M.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