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AE5" w:rsidP="001A1AE5" w:rsidRDefault="001A1AE5" w14:paraId="319D183E" w14:textId="61EEB68B">
      <w:pPr>
        <w:rPr>
          <w:rStyle w:val="Zwaar"/>
          <w:b w:val="0"/>
          <w:bCs w:val="0"/>
        </w:rPr>
      </w:pPr>
      <w:r>
        <w:rPr>
          <w:rStyle w:val="Zwaar"/>
          <w:b w:val="0"/>
          <w:bCs w:val="0"/>
        </w:rPr>
        <w:t>AH 1676</w:t>
      </w:r>
    </w:p>
    <w:p w:rsidR="001A1AE5" w:rsidP="001A1AE5" w:rsidRDefault="001A1AE5" w14:paraId="625C20BF" w14:textId="272C012E">
      <w:pPr>
        <w:rPr>
          <w:rStyle w:val="Zwaar"/>
          <w:b w:val="0"/>
          <w:bCs w:val="0"/>
        </w:rPr>
      </w:pPr>
      <w:r>
        <w:rPr>
          <w:rStyle w:val="Zwaar"/>
          <w:b w:val="0"/>
          <w:bCs w:val="0"/>
        </w:rPr>
        <w:t>2025Z03514</w:t>
      </w:r>
    </w:p>
    <w:p w:rsidR="001A1AE5" w:rsidP="001A1AE5" w:rsidRDefault="001A1AE5" w14:paraId="5C250965" w14:textId="4A541D03">
      <w:pPr>
        <w:rPr>
          <w:rStyle w:val="Zwaar"/>
          <w:b w:val="0"/>
          <w:bCs w:val="0"/>
          <w:sz w:val="24"/>
          <w:szCs w:val="24"/>
        </w:rPr>
      </w:pPr>
      <w:r w:rsidRPr="001A1AE5">
        <w:rPr>
          <w:rStyle w:val="Zwaar"/>
          <w:b w:val="0"/>
          <w:bCs w:val="0"/>
          <w:sz w:val="24"/>
          <w:szCs w:val="24"/>
        </w:rPr>
        <w:t>Antwoord van minister Hermans (Klimaat en Groene Groei)</w:t>
      </w:r>
      <w:r>
        <w:rPr>
          <w:rStyle w:val="Zwaar"/>
          <w:b w:val="0"/>
          <w:bCs w:val="0"/>
          <w:sz w:val="24"/>
          <w:szCs w:val="24"/>
        </w:rPr>
        <w:t xml:space="preserve">, mede namens de </w:t>
      </w:r>
      <w:r w:rsidRPr="00D31852">
        <w:rPr>
          <w:rFonts w:ascii="Times New Roman" w:hAnsi="Times New Roman"/>
          <w:sz w:val="24"/>
          <w:szCs w:val="24"/>
        </w:rPr>
        <w:t>staatssecretaris van Financiën</w:t>
      </w:r>
      <w:r w:rsidRPr="001A1AE5">
        <w:rPr>
          <w:rStyle w:val="Zwaar"/>
          <w:b w:val="0"/>
          <w:bCs w:val="0"/>
          <w:sz w:val="24"/>
          <w:szCs w:val="24"/>
        </w:rPr>
        <w:t xml:space="preserve"> (ontvangen</w:t>
      </w:r>
      <w:r>
        <w:rPr>
          <w:rStyle w:val="Zwaar"/>
          <w:b w:val="0"/>
          <w:bCs w:val="0"/>
          <w:sz w:val="24"/>
          <w:szCs w:val="24"/>
        </w:rPr>
        <w:t xml:space="preserve"> 19 maart 2025)</w:t>
      </w:r>
    </w:p>
    <w:p w:rsidRPr="001A1AE5" w:rsidR="001A1AE5" w:rsidP="001A1AE5" w:rsidRDefault="001A1AE5" w14:paraId="03B4DB20" w14:textId="77777777">
      <w:pPr>
        <w:rPr>
          <w:rStyle w:val="Zwaar"/>
          <w:rFonts w:ascii="Times New Roman" w:hAnsi="Times New Roman"/>
          <w:b w:val="0"/>
          <w:bCs w:val="0"/>
          <w:sz w:val="24"/>
          <w:szCs w:val="24"/>
        </w:rPr>
      </w:pPr>
    </w:p>
    <w:p w:rsidRPr="00747885" w:rsidR="001A1AE5" w:rsidP="001A1AE5" w:rsidRDefault="001A1AE5" w14:paraId="72B7D012" w14:textId="77777777">
      <w:pPr>
        <w:rPr>
          <w:b/>
        </w:rPr>
      </w:pPr>
      <w:r w:rsidRPr="006B7A36">
        <w:rPr>
          <w:rStyle w:val="Zwaar"/>
          <w:b w:val="0"/>
          <w:bCs w:val="0"/>
        </w:rPr>
        <w:t>1</w:t>
      </w:r>
      <w:r>
        <w:rPr>
          <w:rStyle w:val="Zwaar"/>
          <w:bCs w:val="0"/>
        </w:rPr>
        <w:br/>
      </w:r>
      <w:r w:rsidRPr="00170222">
        <w:t>Bent u bekend met het artikel 'Tienduizenden huishoudens kunnen energierekening niet betalen: waarom is aardgas zo duur?'</w:t>
      </w:r>
      <w:r>
        <w:rPr>
          <w:rStyle w:val="Voetnootmarkering"/>
        </w:rPr>
        <w:footnoteReference w:id="1"/>
      </w:r>
      <w:r w:rsidRPr="00170222">
        <w:t>?</w:t>
      </w:r>
    </w:p>
    <w:p w:rsidR="001A1AE5" w:rsidP="001A1AE5" w:rsidRDefault="001A1AE5" w14:paraId="10B642AB" w14:textId="77777777">
      <w:pPr>
        <w:rPr>
          <w:rStyle w:val="Zwaar"/>
          <w:b w:val="0"/>
          <w:bCs w:val="0"/>
        </w:rPr>
      </w:pPr>
    </w:p>
    <w:p w:rsidRPr="006B7A36" w:rsidR="001A1AE5" w:rsidP="001A1AE5" w:rsidRDefault="001A1AE5" w14:paraId="3B2864FA" w14:textId="77777777">
      <w:pPr>
        <w:rPr>
          <w:b/>
          <w:bCs/>
        </w:rPr>
      </w:pPr>
      <w:r w:rsidRPr="006B7A36">
        <w:rPr>
          <w:rStyle w:val="Zwaar"/>
          <w:b w:val="0"/>
          <w:bCs w:val="0"/>
        </w:rPr>
        <w:t>Antwoord</w:t>
      </w:r>
    </w:p>
    <w:p w:rsidR="001A1AE5" w:rsidP="001A1AE5" w:rsidRDefault="001A1AE5" w14:paraId="17B68FE8" w14:textId="77777777">
      <w:r>
        <w:t>Ja.</w:t>
      </w:r>
    </w:p>
    <w:p w:rsidR="001A1AE5" w:rsidP="001A1AE5" w:rsidRDefault="001A1AE5" w14:paraId="51BB7CE4" w14:textId="77777777"/>
    <w:p w:rsidR="001A1AE5" w:rsidP="001A1AE5" w:rsidRDefault="001A1AE5" w14:paraId="20B306DB" w14:textId="77777777">
      <w:r>
        <w:t>2</w:t>
      </w:r>
    </w:p>
    <w:p w:rsidR="001A1AE5" w:rsidP="001A1AE5" w:rsidRDefault="001A1AE5" w14:paraId="0F1AB2BD" w14:textId="77777777">
      <w:r w:rsidRPr="00170222">
        <w:t>Klopt het dat de kale gasprijs momenteel zo’n 48 cent per kuub is, daarbovenop nog zo’n 70 cent energiebelasting en btw komt en dat de energieleverancier daar nog ongeveer 12 cent inkoopvergoeding op doet?</w:t>
      </w:r>
    </w:p>
    <w:p w:rsidR="001A1AE5" w:rsidP="001A1AE5" w:rsidRDefault="001A1AE5" w14:paraId="0E47B276" w14:textId="77777777"/>
    <w:p w:rsidR="001A1AE5" w:rsidP="001A1AE5" w:rsidRDefault="001A1AE5" w14:paraId="6F961C60" w14:textId="77777777">
      <w:r>
        <w:t>Antwoord</w:t>
      </w:r>
    </w:p>
    <w:p w:rsidR="001A1AE5" w:rsidP="001A1AE5" w:rsidRDefault="001A1AE5" w14:paraId="6CCB81F6" w14:textId="77777777">
      <w:r w:rsidRPr="00170222">
        <w:t xml:space="preserve">De </w:t>
      </w:r>
      <w:r>
        <w:t>(</w:t>
      </w:r>
      <w:r w:rsidRPr="00170222">
        <w:t>variabele</w:t>
      </w:r>
      <w:r>
        <w:t>)</w:t>
      </w:r>
      <w:r w:rsidRPr="00170222">
        <w:t xml:space="preserve"> leveringstarieven die consumenten betalen voor gas bestaan uit het kale leveringstarief (de inkoopprijs en een opslag van de leverancier), de energiebelasting en de btw van 21%. De groothandelsprijs voor gas (TTF) bedraagt momenteel circa </w:t>
      </w:r>
      <w:r>
        <w:t xml:space="preserve">€ </w:t>
      </w:r>
      <w:r w:rsidRPr="00170222">
        <w:t>0,42/m</w:t>
      </w:r>
      <w:r w:rsidRPr="00486E8B">
        <w:rPr>
          <w:vertAlign w:val="superscript"/>
        </w:rPr>
        <w:t>3</w:t>
      </w:r>
      <w:r w:rsidRPr="00170222">
        <w:t xml:space="preserve"> (</w:t>
      </w:r>
      <w:r>
        <w:t>19</w:t>
      </w:r>
      <w:r w:rsidRPr="00170222">
        <w:t xml:space="preserve"> </w:t>
      </w:r>
      <w:r>
        <w:t xml:space="preserve">maart </w:t>
      </w:r>
      <w:r w:rsidRPr="00170222">
        <w:t>2025). De inkoopprijs die de leverancier rekent zal echter afhankelijk zijn van de inkoopstrategie van deze leverancier. Volgens het</w:t>
      </w:r>
      <w:r>
        <w:t xml:space="preserve"> </w:t>
      </w:r>
      <w:r w:rsidRPr="00170222">
        <w:t>CBS</w:t>
      </w:r>
      <w:r w:rsidRPr="00170222">
        <w:rPr>
          <w:vertAlign w:val="superscript"/>
        </w:rPr>
        <w:footnoteReference w:id="2"/>
      </w:r>
      <w:r w:rsidRPr="00170222">
        <w:t xml:space="preserve"> werd er in januari door consumenten gemiddeld circa </w:t>
      </w:r>
      <w:r>
        <w:t xml:space="preserve">€ </w:t>
      </w:r>
      <w:r w:rsidRPr="00170222">
        <w:t>1,33/m</w:t>
      </w:r>
      <w:r w:rsidRPr="00486E8B">
        <w:rPr>
          <w:vertAlign w:val="superscript"/>
        </w:rPr>
        <w:t>3</w:t>
      </w:r>
      <w:r w:rsidRPr="00170222">
        <w:t xml:space="preserve"> betaald voor één kubieke meter gas. Circa </w:t>
      </w:r>
      <w:r>
        <w:t xml:space="preserve">€ </w:t>
      </w:r>
      <w:r w:rsidRPr="00170222">
        <w:t>0,</w:t>
      </w:r>
      <w:r>
        <w:t>58 is</w:t>
      </w:r>
      <w:r w:rsidRPr="00170222">
        <w:t xml:space="preserve"> hiervan toe te schrijven aan de energiebelasting</w:t>
      </w:r>
      <w:r>
        <w:t xml:space="preserve"> op aardgas, circa € </w:t>
      </w:r>
      <w:r w:rsidRPr="00170222">
        <w:t>0,</w:t>
      </w:r>
      <w:r>
        <w:t xml:space="preserve">23 aan de </w:t>
      </w:r>
      <w:r w:rsidRPr="00170222">
        <w:t xml:space="preserve">btw en </w:t>
      </w:r>
      <w:r>
        <w:t xml:space="preserve">€ </w:t>
      </w:r>
      <w:r w:rsidRPr="00170222">
        <w:t>0,52 aan het kale leveringstarief.</w:t>
      </w:r>
      <w:r w:rsidRPr="0072787D">
        <w:rPr>
          <w:rFonts w:ascii="Calibri" w:hAnsi="Calibri" w:eastAsia="Calibri" w:cs="Calibri"/>
        </w:rPr>
        <w:t xml:space="preserve"> </w:t>
      </w:r>
      <w:r w:rsidRPr="0072787D">
        <w:t xml:space="preserve">Hierin is de </w:t>
      </w:r>
      <w:r>
        <w:t xml:space="preserve">jaarlijkse </w:t>
      </w:r>
      <w:r w:rsidRPr="0072787D">
        <w:t xml:space="preserve">belastingvermindering in de energiebelasting niet meegerekend. Dit is in 2025 een vast bedrag van </w:t>
      </w:r>
      <w:r>
        <w:t xml:space="preserve">€ </w:t>
      </w:r>
      <w:r w:rsidRPr="0072787D">
        <w:t xml:space="preserve">524,95 </w:t>
      </w:r>
      <w:r>
        <w:t>exclusief</w:t>
      </w:r>
      <w:r w:rsidRPr="0072787D">
        <w:t xml:space="preserve"> btw (</w:t>
      </w:r>
      <w:r>
        <w:t xml:space="preserve">€ </w:t>
      </w:r>
      <w:r w:rsidRPr="0072787D">
        <w:t>635,15</w:t>
      </w:r>
      <w:r>
        <w:t xml:space="preserve"> inclusief</w:t>
      </w:r>
      <w:r w:rsidRPr="0072787D">
        <w:t xml:space="preserve"> btw). Als </w:t>
      </w:r>
      <w:r>
        <w:t xml:space="preserve">we aannemen dat </w:t>
      </w:r>
      <w:r w:rsidRPr="0072787D">
        <w:t xml:space="preserve">50% van de belastingvermindering wordt toegepast op het aardgasdeel van de energierekening, bedraagt het effectieve energiebelastingtarief voor aardgas aanmerkelijk minder: circa </w:t>
      </w:r>
      <w:r>
        <w:t xml:space="preserve">€ </w:t>
      </w:r>
      <w:r w:rsidRPr="0072787D">
        <w:t>0,28</w:t>
      </w:r>
      <w:r w:rsidRPr="00170222">
        <w:t>/m</w:t>
      </w:r>
      <w:r w:rsidRPr="00486E8B">
        <w:rPr>
          <w:vertAlign w:val="superscript"/>
        </w:rPr>
        <w:t>3</w:t>
      </w:r>
      <w:r w:rsidRPr="0072787D">
        <w:t xml:space="preserve"> bij een gemiddeld huishouden.  </w:t>
      </w:r>
    </w:p>
    <w:p w:rsidR="001A1AE5" w:rsidP="001A1AE5" w:rsidRDefault="001A1AE5" w14:paraId="5645BA92" w14:textId="77777777">
      <w:r>
        <w:br/>
        <w:t>3</w:t>
      </w:r>
    </w:p>
    <w:p w:rsidR="001A1AE5" w:rsidP="001A1AE5" w:rsidRDefault="001A1AE5" w14:paraId="4C1344C9" w14:textId="77777777">
      <w:r w:rsidRPr="00170222">
        <w:lastRenderedPageBreak/>
        <w:t>Kunt u inzichtelijk maken hoeveel inkomsten er dit jaar verwacht worden door de energiebelasting en btw op gas? Kunt u tevens inzichtelijk maken wat de inkomsten de afgelopen 15 jaar bedroegen, waarbij tevens vermeld wordt welk percentage aan energiebelasting en btw per jaar gold?</w:t>
      </w:r>
    </w:p>
    <w:p w:rsidR="001A1AE5" w:rsidP="001A1AE5" w:rsidRDefault="001A1AE5" w14:paraId="1A42B361" w14:textId="77777777"/>
    <w:p w:rsidR="001A1AE5" w:rsidP="001A1AE5" w:rsidRDefault="001A1AE5" w14:paraId="0BE85A59" w14:textId="77777777">
      <w:r>
        <w:t>Antwoord</w:t>
      </w:r>
    </w:p>
    <w:p w:rsidRPr="001F6339" w:rsidR="001A1AE5" w:rsidP="001A1AE5" w:rsidRDefault="001A1AE5" w14:paraId="6BDEAE18" w14:textId="77777777">
      <w:r w:rsidRPr="001F6339">
        <w:t xml:space="preserve">In tabel 1 is vanaf 2011 weergegeven hoeveel opbrengsten er waren vanuit de energiebelasting op aardgas en de opbrengsten uit elektriciteit en de belastingvermindering samen. Hierbij zijn vanaf de introductie in 2012 de opbrengsten uit energiebelasting en Opslag Duurzame Energie (ODE) opgeteld. De ODE is vanaf 2023 geïntegreerd in de energiebelasting. Ook is weergegeven wat de in dat jaar geldende tarieven waren in de verschillende schijven aardgas. Hierbij zijn opnieuw de energiebelasting en ODE opgeteld in de jaren 2012-2023. In de tweede kolom van rechts is het in dat jaar geldende btw-percentage toegevoegd. Gegevens over de btw-ontvangsten specifiek op aardgas zijn niet beschikbaar. In tabel 1 zijn een oploop in de energiebelastingtarieven en </w:t>
      </w:r>
      <w:r>
        <w:t xml:space="preserve">de </w:t>
      </w:r>
      <w:r w:rsidRPr="001F6339">
        <w:t>opbrengst op aardgas te zien. Voor 2025 heeft het kabinet de voorgenomen tariefverhoging tot een verbruik van 170.000 m</w:t>
      </w:r>
      <w:r w:rsidRPr="004F4A30">
        <w:rPr>
          <w:vertAlign w:val="superscript"/>
        </w:rPr>
        <w:t>3</w:t>
      </w:r>
      <w:r w:rsidRPr="001F6339">
        <w:t xml:space="preserve"> teruggedraaid. De energiebelastingtarieven en ontvangsten op elektriciteit nemen juist af. Dat is te zien in tabel 2; hierbij zijn de energiebelasting en </w:t>
      </w:r>
      <w:r>
        <w:t xml:space="preserve">de </w:t>
      </w:r>
      <w:r w:rsidRPr="001F6339">
        <w:t xml:space="preserve">ODE opgeteld in de jaren 2012-2023. </w:t>
      </w:r>
      <w:bookmarkStart w:name="_Hlk192672689" w:id="0"/>
      <w:r w:rsidRPr="001F6339">
        <w:t xml:space="preserve">Met de schuif in de energiebelasting (verhoging op aardgas en verlaging op elektriciteit) wordt beoogd elektrificatie te bevorderen. </w:t>
      </w:r>
      <w:bookmarkStart w:name="_Hlk192672717" w:id="1"/>
      <w:bookmarkEnd w:id="0"/>
      <w:r w:rsidRPr="001F6339">
        <w:t>De belastingvermindering en het budgettaire beslag ervan ne</w:t>
      </w:r>
      <w:r>
        <w:t>men</w:t>
      </w:r>
      <w:r w:rsidRPr="001F6339">
        <w:t xml:space="preserve"> in de loop der jaren toe. Dat is te zien in tabel 3. Door de belastingvermindering zijn de effectieve tarieven die huishoudens betalen lager. </w:t>
      </w:r>
      <w:bookmarkEnd w:id="1"/>
    </w:p>
    <w:p w:rsidRPr="001F6339" w:rsidR="001A1AE5" w:rsidP="001A1AE5" w:rsidRDefault="001A1AE5" w14:paraId="58C9BD89" w14:textId="77777777"/>
    <w:p w:rsidRPr="001F6339" w:rsidR="001A1AE5" w:rsidP="001A1AE5" w:rsidRDefault="001A1AE5" w14:paraId="4E79237C" w14:textId="77777777">
      <w:pPr>
        <w:rPr>
          <w:i/>
          <w:iCs/>
        </w:rPr>
      </w:pPr>
      <w:r w:rsidRPr="001F6339">
        <w:rPr>
          <w:i/>
          <w:iCs/>
        </w:rPr>
        <w:t>Tabel 1: Energiebelasting, ODE en btw op aardgas</w:t>
      </w:r>
    </w:p>
    <w:tbl>
      <w:tblPr>
        <w:tblStyle w:val="Tabelraster"/>
        <w:tblW w:w="8591" w:type="dxa"/>
        <w:tblLook w:val="04A0" w:firstRow="1" w:lastRow="0" w:firstColumn="1" w:lastColumn="0" w:noHBand="0" w:noVBand="1"/>
      </w:tblPr>
      <w:tblGrid>
        <w:gridCol w:w="785"/>
        <w:gridCol w:w="1249"/>
        <w:gridCol w:w="1356"/>
        <w:gridCol w:w="1499"/>
        <w:gridCol w:w="1499"/>
        <w:gridCol w:w="1226"/>
        <w:gridCol w:w="2100"/>
      </w:tblGrid>
      <w:tr w:rsidRPr="001F6339" w:rsidR="001A1AE5" w:rsidTr="00A917F0" w14:paraId="1DDC1C5E" w14:textId="77777777">
        <w:trPr>
          <w:trHeight w:val="250"/>
        </w:trPr>
        <w:tc>
          <w:tcPr>
            <w:tcW w:w="671"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8532969" w14:textId="77777777">
            <w:pPr>
              <w:rPr>
                <w:b/>
                <w:bCs/>
              </w:rPr>
            </w:pPr>
            <w:r w:rsidRPr="001F6339">
              <w:rPr>
                <w:b/>
                <w:bCs/>
              </w:rPr>
              <w:t>Jaar</w:t>
            </w:r>
          </w:p>
        </w:tc>
        <w:tc>
          <w:tcPr>
            <w:tcW w:w="4861" w:type="dxa"/>
            <w:gridSpan w:val="4"/>
            <w:tcBorders>
              <w:top w:val="single" w:color="auto" w:sz="4" w:space="0"/>
              <w:left w:val="single" w:color="auto" w:sz="4" w:space="0"/>
              <w:bottom w:val="single" w:color="auto" w:sz="4" w:space="0"/>
              <w:right w:val="single" w:color="auto" w:sz="4" w:space="0"/>
            </w:tcBorders>
            <w:noWrap/>
            <w:vAlign w:val="center"/>
            <w:hideMark/>
          </w:tcPr>
          <w:p w:rsidRPr="001A1AE5" w:rsidR="001A1AE5" w:rsidP="00A917F0" w:rsidRDefault="001A1AE5" w14:paraId="4968610F" w14:textId="77777777">
            <w:pPr>
              <w:rPr>
                <w:b/>
                <w:bCs/>
                <w:lang w:val="nl-NL"/>
              </w:rPr>
            </w:pPr>
            <w:r w:rsidRPr="001A1AE5">
              <w:rPr>
                <w:b/>
                <w:bCs/>
                <w:lang w:val="nl-NL"/>
              </w:rPr>
              <w:t>Tarief energiebelasting + ODE in euro per m3</w:t>
            </w:r>
          </w:p>
        </w:tc>
        <w:tc>
          <w:tcPr>
            <w:tcW w:w="1226"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46053F7" w14:textId="77777777">
            <w:pPr>
              <w:rPr>
                <w:b/>
                <w:bCs/>
              </w:rPr>
            </w:pPr>
            <w:r w:rsidRPr="001F6339">
              <w:rPr>
                <w:b/>
                <w:bCs/>
              </w:rPr>
              <w:t>Btw %</w:t>
            </w:r>
          </w:p>
        </w:tc>
        <w:tc>
          <w:tcPr>
            <w:tcW w:w="1833"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E820A90" w14:textId="77777777">
            <w:pPr>
              <w:rPr>
                <w:b/>
                <w:bCs/>
              </w:rPr>
            </w:pPr>
            <w:proofErr w:type="spellStart"/>
            <w:r w:rsidRPr="001F6339">
              <w:rPr>
                <w:b/>
                <w:bCs/>
              </w:rPr>
              <w:t>Opbrengst</w:t>
            </w:r>
            <w:proofErr w:type="spellEnd"/>
            <w:r w:rsidRPr="001F6339">
              <w:rPr>
                <w:b/>
                <w:bCs/>
              </w:rPr>
              <w:t xml:space="preserve"> </w:t>
            </w:r>
            <w:proofErr w:type="spellStart"/>
            <w:r w:rsidRPr="001F6339">
              <w:rPr>
                <w:b/>
                <w:bCs/>
              </w:rPr>
              <w:t>energiebelasting</w:t>
            </w:r>
            <w:proofErr w:type="spellEnd"/>
            <w:r w:rsidRPr="001F6339">
              <w:rPr>
                <w:b/>
                <w:bCs/>
              </w:rPr>
              <w:t xml:space="preserve"> en ODE </w:t>
            </w:r>
          </w:p>
        </w:tc>
      </w:tr>
      <w:tr w:rsidRPr="001F6339" w:rsidR="001A1AE5" w:rsidTr="00A917F0" w14:paraId="3CC72600"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203904C3" w14:textId="77777777">
            <w:pPr>
              <w:rPr>
                <w:b/>
                <w:bCs/>
              </w:rPr>
            </w:pP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67872AC" w14:textId="77777777">
            <w:pPr>
              <w:rPr>
                <w:b/>
                <w:bCs/>
              </w:rPr>
            </w:pPr>
            <w:r w:rsidRPr="001F6339">
              <w:rPr>
                <w:b/>
                <w:bCs/>
              </w:rPr>
              <w:t>0 t/m 170.000 m3</w:t>
            </w:r>
            <w:r w:rsidRPr="001F6339">
              <w:rPr>
                <w:b/>
                <w:bCs/>
                <w:vertAlign w:val="superscript"/>
              </w:rPr>
              <w:footnoteReference w:id="3"/>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5D4156A" w14:textId="77777777">
            <w:pPr>
              <w:rPr>
                <w:b/>
                <w:bCs/>
              </w:rPr>
            </w:pPr>
            <w:r w:rsidRPr="001F6339">
              <w:rPr>
                <w:b/>
                <w:bCs/>
              </w:rPr>
              <w:t>170.001 t/m 1.000.000 m3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44650B0" w14:textId="77777777">
            <w:pPr>
              <w:rPr>
                <w:b/>
                <w:bCs/>
              </w:rPr>
            </w:pPr>
            <w:r w:rsidRPr="001F6339">
              <w:rPr>
                <w:b/>
                <w:bCs/>
              </w:rPr>
              <w:t>1.000.001 m3 t/m 10.000.000 m3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89226DD" w14:textId="77777777">
            <w:pPr>
              <w:rPr>
                <w:b/>
                <w:bCs/>
              </w:rPr>
            </w:pPr>
            <w:r w:rsidRPr="001F6339">
              <w:rPr>
                <w:b/>
                <w:bCs/>
              </w:rPr>
              <w:t>&gt; 10.000.000 m3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9E9A53B" w14:textId="77777777">
            <w:pPr>
              <w:rPr>
                <w:b/>
                <w:bC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5374A412" w14:textId="77777777">
            <w:pPr>
              <w:rPr>
                <w:b/>
                <w:bCs/>
              </w:rPr>
            </w:pPr>
          </w:p>
        </w:tc>
      </w:tr>
      <w:tr w:rsidRPr="001F6339" w:rsidR="001A1AE5" w:rsidTr="00A917F0" w14:paraId="577C876A" w14:textId="77777777">
        <w:trPr>
          <w:trHeight w:val="538"/>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F099136" w14:textId="77777777">
            <w:pPr>
              <w:rPr>
                <w:b/>
                <w:bCs/>
              </w:rPr>
            </w:pPr>
            <w:r w:rsidRPr="001F6339">
              <w:rPr>
                <w:b/>
                <w:bCs/>
              </w:rPr>
              <w:t>2011</w:t>
            </w:r>
          </w:p>
        </w:tc>
        <w:tc>
          <w:tcPr>
            <w:tcW w:w="1249" w:type="dxa"/>
            <w:tcBorders>
              <w:top w:val="single" w:color="auto" w:sz="4" w:space="0"/>
              <w:left w:val="single" w:color="auto" w:sz="4" w:space="0"/>
              <w:bottom w:val="single" w:color="auto" w:sz="4" w:space="0"/>
              <w:right w:val="single" w:color="auto" w:sz="4" w:space="0"/>
            </w:tcBorders>
            <w:vAlign w:val="center"/>
          </w:tcPr>
          <w:p w:rsidRPr="001F6339" w:rsidR="001A1AE5" w:rsidP="00A917F0" w:rsidRDefault="001A1AE5" w14:paraId="6D149BD5" w14:textId="77777777">
            <w:r w:rsidRPr="001F6339">
              <w:t xml:space="preserve">t/m 5.000 m3         0,1639 </w:t>
            </w:r>
          </w:p>
          <w:p w:rsidRPr="001F6339" w:rsidR="001A1AE5" w:rsidP="00A917F0" w:rsidRDefault="001A1AE5" w14:paraId="4AAB24B4" w14:textId="77777777"/>
          <w:p w:rsidRPr="001F6339" w:rsidR="001A1AE5" w:rsidP="00A917F0" w:rsidRDefault="001A1AE5" w14:paraId="22ABDDA4" w14:textId="77777777">
            <w:proofErr w:type="spellStart"/>
            <w:r w:rsidRPr="001F6339">
              <w:t>vanaf</w:t>
            </w:r>
            <w:proofErr w:type="spellEnd"/>
            <w:r w:rsidRPr="001F6339">
              <w:t xml:space="preserve"> 5.000 m3     0,1419</w:t>
            </w:r>
          </w:p>
        </w:tc>
        <w:tc>
          <w:tcPr>
            <w:tcW w:w="11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662A4A9" w14:textId="77777777">
            <w:r w:rsidRPr="001F6339">
              <w:t>0,0393</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153B733" w14:textId="77777777">
            <w:r w:rsidRPr="001F6339">
              <w:t>0,0125</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3A7BDCD" w14:textId="77777777">
            <w:r w:rsidRPr="001F6339">
              <w:t>0,0082</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52923A2" w14:textId="77777777">
            <w:r w:rsidRPr="001F6339">
              <w:t>19%</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648F21A" w14:textId="77777777">
            <w:r w:rsidRPr="001F6339">
              <w:t xml:space="preserve">2.742 </w:t>
            </w:r>
            <w:proofErr w:type="spellStart"/>
            <w:r w:rsidRPr="001F6339">
              <w:t>mln</w:t>
            </w:r>
            <w:proofErr w:type="spellEnd"/>
            <w:r w:rsidRPr="001F6339">
              <w:t xml:space="preserve">. </w:t>
            </w:r>
          </w:p>
        </w:tc>
      </w:tr>
      <w:tr w:rsidRPr="001F6339" w:rsidR="001A1AE5" w:rsidTr="00A917F0" w14:paraId="0F23DE01" w14:textId="77777777">
        <w:trPr>
          <w:trHeight w:val="538"/>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5F63E1A5" w14:textId="77777777">
            <w:pPr>
              <w:rPr>
                <w:b/>
                <w:bCs/>
              </w:rPr>
            </w:pPr>
            <w:r w:rsidRPr="001F6339">
              <w:rPr>
                <w:b/>
                <w:bCs/>
              </w:rPr>
              <w:t>2012</w:t>
            </w:r>
          </w:p>
        </w:tc>
        <w:tc>
          <w:tcPr>
            <w:tcW w:w="1249" w:type="dxa"/>
            <w:tcBorders>
              <w:top w:val="single" w:color="auto" w:sz="4" w:space="0"/>
              <w:left w:val="single" w:color="auto" w:sz="4" w:space="0"/>
              <w:bottom w:val="single" w:color="auto" w:sz="4" w:space="0"/>
              <w:right w:val="single" w:color="auto" w:sz="4" w:space="0"/>
            </w:tcBorders>
            <w:vAlign w:val="center"/>
          </w:tcPr>
          <w:p w:rsidRPr="001F6339" w:rsidR="001A1AE5" w:rsidP="00A917F0" w:rsidRDefault="001A1AE5" w14:paraId="15D4659D" w14:textId="77777777">
            <w:r w:rsidRPr="001F6339">
              <w:t xml:space="preserve">t/m 5.000 m3         0,1667 </w:t>
            </w:r>
          </w:p>
          <w:p w:rsidRPr="001F6339" w:rsidR="001A1AE5" w:rsidP="00A917F0" w:rsidRDefault="001A1AE5" w14:paraId="104AF661" w14:textId="77777777"/>
          <w:p w:rsidRPr="001F6339" w:rsidR="001A1AE5" w:rsidP="00A917F0" w:rsidRDefault="001A1AE5" w14:paraId="26DA9F83" w14:textId="77777777">
            <w:proofErr w:type="spellStart"/>
            <w:r w:rsidRPr="001F6339">
              <w:lastRenderedPageBreak/>
              <w:t>vanaf</w:t>
            </w:r>
            <w:proofErr w:type="spellEnd"/>
            <w:r w:rsidRPr="001F6339">
              <w:t xml:space="preserve"> 5.000 m3     0,1443</w:t>
            </w:r>
          </w:p>
        </w:tc>
        <w:tc>
          <w:tcPr>
            <w:tcW w:w="11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2C2627E1" w14:textId="77777777">
            <w:r w:rsidRPr="001F6339">
              <w:lastRenderedPageBreak/>
              <w:t>0,0400</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ED49A8F" w14:textId="77777777">
            <w:r w:rsidRPr="001F6339">
              <w:t>0,0127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D3A4627" w14:textId="77777777">
            <w:r w:rsidRPr="001F6339">
              <w:t>0,0083</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FA216B7"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84E4E70" w14:textId="77777777">
            <w:r w:rsidRPr="001F6339">
              <w:t xml:space="preserve">2.445 </w:t>
            </w:r>
            <w:proofErr w:type="spellStart"/>
            <w:r w:rsidRPr="001F6339">
              <w:t>mln</w:t>
            </w:r>
            <w:proofErr w:type="spellEnd"/>
            <w:r w:rsidRPr="001F6339">
              <w:t>.</w:t>
            </w:r>
          </w:p>
        </w:tc>
      </w:tr>
      <w:tr w:rsidRPr="001F6339" w:rsidR="001A1AE5" w:rsidTr="00A917F0" w14:paraId="253B77CE"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E08927E" w14:textId="77777777">
            <w:pPr>
              <w:rPr>
                <w:b/>
                <w:bCs/>
              </w:rPr>
            </w:pPr>
            <w:r w:rsidRPr="001F6339">
              <w:rPr>
                <w:b/>
                <w:bCs/>
              </w:rPr>
              <w:t>2013</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9E8EC93" w14:textId="77777777">
            <w:r w:rsidRPr="001F6339">
              <w:t>0,1885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7C8A688" w14:textId="77777777">
            <w:r w:rsidRPr="001F6339">
              <w:t>0,0448</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7A99529" w14:textId="77777777">
            <w:r w:rsidRPr="001F6339">
              <w:t>0,0163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FCC12FF" w14:textId="77777777">
            <w:r w:rsidRPr="001F6339">
              <w:t>0,0117</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30196F4"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F08F212" w14:textId="77777777">
            <w:r w:rsidRPr="001F6339">
              <w:t xml:space="preserve">3.100 </w:t>
            </w:r>
            <w:proofErr w:type="spellStart"/>
            <w:r w:rsidRPr="001F6339">
              <w:t>mln</w:t>
            </w:r>
            <w:proofErr w:type="spellEnd"/>
            <w:r w:rsidRPr="001F6339">
              <w:t>.</w:t>
            </w:r>
          </w:p>
        </w:tc>
      </w:tr>
      <w:tr w:rsidRPr="001F6339" w:rsidR="001A1AE5" w:rsidTr="00A917F0" w14:paraId="39F01D96"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756FD673" w14:textId="77777777">
            <w:pPr>
              <w:rPr>
                <w:b/>
                <w:bCs/>
              </w:rPr>
            </w:pPr>
            <w:r w:rsidRPr="001F6339">
              <w:rPr>
                <w:b/>
                <w:bCs/>
              </w:rPr>
              <w:t>2014</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E82F7F4" w14:textId="77777777">
            <w:r w:rsidRPr="001F6339">
              <w:t>0,1940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16F4758" w14:textId="77777777">
            <w:r w:rsidRPr="001F6339">
              <w:t>0,0463</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510F6E7" w14:textId="77777777">
            <w:r w:rsidRPr="001F6339">
              <w:t>0,0168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6DCC006" w14:textId="77777777">
            <w:r w:rsidRPr="001F6339">
              <w:t>0,0121</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DBFAAA8"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D02A7E8" w14:textId="77777777">
            <w:r w:rsidRPr="001F6339">
              <w:t xml:space="preserve">2.805 </w:t>
            </w:r>
            <w:proofErr w:type="spellStart"/>
            <w:r w:rsidRPr="001F6339">
              <w:t>mln</w:t>
            </w:r>
            <w:proofErr w:type="spellEnd"/>
            <w:r w:rsidRPr="001F6339">
              <w:t>.</w:t>
            </w:r>
          </w:p>
        </w:tc>
      </w:tr>
      <w:tr w:rsidRPr="001F6339" w:rsidR="001A1AE5" w:rsidTr="00A917F0" w14:paraId="046500CB"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BABE712" w14:textId="77777777">
            <w:pPr>
              <w:rPr>
                <w:b/>
                <w:bCs/>
              </w:rPr>
            </w:pPr>
            <w:r w:rsidRPr="001F6339">
              <w:rPr>
                <w:b/>
                <w:bCs/>
              </w:rPr>
              <w:t>2015</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CCC86BE" w14:textId="77777777">
            <w:r w:rsidRPr="001F6339">
              <w:t>0,1985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D59DB65" w14:textId="77777777">
            <w:r w:rsidRPr="001F6339">
              <w:t>0,0705</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2B42B09F" w14:textId="77777777">
            <w:r w:rsidRPr="001F6339">
              <w:t>0,0275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87E9236" w14:textId="77777777">
            <w:r w:rsidRPr="001F6339">
              <w:t>0,0124</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ABC0246"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9B01D68" w14:textId="77777777">
            <w:r w:rsidRPr="001F6339">
              <w:t xml:space="preserve">2.840 </w:t>
            </w:r>
            <w:proofErr w:type="spellStart"/>
            <w:r w:rsidRPr="001F6339">
              <w:t>mln</w:t>
            </w:r>
            <w:proofErr w:type="spellEnd"/>
            <w:r w:rsidRPr="001F6339">
              <w:t>.</w:t>
            </w:r>
          </w:p>
        </w:tc>
      </w:tr>
      <w:tr w:rsidRPr="001F6339" w:rsidR="001A1AE5" w:rsidTr="00A917F0" w14:paraId="616C8A46"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1DC0F57" w14:textId="77777777">
            <w:pPr>
              <w:rPr>
                <w:b/>
                <w:bCs/>
              </w:rPr>
            </w:pPr>
            <w:r w:rsidRPr="001F6339">
              <w:rPr>
                <w:b/>
                <w:bCs/>
              </w:rPr>
              <w:t>2016</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2453ACB" w14:textId="77777777">
            <w:r w:rsidRPr="001F6339">
              <w:t>0,2630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4ED74CF" w14:textId="77777777">
            <w:r w:rsidRPr="001F6339">
              <w:t>0,0737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4A6F4B9" w14:textId="77777777">
            <w:r w:rsidRPr="001F6339">
              <w:t>0,0267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4076102" w14:textId="77777777">
            <w:r w:rsidRPr="001F6339">
              <w:t>0,0130</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A2150AE"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B2123F1" w14:textId="77777777">
            <w:r w:rsidRPr="001F6339">
              <w:t xml:space="preserve">3.700 </w:t>
            </w:r>
            <w:proofErr w:type="spellStart"/>
            <w:r w:rsidRPr="001F6339">
              <w:t>mln</w:t>
            </w:r>
            <w:proofErr w:type="spellEnd"/>
            <w:r w:rsidRPr="001F6339">
              <w:t>.</w:t>
            </w:r>
          </w:p>
        </w:tc>
      </w:tr>
      <w:tr w:rsidRPr="001F6339" w:rsidR="001A1AE5" w:rsidTr="00A917F0" w14:paraId="3D0015C9"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1C018256" w14:textId="77777777">
            <w:pPr>
              <w:rPr>
                <w:b/>
                <w:bCs/>
              </w:rPr>
            </w:pPr>
            <w:r w:rsidRPr="001F6339">
              <w:rPr>
                <w:b/>
                <w:bCs/>
              </w:rPr>
              <w:t>2017</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0F1EE18" w14:textId="77777777">
            <w:r w:rsidRPr="001F6339">
              <w:t>0,2684</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C47C1D2" w14:textId="77777777">
            <w:r w:rsidRPr="001F6339">
              <w:t>0,0696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7E36A7C" w14:textId="77777777">
            <w:r w:rsidRPr="001F6339">
              <w:t>0,0254</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A78EA24" w14:textId="77777777">
            <w:r w:rsidRPr="001F6339">
              <w:t>0,0135</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BBB51C8"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C3D0BF2" w14:textId="77777777">
            <w:r w:rsidRPr="001F6339">
              <w:t xml:space="preserve">3.849 </w:t>
            </w:r>
            <w:proofErr w:type="spellStart"/>
            <w:r w:rsidRPr="001F6339">
              <w:t>mln</w:t>
            </w:r>
            <w:proofErr w:type="spellEnd"/>
            <w:r w:rsidRPr="001F6339">
              <w:t>.</w:t>
            </w:r>
          </w:p>
        </w:tc>
      </w:tr>
      <w:tr w:rsidRPr="001F6339" w:rsidR="001A1AE5" w:rsidTr="00A917F0" w14:paraId="6E5A0DF9"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75095D0" w14:textId="77777777">
            <w:pPr>
              <w:rPr>
                <w:b/>
                <w:bCs/>
              </w:rPr>
            </w:pPr>
            <w:r w:rsidRPr="001F6339">
              <w:rPr>
                <w:b/>
                <w:bCs/>
              </w:rPr>
              <w:t>2018</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9902593" w14:textId="77777777">
            <w:r w:rsidRPr="001F6339">
              <w:t>0,2885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9FE7084" w14:textId="77777777">
            <w:r w:rsidRPr="001F6339">
              <w:t>0,0753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12F3206" w14:textId="77777777">
            <w:r w:rsidRPr="001F6339">
              <w:t>0,0274</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A9EE141" w14:textId="77777777">
            <w:r w:rsidRPr="001F6339">
              <w:t>0,0147</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C34429F"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BEC9697" w14:textId="77777777">
            <w:r w:rsidRPr="001F6339">
              <w:t xml:space="preserve">4.068 </w:t>
            </w:r>
            <w:proofErr w:type="spellStart"/>
            <w:r w:rsidRPr="001F6339">
              <w:t>mln</w:t>
            </w:r>
            <w:proofErr w:type="spellEnd"/>
            <w:r w:rsidRPr="001F6339">
              <w:t>.</w:t>
            </w:r>
          </w:p>
        </w:tc>
      </w:tr>
      <w:tr w:rsidRPr="001F6339" w:rsidR="001A1AE5" w:rsidTr="00A917F0" w14:paraId="0F8BB82F"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FD6F1B0" w14:textId="77777777">
            <w:pPr>
              <w:rPr>
                <w:b/>
                <w:bCs/>
              </w:rPr>
            </w:pPr>
            <w:r w:rsidRPr="001F6339">
              <w:rPr>
                <w:b/>
                <w:bCs/>
              </w:rPr>
              <w:t>2019</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4029387" w14:textId="77777777">
            <w:r w:rsidRPr="001F6339">
              <w:t>0,3455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1E26A6D" w14:textId="77777777">
            <w:r w:rsidRPr="001F6339">
              <w:t>0,0815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6199CE8" w14:textId="77777777">
            <w:r w:rsidRPr="001F6339">
              <w:t>0,0297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FA54ACC" w14:textId="77777777">
            <w:r w:rsidRPr="001F6339">
              <w:t>0,0159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33337C4"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EEF5B3C" w14:textId="77777777">
            <w:r w:rsidRPr="001F6339">
              <w:t xml:space="preserve">4.618 </w:t>
            </w:r>
            <w:proofErr w:type="spellStart"/>
            <w:r w:rsidRPr="001F6339">
              <w:t>mln</w:t>
            </w:r>
            <w:proofErr w:type="spellEnd"/>
            <w:r w:rsidRPr="001F6339">
              <w:t>.</w:t>
            </w:r>
          </w:p>
        </w:tc>
      </w:tr>
      <w:tr w:rsidRPr="001F6339" w:rsidR="001A1AE5" w:rsidTr="00A917F0" w14:paraId="60FB7B3A"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7E259D11" w14:textId="77777777">
            <w:pPr>
              <w:rPr>
                <w:b/>
                <w:bCs/>
              </w:rPr>
            </w:pPr>
            <w:r w:rsidRPr="001F6339">
              <w:rPr>
                <w:b/>
                <w:bCs/>
              </w:rPr>
              <w:t>2020</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40785A6" w14:textId="77777777">
            <w:r w:rsidRPr="001F6339">
              <w:t>0,4106</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F9ED725" w14:textId="77777777">
            <w:r w:rsidRPr="001F6339">
              <w:t>0,0858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BB075DD" w14:textId="77777777">
            <w:r w:rsidRPr="001F6339">
              <w:t>0,0446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BA68DCE" w14:textId="77777777">
            <w:r w:rsidRPr="001F6339">
              <w:t>0,0338</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F9AEEAD"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5C350B1" w14:textId="77777777">
            <w:r w:rsidRPr="001F6339">
              <w:t xml:space="preserve">5.314 </w:t>
            </w:r>
            <w:proofErr w:type="spellStart"/>
            <w:r w:rsidRPr="001F6339">
              <w:t>mln</w:t>
            </w:r>
            <w:proofErr w:type="spellEnd"/>
            <w:r w:rsidRPr="001F6339">
              <w:t>.</w:t>
            </w:r>
          </w:p>
        </w:tc>
      </w:tr>
      <w:tr w:rsidRPr="001F6339" w:rsidR="001A1AE5" w:rsidTr="00A917F0" w14:paraId="4C133211"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2AB353B0" w14:textId="77777777">
            <w:pPr>
              <w:rPr>
                <w:b/>
                <w:bCs/>
              </w:rPr>
            </w:pPr>
            <w:r w:rsidRPr="001F6339">
              <w:rPr>
                <w:b/>
                <w:bCs/>
              </w:rPr>
              <w:t>2021</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C9E44D4" w14:textId="77777777">
            <w:r w:rsidRPr="001F6339">
              <w:t>0,4337</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EC35435" w14:textId="77777777">
            <w:r w:rsidRPr="001F6339">
              <w:t>0,0890</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6822AE7" w14:textId="77777777">
            <w:r w:rsidRPr="001F6339">
              <w:t>0,0471</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AB4BBDC" w14:textId="77777777">
            <w:r w:rsidRPr="001F6339">
              <w:t>0,0360</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2979587"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C503523" w14:textId="77777777">
            <w:r w:rsidRPr="001F6339">
              <w:t xml:space="preserve">5.873 </w:t>
            </w:r>
            <w:proofErr w:type="spellStart"/>
            <w:r w:rsidRPr="001F6339">
              <w:t>mln</w:t>
            </w:r>
            <w:proofErr w:type="spellEnd"/>
            <w:r w:rsidRPr="001F6339">
              <w:t>.</w:t>
            </w:r>
          </w:p>
        </w:tc>
      </w:tr>
      <w:tr w:rsidRPr="001F6339" w:rsidR="001A1AE5" w:rsidTr="00A917F0" w14:paraId="6943B360"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1774926A" w14:textId="77777777">
            <w:pPr>
              <w:rPr>
                <w:b/>
                <w:bCs/>
              </w:rPr>
            </w:pPr>
            <w:r w:rsidRPr="001F6339">
              <w:rPr>
                <w:b/>
                <w:bCs/>
              </w:rPr>
              <w:t>2022</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E21B6FC" w14:textId="77777777">
            <w:r w:rsidRPr="001F6339">
              <w:t>0,4497</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E75D085" w14:textId="77777777">
            <w:r w:rsidRPr="001F6339">
              <w:t>0,0902</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8CD323E" w14:textId="77777777">
            <w:r w:rsidRPr="001F6339">
              <w:t>0,0478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30D49A4" w14:textId="77777777">
            <w:r w:rsidRPr="001F6339">
              <w:t>0,0366</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FCEFF9C" w14:textId="77777777">
            <w:r w:rsidRPr="001F6339">
              <w:t xml:space="preserve">21% </w:t>
            </w:r>
            <w:proofErr w:type="spellStart"/>
            <w:r w:rsidRPr="001F6339">
              <w:t>tot</w:t>
            </w:r>
            <w:proofErr w:type="spellEnd"/>
            <w:r w:rsidRPr="001F6339">
              <w:t xml:space="preserve"> 1 </w:t>
            </w:r>
            <w:proofErr w:type="spellStart"/>
            <w:r w:rsidRPr="001F6339">
              <w:t>juli</w:t>
            </w:r>
            <w:proofErr w:type="spellEnd"/>
            <w:r w:rsidRPr="001F6339">
              <w:t xml:space="preserve"> </w:t>
            </w:r>
          </w:p>
          <w:p w:rsidRPr="001F6339" w:rsidR="001A1AE5" w:rsidP="00A917F0" w:rsidRDefault="001A1AE5" w14:paraId="1330ADC9" w14:textId="77777777">
            <w:r w:rsidRPr="001F6339">
              <w:t xml:space="preserve">9% </w:t>
            </w:r>
            <w:proofErr w:type="spellStart"/>
            <w:r w:rsidRPr="001F6339">
              <w:t>vanaf</w:t>
            </w:r>
            <w:proofErr w:type="spellEnd"/>
            <w:r w:rsidRPr="001F6339">
              <w:t xml:space="preserve"> 1 </w:t>
            </w:r>
            <w:proofErr w:type="spellStart"/>
            <w:r w:rsidRPr="001F6339">
              <w:t>juli</w:t>
            </w:r>
            <w:proofErr w:type="spellEnd"/>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D87AEA4" w14:textId="77777777">
            <w:r w:rsidRPr="001F6339">
              <w:t xml:space="preserve">5.413 </w:t>
            </w:r>
            <w:proofErr w:type="spellStart"/>
            <w:r w:rsidRPr="001F6339">
              <w:t>mln</w:t>
            </w:r>
            <w:proofErr w:type="spellEnd"/>
            <w:r w:rsidRPr="001F6339">
              <w:t>.</w:t>
            </w:r>
          </w:p>
        </w:tc>
      </w:tr>
      <w:tr w:rsidRPr="001F6339" w:rsidR="001A1AE5" w:rsidTr="00A917F0" w14:paraId="2C3E4F7E"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54555FF" w14:textId="77777777">
            <w:pPr>
              <w:rPr>
                <w:b/>
                <w:bCs/>
              </w:rPr>
            </w:pPr>
            <w:r w:rsidRPr="001F6339">
              <w:rPr>
                <w:b/>
                <w:bCs/>
              </w:rPr>
              <w:t>2023</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000F599" w14:textId="77777777">
            <w:r w:rsidRPr="001F6339">
              <w:t>0,4898</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FDABFE1" w14:textId="77777777">
            <w:r w:rsidRPr="001F6339">
              <w:t>0,0962</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5FFF7A5" w14:textId="77777777">
            <w:r w:rsidRPr="001F6339">
              <w:t>0,0511</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7CC7E22" w14:textId="77777777">
            <w:r w:rsidRPr="001F6339">
              <w:t>0,0392</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B0FCEAA"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8785AC0" w14:textId="77777777">
            <w:r w:rsidRPr="001F6339">
              <w:t xml:space="preserve">4.329 </w:t>
            </w:r>
            <w:proofErr w:type="spellStart"/>
            <w:r w:rsidRPr="001F6339">
              <w:t>mln</w:t>
            </w:r>
            <w:proofErr w:type="spellEnd"/>
            <w:r w:rsidRPr="001F6339">
              <w:t>.</w:t>
            </w:r>
          </w:p>
        </w:tc>
      </w:tr>
      <w:tr w:rsidRPr="001F6339" w:rsidR="001A1AE5" w:rsidTr="00A917F0" w14:paraId="1ACF9CF5"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D7C6325" w14:textId="77777777">
            <w:pPr>
              <w:rPr>
                <w:b/>
                <w:bCs/>
              </w:rPr>
            </w:pPr>
            <w:r w:rsidRPr="001F6339">
              <w:rPr>
                <w:b/>
                <w:bCs/>
              </w:rPr>
              <w:t>2024</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7F4827E" w14:textId="77777777">
            <w:r w:rsidRPr="001F6339">
              <w:t>0,5830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5A3F05F2" w14:textId="77777777">
            <w:r w:rsidRPr="001F6339">
              <w:t>0,2238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ED3FD84" w14:textId="77777777">
            <w:r w:rsidRPr="001F6339">
              <w:t>0,1286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5B17A4E" w14:textId="77777777">
            <w:r w:rsidRPr="001F6339">
              <w:t>0,0489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4ADFBDE"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1A46552" w14:textId="77777777">
            <w:r w:rsidRPr="001F6339">
              <w:t xml:space="preserve">6.066 </w:t>
            </w:r>
            <w:proofErr w:type="spellStart"/>
            <w:r w:rsidRPr="001F6339">
              <w:t>mln</w:t>
            </w:r>
            <w:proofErr w:type="spellEnd"/>
            <w:r w:rsidRPr="001F6339">
              <w:t>.</w:t>
            </w:r>
          </w:p>
        </w:tc>
      </w:tr>
      <w:tr w:rsidRPr="001F6339" w:rsidR="001A1AE5" w:rsidTr="00A917F0" w14:paraId="6BD08DEA"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29C53641" w14:textId="77777777">
            <w:pPr>
              <w:rPr>
                <w:b/>
                <w:bCs/>
              </w:rPr>
            </w:pPr>
            <w:r w:rsidRPr="001F6339">
              <w:rPr>
                <w:b/>
                <w:bCs/>
              </w:rPr>
              <w:t>2025</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DBF1307" w14:textId="77777777">
            <w:r w:rsidRPr="001F6339">
              <w:t>0,5782</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649A03C" w14:textId="77777777">
            <w:r w:rsidRPr="001F6339">
              <w:t>0,3157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1951832" w14:textId="77777777">
            <w:r w:rsidRPr="001F6339">
              <w:t>0,2035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FCDF1BB" w14:textId="77777777">
            <w:r w:rsidRPr="001F6339">
              <w:t>0,0539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ABF7C49" w14:textId="77777777">
            <w:r w:rsidRPr="001F6339">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F0FCA4C" w14:textId="77777777">
            <w:r w:rsidRPr="001F6339">
              <w:t xml:space="preserve">6.125 </w:t>
            </w:r>
            <w:proofErr w:type="spellStart"/>
            <w:r w:rsidRPr="001F6339">
              <w:t>mln</w:t>
            </w:r>
            <w:proofErr w:type="spellEnd"/>
            <w:r w:rsidRPr="001F6339">
              <w:t>.</w:t>
            </w:r>
          </w:p>
        </w:tc>
      </w:tr>
    </w:tbl>
    <w:p w:rsidRPr="001F6339" w:rsidR="001A1AE5" w:rsidP="001A1AE5" w:rsidRDefault="001A1AE5" w14:paraId="3AE12EB6" w14:textId="77777777"/>
    <w:p w:rsidRPr="001F6339" w:rsidR="001A1AE5" w:rsidP="001A1AE5" w:rsidRDefault="001A1AE5" w14:paraId="6BC9DAC0" w14:textId="77777777">
      <w:pPr>
        <w:rPr>
          <w:i/>
          <w:iCs/>
        </w:rPr>
      </w:pPr>
      <w:r w:rsidRPr="001F6339">
        <w:rPr>
          <w:i/>
          <w:iCs/>
        </w:rPr>
        <w:t>Tabel 2: Energiebelasting, ODE en btw op elektriciteit</w:t>
      </w:r>
    </w:p>
    <w:tbl>
      <w:tblPr>
        <w:tblStyle w:val="Tabelraster"/>
        <w:tblW w:w="9199" w:type="dxa"/>
        <w:tblLook w:val="04A0" w:firstRow="1" w:lastRow="0" w:firstColumn="1" w:lastColumn="0" w:noHBand="0" w:noVBand="1"/>
      </w:tblPr>
      <w:tblGrid>
        <w:gridCol w:w="785"/>
        <w:gridCol w:w="1338"/>
        <w:gridCol w:w="1128"/>
        <w:gridCol w:w="1499"/>
        <w:gridCol w:w="1499"/>
        <w:gridCol w:w="1353"/>
        <w:gridCol w:w="2100"/>
      </w:tblGrid>
      <w:tr w:rsidRPr="001F6339" w:rsidR="001A1AE5" w:rsidTr="00A917F0" w14:paraId="220C0EFB" w14:textId="77777777">
        <w:trPr>
          <w:trHeight w:val="250"/>
        </w:trPr>
        <w:tc>
          <w:tcPr>
            <w:tcW w:w="728"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9D9E166" w14:textId="77777777">
            <w:pPr>
              <w:rPr>
                <w:b/>
                <w:bCs/>
              </w:rPr>
            </w:pPr>
            <w:r w:rsidRPr="001F6339">
              <w:rPr>
                <w:b/>
                <w:bCs/>
              </w:rPr>
              <w:t>Jaar</w:t>
            </w:r>
          </w:p>
        </w:tc>
        <w:tc>
          <w:tcPr>
            <w:tcW w:w="5206" w:type="dxa"/>
            <w:gridSpan w:val="4"/>
            <w:tcBorders>
              <w:top w:val="single" w:color="auto" w:sz="4" w:space="0"/>
              <w:left w:val="single" w:color="auto" w:sz="4" w:space="0"/>
              <w:bottom w:val="single" w:color="auto" w:sz="4" w:space="0"/>
              <w:right w:val="single" w:color="auto" w:sz="4" w:space="0"/>
            </w:tcBorders>
            <w:noWrap/>
            <w:vAlign w:val="center"/>
            <w:hideMark/>
          </w:tcPr>
          <w:p w:rsidRPr="001A1AE5" w:rsidR="001A1AE5" w:rsidP="00A917F0" w:rsidRDefault="001A1AE5" w14:paraId="76A8E463" w14:textId="77777777">
            <w:pPr>
              <w:rPr>
                <w:b/>
                <w:bCs/>
                <w:lang w:val="nl-NL"/>
              </w:rPr>
            </w:pPr>
            <w:r w:rsidRPr="001A1AE5">
              <w:rPr>
                <w:b/>
                <w:bCs/>
                <w:lang w:val="nl-NL"/>
              </w:rPr>
              <w:t xml:space="preserve">Tarief energiebelasting + ODE in euro per </w:t>
            </w:r>
            <w:proofErr w:type="spellStart"/>
            <w:r w:rsidRPr="001A1AE5">
              <w:rPr>
                <w:b/>
                <w:bCs/>
                <w:lang w:val="nl-NL"/>
              </w:rPr>
              <w:t>kwh</w:t>
            </w:r>
            <w:proofErr w:type="spellEnd"/>
          </w:p>
        </w:tc>
        <w:tc>
          <w:tcPr>
            <w:tcW w:w="1353"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84E9E1B" w14:textId="77777777">
            <w:pPr>
              <w:rPr>
                <w:b/>
                <w:bCs/>
              </w:rPr>
            </w:pPr>
            <w:r w:rsidRPr="001F6339">
              <w:rPr>
                <w:b/>
                <w:bCs/>
              </w:rPr>
              <w:t>Btw %</w:t>
            </w:r>
          </w:p>
        </w:tc>
        <w:tc>
          <w:tcPr>
            <w:tcW w:w="1912"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B143A45" w14:textId="77777777">
            <w:pPr>
              <w:rPr>
                <w:b/>
                <w:bCs/>
              </w:rPr>
            </w:pPr>
            <w:proofErr w:type="spellStart"/>
            <w:r w:rsidRPr="001F6339">
              <w:rPr>
                <w:b/>
                <w:bCs/>
              </w:rPr>
              <w:t>Opbrengst</w:t>
            </w:r>
            <w:proofErr w:type="spellEnd"/>
            <w:r w:rsidRPr="001F6339">
              <w:rPr>
                <w:b/>
                <w:bCs/>
              </w:rPr>
              <w:t xml:space="preserve"> </w:t>
            </w:r>
            <w:proofErr w:type="spellStart"/>
            <w:r w:rsidRPr="001F6339">
              <w:rPr>
                <w:b/>
                <w:bCs/>
              </w:rPr>
              <w:t>energiebelasting</w:t>
            </w:r>
            <w:proofErr w:type="spellEnd"/>
            <w:r w:rsidRPr="001F6339">
              <w:rPr>
                <w:b/>
                <w:bCs/>
              </w:rPr>
              <w:t xml:space="preserve"> en ODE</w:t>
            </w:r>
            <w:r w:rsidRPr="001F6339">
              <w:rPr>
                <w:b/>
                <w:bCs/>
                <w:vertAlign w:val="superscript"/>
              </w:rPr>
              <w:footnoteReference w:id="4"/>
            </w:r>
          </w:p>
        </w:tc>
      </w:tr>
      <w:tr w:rsidRPr="001F6339" w:rsidR="001A1AE5" w:rsidTr="00A917F0" w14:paraId="05A8F054"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3A78993" w14:textId="77777777">
            <w:pPr>
              <w:rPr>
                <w:b/>
                <w:bCs/>
              </w:rPr>
            </w:pPr>
          </w:p>
        </w:tc>
        <w:tc>
          <w:tcPr>
            <w:tcW w:w="133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0D55B6CE" w14:textId="77777777">
            <w:pPr>
              <w:rPr>
                <w:b/>
                <w:bCs/>
              </w:rPr>
            </w:pPr>
            <w:r w:rsidRPr="001F6339">
              <w:rPr>
                <w:b/>
                <w:bCs/>
              </w:rPr>
              <w:t>0-10.000 kWh</w:t>
            </w:r>
            <w:r w:rsidRPr="001F6339">
              <w:rPr>
                <w:b/>
                <w:bCs/>
                <w:vertAlign w:val="superscript"/>
              </w:rPr>
              <w:footnoteReference w:id="5"/>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C52AD9E" w14:textId="77777777">
            <w:pPr>
              <w:rPr>
                <w:b/>
                <w:bCs/>
              </w:rPr>
            </w:pPr>
            <w:r w:rsidRPr="001F6339">
              <w:rPr>
                <w:b/>
                <w:bCs/>
              </w:rPr>
              <w:t>10.001- 50.000 kwh</w:t>
            </w:r>
          </w:p>
        </w:tc>
        <w:tc>
          <w:tcPr>
            <w:tcW w:w="1370"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7ADB4363" w14:textId="77777777">
            <w:pPr>
              <w:rPr>
                <w:b/>
                <w:bCs/>
              </w:rPr>
            </w:pPr>
            <w:r w:rsidRPr="001F6339">
              <w:rPr>
                <w:b/>
                <w:bCs/>
              </w:rPr>
              <w:t>50.001-10.000.000 kwh</w:t>
            </w:r>
          </w:p>
        </w:tc>
        <w:tc>
          <w:tcPr>
            <w:tcW w:w="1370"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48B5279F" w14:textId="77777777">
            <w:pPr>
              <w:rPr>
                <w:b/>
                <w:bCs/>
              </w:rPr>
            </w:pPr>
            <w:r w:rsidRPr="001F6339">
              <w:rPr>
                <w:b/>
                <w:bCs/>
              </w:rPr>
              <w:t>&gt; 10.000.000 kwh</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8BDE5F0" w14:textId="77777777">
            <w:pPr>
              <w:rPr>
                <w:b/>
                <w:bC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582B0699" w14:textId="77777777">
            <w:pPr>
              <w:rPr>
                <w:b/>
                <w:bCs/>
              </w:rPr>
            </w:pPr>
          </w:p>
        </w:tc>
      </w:tr>
      <w:tr w:rsidRPr="001F6339" w:rsidR="001A1AE5" w:rsidTr="00A917F0" w14:paraId="56CC06E0" w14:textId="77777777">
        <w:trPr>
          <w:trHeight w:val="538"/>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D188AB3" w14:textId="77777777">
            <w:pPr>
              <w:rPr>
                <w:b/>
                <w:bCs/>
              </w:rPr>
            </w:pPr>
            <w:r w:rsidRPr="001F6339">
              <w:rPr>
                <w:b/>
                <w:bCs/>
              </w:rPr>
              <w:t>2011</w:t>
            </w:r>
          </w:p>
        </w:tc>
        <w:tc>
          <w:tcPr>
            <w:tcW w:w="1338"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18DDA1A" w14:textId="77777777">
            <w:r w:rsidRPr="001F6339">
              <w:t xml:space="preserve"> 0,1121</w:t>
            </w:r>
          </w:p>
        </w:tc>
        <w:tc>
          <w:tcPr>
            <w:tcW w:w="1128"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69F518EB" w14:textId="77777777">
            <w:r w:rsidRPr="001F6339">
              <w:t xml:space="preserve"> 0,0408 </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AC9EAC6" w14:textId="77777777">
            <w:r w:rsidRPr="001F6339">
              <w:t xml:space="preserve"> 0,0109</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F40B45A" w14:textId="77777777">
            <w:r w:rsidRPr="001F6339">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053B570" w14:textId="77777777">
            <w:r w:rsidRPr="001F6339">
              <w:t>19%</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0664743D" w14:textId="77777777"/>
        </w:tc>
      </w:tr>
      <w:tr w:rsidRPr="001F6339" w:rsidR="001A1AE5" w:rsidTr="00A917F0" w14:paraId="566BE068" w14:textId="77777777">
        <w:trPr>
          <w:trHeight w:val="538"/>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C309A7C" w14:textId="77777777">
            <w:pPr>
              <w:rPr>
                <w:b/>
                <w:bCs/>
              </w:rPr>
            </w:pPr>
            <w:r w:rsidRPr="001F6339">
              <w:rPr>
                <w:b/>
                <w:bCs/>
              </w:rPr>
              <w:t>2012</w:t>
            </w:r>
          </w:p>
        </w:tc>
        <w:tc>
          <w:tcPr>
            <w:tcW w:w="1338"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FA38275" w14:textId="77777777">
            <w:r w:rsidRPr="001F6339">
              <w:t xml:space="preserve"> 0,1140</w:t>
            </w:r>
          </w:p>
        </w:tc>
        <w:tc>
          <w:tcPr>
            <w:tcW w:w="1128"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ED07C46" w14:textId="77777777">
            <w:r w:rsidRPr="001F6339">
              <w:t xml:space="preserve"> 0,0415 </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F3C64FD" w14:textId="77777777">
            <w:r w:rsidRPr="001F6339">
              <w:t xml:space="preserve"> 0,0111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AFB3CC3" w14:textId="77777777">
            <w:r w:rsidRPr="001F6339">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356F29D"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59A6287B" w14:textId="77777777"/>
        </w:tc>
      </w:tr>
      <w:tr w:rsidRPr="001F6339" w:rsidR="001A1AE5" w:rsidTr="00A917F0" w14:paraId="01DB199F"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38CDAF0" w14:textId="77777777">
            <w:pPr>
              <w:rPr>
                <w:b/>
                <w:bCs/>
              </w:rPr>
            </w:pPr>
            <w:r w:rsidRPr="001F6339">
              <w:rPr>
                <w:b/>
                <w:bCs/>
              </w:rPr>
              <w:t>2013</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DB7E4E8" w14:textId="77777777">
            <w:r w:rsidRPr="001F6339">
              <w:t xml:space="preserve"> 0,1176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2D56935" w14:textId="77777777">
            <w:r w:rsidRPr="001F6339">
              <w:t xml:space="preserve"> 0,0438 </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031D052" w14:textId="77777777">
            <w:r w:rsidRPr="001F6339">
              <w:t xml:space="preserve"> 0,0117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211D13A" w14:textId="77777777">
            <w:r w:rsidRPr="001F6339">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094663A"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182295D7" w14:textId="77777777"/>
        </w:tc>
      </w:tr>
      <w:tr w:rsidRPr="001F6339" w:rsidR="001A1AE5" w:rsidTr="00A917F0" w14:paraId="37FED33B"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D72AB4C" w14:textId="77777777">
            <w:pPr>
              <w:rPr>
                <w:b/>
                <w:bCs/>
              </w:rPr>
            </w:pPr>
            <w:r w:rsidRPr="001F6339">
              <w:rPr>
                <w:b/>
                <w:bCs/>
              </w:rPr>
              <w:t>2014</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32267D7" w14:textId="77777777">
            <w:r w:rsidRPr="001F6339">
              <w:t xml:space="preserve"> 0,1208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19F67CCC" w14:textId="77777777">
            <w:r w:rsidRPr="001F6339">
              <w:t xml:space="preserve"> 0,0458 </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01E61D9" w14:textId="77777777">
            <w:r w:rsidRPr="001F6339">
              <w:t xml:space="preserve"> 0,0122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89C7D1A" w14:textId="77777777">
            <w:r w:rsidRPr="001F6339">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6781BEC"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38D3FF88" w14:textId="77777777"/>
        </w:tc>
      </w:tr>
      <w:tr w:rsidRPr="001F6339" w:rsidR="001A1AE5" w:rsidTr="00A917F0" w14:paraId="1868BDC4"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5FA5B92" w14:textId="77777777">
            <w:pPr>
              <w:rPr>
                <w:b/>
                <w:bCs/>
              </w:rPr>
            </w:pPr>
            <w:r w:rsidRPr="001F6339">
              <w:rPr>
                <w:b/>
                <w:bCs/>
              </w:rPr>
              <w:t>2015</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097C16A" w14:textId="77777777">
            <w:r w:rsidRPr="001F6339">
              <w:t xml:space="preserve"> 0,1232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8E3BD06" w14:textId="77777777">
            <w:r w:rsidRPr="001F6339">
              <w:t xml:space="preserve"> 0,0515 </w:t>
            </w:r>
          </w:p>
        </w:tc>
        <w:tc>
          <w:tcPr>
            <w:tcW w:w="1370"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63D76DE3" w14:textId="77777777">
            <w:r w:rsidRPr="001F6339">
              <w:t xml:space="preserve"> 0,0137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A9F8E15" w14:textId="77777777">
            <w:r w:rsidRPr="001F6339">
              <w:t xml:space="preserve"> 0,0006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61A95B2"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34ED8DE1" w14:textId="77777777"/>
        </w:tc>
      </w:tr>
      <w:tr w:rsidRPr="001F6339" w:rsidR="001A1AE5" w:rsidTr="00A917F0" w14:paraId="46458C13"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544D78E" w14:textId="77777777">
            <w:pPr>
              <w:rPr>
                <w:b/>
                <w:bCs/>
              </w:rPr>
            </w:pPr>
            <w:r w:rsidRPr="001F6339">
              <w:rPr>
                <w:b/>
                <w:bCs/>
              </w:rPr>
              <w:t>2016</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D0E23C6" w14:textId="77777777">
            <w:r w:rsidRPr="001F6339">
              <w:t xml:space="preserve"> 0,1063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27F3DD1" w14:textId="77777777">
            <w:r w:rsidRPr="001F6339">
              <w:t xml:space="preserve"> 0,0570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673616D" w14:textId="77777777">
            <w:r w:rsidRPr="001F6339">
              <w:t xml:space="preserve"> 0,0152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36D7F05" w14:textId="77777777">
            <w:r w:rsidRPr="001F6339">
              <w:t xml:space="preserve"> 0,0006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AAEB64A"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0B93F5B3" w14:textId="77777777"/>
        </w:tc>
      </w:tr>
      <w:tr w:rsidRPr="001F6339" w:rsidR="001A1AE5" w:rsidTr="00A917F0" w14:paraId="63E21C08"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751B89A5" w14:textId="77777777">
            <w:pPr>
              <w:rPr>
                <w:b/>
                <w:bCs/>
              </w:rPr>
            </w:pPr>
            <w:r w:rsidRPr="001F6339">
              <w:rPr>
                <w:b/>
                <w:bCs/>
              </w:rPr>
              <w:t>2017</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C7C697D" w14:textId="77777777">
            <w:r w:rsidRPr="001F6339">
              <w:t xml:space="preserve"> 0,1087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BE7C5A4" w14:textId="77777777">
            <w:r w:rsidRPr="001F6339">
              <w:t xml:space="preserve"> 0,0613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595E743" w14:textId="77777777">
            <w:r w:rsidRPr="001F6339">
              <w:t xml:space="preserve"> 0,0164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2D5E880" w14:textId="77777777">
            <w:r w:rsidRPr="001F6339">
              <w:t xml:space="preserve"> 0,0007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13457DAC"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6BF2FD08" w14:textId="77777777"/>
        </w:tc>
      </w:tr>
      <w:tr w:rsidRPr="001F6339" w:rsidR="001A1AE5" w:rsidTr="00A917F0" w14:paraId="3F410BE5"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745A501F" w14:textId="77777777">
            <w:pPr>
              <w:rPr>
                <w:b/>
                <w:bCs/>
              </w:rPr>
            </w:pPr>
            <w:r w:rsidRPr="001F6339">
              <w:rPr>
                <w:b/>
                <w:bCs/>
              </w:rPr>
              <w:t>2018</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7C0A0B5" w14:textId="77777777">
            <w:r w:rsidRPr="001F6339">
              <w:t xml:space="preserve"> 0,1178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3E22BE0" w14:textId="77777777">
            <w:r w:rsidRPr="001F6339">
              <w:t xml:space="preserve"> 0,0707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6BA0E56" w14:textId="77777777">
            <w:r w:rsidRPr="001F6339">
              <w:t xml:space="preserve"> 0,0188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AC4CA8A" w14:textId="77777777">
            <w:r w:rsidRPr="001F6339">
              <w:t xml:space="preserve"> 0,0008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A9AED0C"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1484A1D4" w14:textId="77777777"/>
        </w:tc>
      </w:tr>
      <w:tr w:rsidRPr="001F6339" w:rsidR="001A1AE5" w:rsidTr="00A917F0" w14:paraId="1AEE7EA0"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D722DC7" w14:textId="77777777">
            <w:pPr>
              <w:rPr>
                <w:b/>
                <w:bCs/>
              </w:rPr>
            </w:pPr>
            <w:r w:rsidRPr="001F6339">
              <w:rPr>
                <w:b/>
                <w:bCs/>
              </w:rPr>
              <w:t>2019</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053001C" w14:textId="77777777">
            <w:r w:rsidRPr="001F6339">
              <w:t xml:space="preserve"> 0,1175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B3823B0" w14:textId="77777777">
            <w:r w:rsidRPr="001F6339">
              <w:t xml:space="preserve"> 0,0812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3BDF7E5" w14:textId="77777777">
            <w:r w:rsidRPr="001F6339">
              <w:t xml:space="preserve"> 0,0216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9DBE7D5" w14:textId="77777777">
            <w:r w:rsidRPr="001F6339">
              <w:t xml:space="preserve"> 0,0009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4598F79"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A1AE5" w:rsidP="00A917F0" w:rsidRDefault="001A1AE5" w14:paraId="0AE1FE89" w14:textId="77777777"/>
        </w:tc>
      </w:tr>
      <w:tr w:rsidRPr="001F6339" w:rsidR="001A1AE5" w:rsidTr="00A917F0" w14:paraId="564ACA1F"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A7C8416" w14:textId="77777777">
            <w:pPr>
              <w:rPr>
                <w:b/>
                <w:bCs/>
              </w:rPr>
            </w:pPr>
            <w:r w:rsidRPr="001F6339">
              <w:rPr>
                <w:b/>
                <w:bCs/>
              </w:rPr>
              <w:t>2020</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5E4102B" w14:textId="77777777">
            <w:r w:rsidRPr="001F6339">
              <w:t xml:space="preserve"> 0,1250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94D02BC" w14:textId="77777777">
            <w:r w:rsidRPr="001F6339">
              <w:t xml:space="preserve"> 0,0883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A6EBA37" w14:textId="77777777">
            <w:r w:rsidRPr="001F6339">
              <w:t xml:space="preserve"> 0,0340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4EABA9A" w14:textId="77777777">
            <w:r w:rsidRPr="001F6339">
              <w:t xml:space="preserve"> 0,0010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1C0591FF"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1CBE9445" w14:textId="77777777">
            <w:r w:rsidRPr="001F6339">
              <w:t xml:space="preserve">4.912 </w:t>
            </w:r>
            <w:proofErr w:type="spellStart"/>
            <w:r w:rsidRPr="001F6339">
              <w:t>mln</w:t>
            </w:r>
            <w:proofErr w:type="spellEnd"/>
            <w:r w:rsidRPr="001F6339">
              <w:t>.</w:t>
            </w:r>
          </w:p>
        </w:tc>
      </w:tr>
      <w:tr w:rsidRPr="001F6339" w:rsidR="001A1AE5" w:rsidTr="00A917F0" w14:paraId="5745FBC5"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0E38E3CD" w14:textId="77777777">
            <w:pPr>
              <w:rPr>
                <w:b/>
                <w:bCs/>
              </w:rPr>
            </w:pPr>
            <w:r w:rsidRPr="001F6339">
              <w:rPr>
                <w:b/>
                <w:bCs/>
              </w:rPr>
              <w:t>2021</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787EF76" w14:textId="77777777">
            <w:r w:rsidRPr="001F6339">
              <w:t xml:space="preserve"> 0,1243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4FA6059" w14:textId="77777777">
            <w:r w:rsidRPr="001F6339">
              <w:t xml:space="preserve"> 0,0927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44F3868" w14:textId="77777777">
            <w:r w:rsidRPr="001F6339">
              <w:t xml:space="preserve"> 0,0363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E33D436" w14:textId="77777777">
            <w:r w:rsidRPr="001F6339">
              <w:t xml:space="preserve"> 0,0010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1560DAB6"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FB32958" w14:textId="77777777">
            <w:r w:rsidRPr="001F6339">
              <w:t xml:space="preserve">4.991 </w:t>
            </w:r>
            <w:proofErr w:type="spellStart"/>
            <w:r w:rsidRPr="001F6339">
              <w:t>mln</w:t>
            </w:r>
            <w:proofErr w:type="spellEnd"/>
            <w:r w:rsidRPr="001F6339">
              <w:t>.</w:t>
            </w:r>
          </w:p>
        </w:tc>
      </w:tr>
      <w:tr w:rsidRPr="001F6339" w:rsidR="001A1AE5" w:rsidTr="00A917F0" w14:paraId="01BD0600"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32D89680" w14:textId="77777777">
            <w:pPr>
              <w:rPr>
                <w:b/>
                <w:bCs/>
              </w:rPr>
            </w:pPr>
            <w:r w:rsidRPr="001F6339">
              <w:rPr>
                <w:b/>
                <w:bCs/>
              </w:rPr>
              <w:t>2022</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A126F7D" w14:textId="77777777">
            <w:r w:rsidRPr="001F6339">
              <w:t xml:space="preserve"> 0,0673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04BD0B8" w14:textId="77777777">
            <w:r w:rsidRPr="001F6339">
              <w:t xml:space="preserve"> 0,0854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27931988" w14:textId="77777777">
            <w:r w:rsidRPr="001F6339">
              <w:t xml:space="preserve"> 0,0348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1474574" w14:textId="77777777">
            <w:r w:rsidRPr="001F6339">
              <w:t xml:space="preserve"> 0,0011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640652F" w14:textId="77777777">
            <w:r w:rsidRPr="001F6339">
              <w:t xml:space="preserve">21% </w:t>
            </w:r>
            <w:proofErr w:type="spellStart"/>
            <w:r w:rsidRPr="001F6339">
              <w:t>tot</w:t>
            </w:r>
            <w:proofErr w:type="spellEnd"/>
            <w:r w:rsidRPr="001F6339">
              <w:t xml:space="preserve"> 1 </w:t>
            </w:r>
            <w:proofErr w:type="spellStart"/>
            <w:r w:rsidRPr="001F6339">
              <w:t>juli</w:t>
            </w:r>
            <w:proofErr w:type="spellEnd"/>
            <w:r w:rsidRPr="001F6339">
              <w:t xml:space="preserve"> </w:t>
            </w:r>
          </w:p>
          <w:p w:rsidRPr="001F6339" w:rsidR="001A1AE5" w:rsidP="00A917F0" w:rsidRDefault="001A1AE5" w14:paraId="5F768115" w14:textId="77777777">
            <w:r w:rsidRPr="001F6339">
              <w:t xml:space="preserve">9% </w:t>
            </w:r>
            <w:proofErr w:type="spellStart"/>
            <w:r w:rsidRPr="001F6339">
              <w:t>vanaf</w:t>
            </w:r>
            <w:proofErr w:type="spellEnd"/>
            <w:r w:rsidRPr="001F6339">
              <w:t xml:space="preserve"> 1 </w:t>
            </w:r>
            <w:proofErr w:type="spellStart"/>
            <w:r w:rsidRPr="001F6339">
              <w:t>juli</w:t>
            </w:r>
            <w:proofErr w:type="spellEnd"/>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042E7A1" w14:textId="77777777">
            <w:r w:rsidRPr="001F6339">
              <w:t xml:space="preserve">3.487 </w:t>
            </w:r>
            <w:proofErr w:type="spellStart"/>
            <w:r w:rsidRPr="001F6339">
              <w:t>mln</w:t>
            </w:r>
            <w:proofErr w:type="spellEnd"/>
            <w:r w:rsidRPr="001F6339">
              <w:t>.</w:t>
            </w:r>
          </w:p>
        </w:tc>
      </w:tr>
      <w:tr w:rsidRPr="001F6339" w:rsidR="001A1AE5" w:rsidTr="00A917F0" w14:paraId="1E637A76"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4B9BE0CD" w14:textId="77777777">
            <w:pPr>
              <w:rPr>
                <w:b/>
                <w:bCs/>
              </w:rPr>
            </w:pPr>
            <w:r w:rsidRPr="001F6339">
              <w:rPr>
                <w:b/>
                <w:bCs/>
              </w:rPr>
              <w:t>2023</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60BF829" w14:textId="77777777">
            <w:r w:rsidRPr="001F6339">
              <w:t xml:space="preserve"> 0,1260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43C05A7" w14:textId="77777777">
            <w:r w:rsidRPr="001F6339">
              <w:t xml:space="preserve"> 0,1005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DB19975" w14:textId="77777777">
            <w:r w:rsidRPr="001F6339">
              <w:t xml:space="preserve"> 0,0394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158E369" w14:textId="77777777">
            <w:r w:rsidRPr="001F6339">
              <w:t xml:space="preserve"> 0,0012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A191F0A"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30C8B20D" w14:textId="77777777">
            <w:r w:rsidRPr="001F6339">
              <w:t xml:space="preserve">4.387 </w:t>
            </w:r>
            <w:proofErr w:type="spellStart"/>
            <w:r w:rsidRPr="001F6339">
              <w:t>mln</w:t>
            </w:r>
            <w:proofErr w:type="spellEnd"/>
            <w:r w:rsidRPr="001F6339">
              <w:t>.</w:t>
            </w:r>
          </w:p>
        </w:tc>
      </w:tr>
      <w:tr w:rsidRPr="001F6339" w:rsidR="001A1AE5" w:rsidTr="00A917F0" w14:paraId="1190827A"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95DBD42" w14:textId="77777777">
            <w:pPr>
              <w:rPr>
                <w:b/>
                <w:bCs/>
              </w:rPr>
            </w:pPr>
            <w:r w:rsidRPr="001F6339">
              <w:rPr>
                <w:b/>
                <w:bCs/>
              </w:rPr>
              <w:t>2024</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C327640" w14:textId="77777777">
            <w:r w:rsidRPr="001F6339">
              <w:t xml:space="preserve"> 0,1088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6EF56F5" w14:textId="77777777">
            <w:r w:rsidRPr="001F6339">
              <w:t xml:space="preserve"> 0,0904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6E7C972" w14:textId="77777777">
            <w:r w:rsidRPr="001F6339">
              <w:t xml:space="preserve"> 0,0394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65280F73" w14:textId="77777777">
            <w:r w:rsidRPr="001F6339">
              <w:t xml:space="preserve"> 0,0019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4CE5A457"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20DE7739" w14:textId="77777777">
            <w:r w:rsidRPr="001F6339">
              <w:t xml:space="preserve">4.144 </w:t>
            </w:r>
            <w:proofErr w:type="spellStart"/>
            <w:r w:rsidRPr="001F6339">
              <w:t>mln</w:t>
            </w:r>
            <w:proofErr w:type="spellEnd"/>
            <w:r w:rsidRPr="001F6339">
              <w:t>.</w:t>
            </w:r>
          </w:p>
        </w:tc>
      </w:tr>
      <w:tr w:rsidRPr="001F6339" w:rsidR="001A1AE5" w:rsidTr="00A917F0" w14:paraId="36299EB6"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A1AE5" w:rsidP="00A917F0" w:rsidRDefault="001A1AE5" w14:paraId="6FEA41B5" w14:textId="77777777">
            <w:pPr>
              <w:rPr>
                <w:b/>
                <w:bCs/>
              </w:rPr>
            </w:pPr>
            <w:r w:rsidRPr="001F6339">
              <w:rPr>
                <w:b/>
                <w:bCs/>
              </w:rPr>
              <w:t>2025</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8E7B039" w14:textId="77777777">
            <w:r w:rsidRPr="001F6339">
              <w:t xml:space="preserve"> 0,1015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3B602ABD" w14:textId="77777777">
            <w:r w:rsidRPr="001F6339">
              <w:t xml:space="preserve"> 0,0637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735458B1" w14:textId="77777777">
            <w:r w:rsidRPr="001F6339">
              <w:t xml:space="preserve"> 0,0387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05DB7BCF" w14:textId="77777777">
            <w:r w:rsidRPr="001F6339">
              <w:t xml:space="preserve"> 0,0032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A1AE5" w:rsidP="00A917F0" w:rsidRDefault="001A1AE5" w14:paraId="50297144" w14:textId="77777777">
            <w:r w:rsidRPr="001F6339">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A1AE5" w:rsidP="00A917F0" w:rsidRDefault="001A1AE5" w14:paraId="60EB18F7" w14:textId="77777777">
            <w:r w:rsidRPr="001F6339">
              <w:t xml:space="preserve">3.853 </w:t>
            </w:r>
            <w:proofErr w:type="spellStart"/>
            <w:r w:rsidRPr="001F6339">
              <w:t>mln</w:t>
            </w:r>
            <w:proofErr w:type="spellEnd"/>
            <w:r w:rsidRPr="001F6339">
              <w:t>.</w:t>
            </w:r>
          </w:p>
        </w:tc>
      </w:tr>
    </w:tbl>
    <w:p w:rsidRPr="001F6339" w:rsidR="001A1AE5" w:rsidP="001A1AE5" w:rsidRDefault="001A1AE5" w14:paraId="75BA83EE" w14:textId="77777777"/>
    <w:p w:rsidRPr="001F6339" w:rsidR="001A1AE5" w:rsidP="001A1AE5" w:rsidRDefault="001A1AE5" w14:paraId="0F643D2C" w14:textId="77777777">
      <w:pPr>
        <w:rPr>
          <w:i/>
          <w:iCs/>
        </w:rPr>
      </w:pPr>
      <w:r w:rsidRPr="001F6339">
        <w:rPr>
          <w:i/>
          <w:iCs/>
        </w:rPr>
        <w:t>Tabel 3: Belastingvermindering in euro’s</w:t>
      </w:r>
    </w:p>
    <w:tbl>
      <w:tblPr>
        <w:tblStyle w:val="Tabelraster"/>
        <w:tblW w:w="0" w:type="auto"/>
        <w:tblLook w:val="04A0" w:firstRow="1" w:lastRow="0" w:firstColumn="1" w:lastColumn="0" w:noHBand="0" w:noVBand="1"/>
      </w:tblPr>
      <w:tblGrid>
        <w:gridCol w:w="1077"/>
        <w:gridCol w:w="2037"/>
        <w:gridCol w:w="1816"/>
      </w:tblGrid>
      <w:tr w:rsidRPr="001F6339" w:rsidR="001A1AE5" w:rsidTr="00A917F0" w14:paraId="7773268C"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38B7044" w14:textId="77777777">
            <w:pPr>
              <w:rPr>
                <w:b/>
                <w:bCs/>
              </w:rPr>
            </w:pPr>
            <w:r w:rsidRPr="001F6339">
              <w:rPr>
                <w:b/>
                <w:bCs/>
              </w:rPr>
              <w:t>Jaar</w:t>
            </w:r>
          </w:p>
        </w:tc>
        <w:tc>
          <w:tcPr>
            <w:tcW w:w="2037" w:type="dxa"/>
            <w:tcBorders>
              <w:top w:val="single" w:color="auto" w:sz="4" w:space="0"/>
              <w:left w:val="single" w:color="auto" w:sz="4" w:space="0"/>
              <w:bottom w:val="single" w:color="auto" w:sz="4" w:space="0"/>
              <w:right w:val="single" w:color="auto" w:sz="4" w:space="0"/>
            </w:tcBorders>
            <w:hideMark/>
          </w:tcPr>
          <w:p w:rsidRPr="001A1AE5" w:rsidR="001A1AE5" w:rsidP="00A917F0" w:rsidRDefault="001A1AE5" w14:paraId="675EABC7" w14:textId="77777777">
            <w:pPr>
              <w:rPr>
                <w:b/>
                <w:bCs/>
                <w:lang w:val="nl-NL"/>
              </w:rPr>
            </w:pPr>
            <w:r w:rsidRPr="001A1AE5">
              <w:rPr>
                <w:b/>
                <w:bCs/>
                <w:lang w:val="nl-NL"/>
              </w:rPr>
              <w:t xml:space="preserve">Hoogte </w:t>
            </w:r>
            <w:proofErr w:type="spellStart"/>
            <w:r w:rsidRPr="001A1AE5">
              <w:rPr>
                <w:b/>
                <w:bCs/>
                <w:lang w:val="nl-NL"/>
              </w:rPr>
              <w:t>belasting-vermindering</w:t>
            </w:r>
            <w:proofErr w:type="spellEnd"/>
            <w:r w:rsidRPr="001A1AE5">
              <w:rPr>
                <w:b/>
                <w:bCs/>
                <w:lang w:val="nl-NL"/>
              </w:rPr>
              <w:t xml:space="preserve"> per huishouden (</w:t>
            </w:r>
            <w:r w:rsidRPr="001A1AE5">
              <w:rPr>
                <w:lang w:val="nl-NL"/>
              </w:rPr>
              <w:t>€ )</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35F0F1A5" w14:textId="77777777">
            <w:pPr>
              <w:rPr>
                <w:b/>
                <w:bCs/>
              </w:rPr>
            </w:pPr>
            <w:proofErr w:type="spellStart"/>
            <w:r w:rsidRPr="001F6339">
              <w:rPr>
                <w:b/>
                <w:bCs/>
              </w:rPr>
              <w:t>Opbrengst</w:t>
            </w:r>
            <w:proofErr w:type="spellEnd"/>
            <w:r w:rsidRPr="001F6339">
              <w:rPr>
                <w:b/>
                <w:bCs/>
              </w:rPr>
              <w:t xml:space="preserve"> </w:t>
            </w:r>
            <w:proofErr w:type="spellStart"/>
            <w:r w:rsidRPr="001F6339">
              <w:rPr>
                <w:b/>
                <w:bCs/>
              </w:rPr>
              <w:t>belasting-vermindering</w:t>
            </w:r>
            <w:proofErr w:type="spellEnd"/>
            <w:r w:rsidRPr="001F6339">
              <w:rPr>
                <w:b/>
                <w:bCs/>
                <w:vertAlign w:val="superscript"/>
              </w:rPr>
              <w:footnoteReference w:id="6"/>
            </w:r>
            <w:r w:rsidRPr="001F6339">
              <w:rPr>
                <w:b/>
                <w:bCs/>
              </w:rPr>
              <w:t xml:space="preserve"> </w:t>
            </w:r>
          </w:p>
        </w:tc>
      </w:tr>
      <w:tr w:rsidRPr="001F6339" w:rsidR="001A1AE5" w:rsidTr="00A917F0" w14:paraId="2129BB49"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79AC05F" w14:textId="77777777">
            <w:pPr>
              <w:rPr>
                <w:b/>
                <w:bCs/>
              </w:rPr>
            </w:pPr>
            <w:r w:rsidRPr="001F6339">
              <w:rPr>
                <w:b/>
                <w:bCs/>
              </w:rPr>
              <w:t>2011</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6D2CB90"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7FD81EFD" w14:textId="77777777"/>
        </w:tc>
      </w:tr>
      <w:tr w:rsidRPr="001F6339" w:rsidR="001A1AE5" w:rsidTr="00A917F0" w14:paraId="20F550FF"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9029E3C" w14:textId="77777777">
            <w:pPr>
              <w:rPr>
                <w:b/>
                <w:bCs/>
              </w:rPr>
            </w:pPr>
            <w:r w:rsidRPr="001F6339">
              <w:rPr>
                <w:b/>
                <w:bCs/>
              </w:rPr>
              <w:t>2012</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47D3EE9"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63E345B0" w14:textId="77777777"/>
        </w:tc>
      </w:tr>
      <w:tr w:rsidRPr="001F6339" w:rsidR="001A1AE5" w:rsidTr="00A917F0" w14:paraId="44323FCA"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E311B3A" w14:textId="77777777">
            <w:pPr>
              <w:rPr>
                <w:b/>
                <w:bCs/>
              </w:rPr>
            </w:pPr>
            <w:r w:rsidRPr="001F6339">
              <w:rPr>
                <w:b/>
                <w:bCs/>
              </w:rPr>
              <w:t>2013</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3CEE830C"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25262A52" w14:textId="77777777"/>
        </w:tc>
      </w:tr>
      <w:tr w:rsidRPr="001F6339" w:rsidR="001A1AE5" w:rsidTr="00A917F0" w14:paraId="1DB434CD"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6C60478" w14:textId="77777777">
            <w:pPr>
              <w:rPr>
                <w:b/>
                <w:bCs/>
              </w:rPr>
            </w:pPr>
            <w:r w:rsidRPr="001F6339">
              <w:rPr>
                <w:b/>
                <w:bCs/>
              </w:rPr>
              <w:t>2014</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05A65281"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58B7C959" w14:textId="77777777"/>
        </w:tc>
      </w:tr>
      <w:tr w:rsidRPr="001F6339" w:rsidR="001A1AE5" w:rsidTr="00A917F0" w14:paraId="1C3436C7"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55A4B4E" w14:textId="77777777">
            <w:pPr>
              <w:rPr>
                <w:b/>
                <w:bCs/>
              </w:rPr>
            </w:pPr>
            <w:r w:rsidRPr="001F6339">
              <w:rPr>
                <w:b/>
                <w:bCs/>
              </w:rPr>
              <w:t>2015</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407B6F8"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07031473" w14:textId="77777777"/>
        </w:tc>
      </w:tr>
      <w:tr w:rsidRPr="001F6339" w:rsidR="001A1AE5" w:rsidTr="00A917F0" w14:paraId="7FB8D81A"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A263036" w14:textId="77777777">
            <w:pPr>
              <w:rPr>
                <w:b/>
                <w:bCs/>
              </w:rPr>
            </w:pPr>
            <w:r w:rsidRPr="001F6339">
              <w:rPr>
                <w:b/>
                <w:bCs/>
              </w:rPr>
              <w:t>2016</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461438C5" w14:textId="77777777">
            <w:r w:rsidRPr="001F6339">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10D2BD67" w14:textId="77777777"/>
        </w:tc>
      </w:tr>
      <w:tr w:rsidRPr="001F6339" w:rsidR="001A1AE5" w:rsidTr="00A917F0" w14:paraId="4E0E5290"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1476CC8" w14:textId="77777777">
            <w:pPr>
              <w:rPr>
                <w:b/>
                <w:bCs/>
              </w:rPr>
            </w:pPr>
            <w:r w:rsidRPr="001F6339">
              <w:rPr>
                <w:b/>
                <w:bCs/>
              </w:rPr>
              <w:t>2017</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C2520ED" w14:textId="77777777">
            <w:r w:rsidRPr="001F6339">
              <w:t>309</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176D1012" w14:textId="77777777"/>
        </w:tc>
      </w:tr>
      <w:tr w:rsidRPr="001F6339" w:rsidR="001A1AE5" w:rsidTr="00A917F0" w14:paraId="118A8B8E"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68237DB" w14:textId="77777777">
            <w:pPr>
              <w:rPr>
                <w:b/>
                <w:bCs/>
              </w:rPr>
            </w:pPr>
            <w:r w:rsidRPr="001F6339">
              <w:rPr>
                <w:b/>
                <w:bCs/>
              </w:rPr>
              <w:t>2018</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CA5825C" w14:textId="77777777">
            <w:r w:rsidRPr="001F6339">
              <w:t>309</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1486C6EF" w14:textId="77777777"/>
        </w:tc>
      </w:tr>
      <w:tr w:rsidRPr="001F6339" w:rsidR="001A1AE5" w:rsidTr="00A917F0" w14:paraId="08341DEB"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0B187A11" w14:textId="77777777">
            <w:pPr>
              <w:rPr>
                <w:b/>
                <w:bCs/>
              </w:rPr>
            </w:pPr>
            <w:r w:rsidRPr="001F6339">
              <w:rPr>
                <w:b/>
                <w:bCs/>
              </w:rPr>
              <w:t>2019</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450F897C" w14:textId="77777777">
            <w:r w:rsidRPr="001F6339">
              <w:t>258</w:t>
            </w:r>
          </w:p>
        </w:tc>
        <w:tc>
          <w:tcPr>
            <w:tcW w:w="1559" w:type="dxa"/>
            <w:tcBorders>
              <w:top w:val="single" w:color="auto" w:sz="4" w:space="0"/>
              <w:left w:val="single" w:color="auto" w:sz="4" w:space="0"/>
              <w:bottom w:val="single" w:color="auto" w:sz="4" w:space="0"/>
              <w:right w:val="single" w:color="auto" w:sz="4" w:space="0"/>
            </w:tcBorders>
          </w:tcPr>
          <w:p w:rsidRPr="001F6339" w:rsidR="001A1AE5" w:rsidP="00A917F0" w:rsidRDefault="001A1AE5" w14:paraId="001A3371" w14:textId="77777777"/>
        </w:tc>
      </w:tr>
      <w:tr w:rsidRPr="001F6339" w:rsidR="001A1AE5" w:rsidTr="00A917F0" w14:paraId="0FA2AA8B"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26C65C3" w14:textId="77777777">
            <w:pPr>
              <w:rPr>
                <w:b/>
                <w:bCs/>
              </w:rPr>
            </w:pPr>
            <w:r w:rsidRPr="001F6339">
              <w:rPr>
                <w:b/>
                <w:bCs/>
              </w:rPr>
              <w:t>2020</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388C432" w14:textId="77777777">
            <w:r w:rsidRPr="001F6339">
              <w:t>436</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0DB7EF7" w14:textId="77777777">
            <w:r w:rsidRPr="001F6339">
              <w:t xml:space="preserve">-3.509 </w:t>
            </w:r>
            <w:proofErr w:type="spellStart"/>
            <w:r w:rsidRPr="001F6339">
              <w:t>mln</w:t>
            </w:r>
            <w:proofErr w:type="spellEnd"/>
            <w:r w:rsidRPr="001F6339">
              <w:t>.</w:t>
            </w:r>
          </w:p>
        </w:tc>
      </w:tr>
      <w:tr w:rsidRPr="001F6339" w:rsidR="001A1AE5" w:rsidTr="00A917F0" w14:paraId="279F93F4"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6E753DAE" w14:textId="77777777">
            <w:pPr>
              <w:rPr>
                <w:b/>
                <w:bCs/>
              </w:rPr>
            </w:pPr>
            <w:r w:rsidRPr="001F6339">
              <w:rPr>
                <w:b/>
                <w:bCs/>
              </w:rPr>
              <w:t>2021</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2CC3C57" w14:textId="77777777">
            <w:r w:rsidRPr="001F6339">
              <w:t>462</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033A076" w14:textId="77777777">
            <w:r w:rsidRPr="001F6339">
              <w:t xml:space="preserve">-3.800 </w:t>
            </w:r>
            <w:proofErr w:type="spellStart"/>
            <w:r w:rsidRPr="001F6339">
              <w:t>mln</w:t>
            </w:r>
            <w:proofErr w:type="spellEnd"/>
            <w:r w:rsidRPr="001F6339">
              <w:t>.</w:t>
            </w:r>
          </w:p>
        </w:tc>
      </w:tr>
      <w:tr w:rsidRPr="001F6339" w:rsidR="001A1AE5" w:rsidTr="00A917F0" w14:paraId="73A4D44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2FFBBD40" w14:textId="77777777">
            <w:pPr>
              <w:rPr>
                <w:b/>
                <w:bCs/>
              </w:rPr>
            </w:pPr>
            <w:r w:rsidRPr="001F6339">
              <w:rPr>
                <w:b/>
                <w:bCs/>
              </w:rPr>
              <w:t>2022</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67981045" w14:textId="77777777">
            <w:r w:rsidRPr="001F6339">
              <w:t>682</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4FB526F8" w14:textId="77777777">
            <w:r w:rsidRPr="001F6339">
              <w:t xml:space="preserve">-5.610 </w:t>
            </w:r>
            <w:proofErr w:type="spellStart"/>
            <w:r w:rsidRPr="001F6339">
              <w:t>mln</w:t>
            </w:r>
            <w:proofErr w:type="spellEnd"/>
            <w:r w:rsidRPr="001F6339">
              <w:t>.</w:t>
            </w:r>
          </w:p>
        </w:tc>
      </w:tr>
      <w:tr w:rsidRPr="001F6339" w:rsidR="001A1AE5" w:rsidTr="00A917F0" w14:paraId="337B5A26"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56FAB7D" w14:textId="77777777">
            <w:pPr>
              <w:rPr>
                <w:b/>
                <w:bCs/>
              </w:rPr>
            </w:pPr>
            <w:r w:rsidRPr="001F6339">
              <w:rPr>
                <w:b/>
                <w:bCs/>
              </w:rPr>
              <w:t>2023</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812A735" w14:textId="77777777">
            <w:r w:rsidRPr="001F6339">
              <w:t>493</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7EA5A36C" w14:textId="77777777">
            <w:r w:rsidRPr="001F6339">
              <w:t xml:space="preserve">-4.234 </w:t>
            </w:r>
            <w:proofErr w:type="spellStart"/>
            <w:r w:rsidRPr="001F6339">
              <w:t>mln</w:t>
            </w:r>
            <w:proofErr w:type="spellEnd"/>
            <w:r w:rsidRPr="001F6339">
              <w:t>.</w:t>
            </w:r>
          </w:p>
        </w:tc>
      </w:tr>
      <w:tr w:rsidRPr="001F6339" w:rsidR="001A1AE5" w:rsidTr="00A917F0" w14:paraId="188C57D3"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1E3E3DA5" w14:textId="77777777">
            <w:pPr>
              <w:rPr>
                <w:b/>
                <w:bCs/>
              </w:rPr>
            </w:pPr>
            <w:r w:rsidRPr="001F6339">
              <w:rPr>
                <w:b/>
                <w:bCs/>
              </w:rPr>
              <w:t>2024</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4CFB49D" w14:textId="77777777">
            <w:r w:rsidRPr="001F6339">
              <w:t>522</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3F50C46D" w14:textId="77777777">
            <w:r w:rsidRPr="001F6339">
              <w:t xml:space="preserve">-4.363 </w:t>
            </w:r>
            <w:proofErr w:type="spellStart"/>
            <w:r w:rsidRPr="001F6339">
              <w:t>mln</w:t>
            </w:r>
            <w:proofErr w:type="spellEnd"/>
            <w:r w:rsidRPr="001F6339">
              <w:t>.</w:t>
            </w:r>
          </w:p>
        </w:tc>
      </w:tr>
      <w:tr w:rsidRPr="001F6339" w:rsidR="001A1AE5" w:rsidTr="00A917F0" w14:paraId="499126F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B120567" w14:textId="77777777">
            <w:pPr>
              <w:rPr>
                <w:b/>
                <w:bCs/>
              </w:rPr>
            </w:pPr>
            <w:r w:rsidRPr="001F6339">
              <w:rPr>
                <w:b/>
                <w:bCs/>
              </w:rPr>
              <w:t>2025</w:t>
            </w:r>
          </w:p>
        </w:tc>
        <w:tc>
          <w:tcPr>
            <w:tcW w:w="2037"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5D6632C2" w14:textId="77777777">
            <w:r w:rsidRPr="001F6339">
              <w:t>525</w:t>
            </w:r>
          </w:p>
        </w:tc>
        <w:tc>
          <w:tcPr>
            <w:tcW w:w="1559" w:type="dxa"/>
            <w:tcBorders>
              <w:top w:val="single" w:color="auto" w:sz="4" w:space="0"/>
              <w:left w:val="single" w:color="auto" w:sz="4" w:space="0"/>
              <w:bottom w:val="single" w:color="auto" w:sz="4" w:space="0"/>
              <w:right w:val="single" w:color="auto" w:sz="4" w:space="0"/>
            </w:tcBorders>
            <w:hideMark/>
          </w:tcPr>
          <w:p w:rsidRPr="001F6339" w:rsidR="001A1AE5" w:rsidP="00A917F0" w:rsidRDefault="001A1AE5" w14:paraId="34B61D5C" w14:textId="77777777">
            <w:r w:rsidRPr="001F6339">
              <w:t xml:space="preserve">-4.633 </w:t>
            </w:r>
            <w:proofErr w:type="spellStart"/>
            <w:r w:rsidRPr="001F6339">
              <w:t>mln</w:t>
            </w:r>
            <w:proofErr w:type="spellEnd"/>
            <w:r w:rsidRPr="001F6339">
              <w:t>.</w:t>
            </w:r>
          </w:p>
        </w:tc>
      </w:tr>
    </w:tbl>
    <w:p w:rsidR="001A1AE5" w:rsidP="001A1AE5" w:rsidRDefault="001A1AE5" w14:paraId="608FC131" w14:textId="77777777"/>
    <w:p w:rsidR="001A1AE5" w:rsidP="001A1AE5" w:rsidRDefault="001A1AE5" w14:paraId="05F3663F" w14:textId="77777777">
      <w:r>
        <w:t>4</w:t>
      </w:r>
    </w:p>
    <w:p w:rsidR="001A1AE5" w:rsidP="001A1AE5" w:rsidRDefault="001A1AE5" w14:paraId="65A63283" w14:textId="77777777">
      <w:r w:rsidRPr="00170222">
        <w:t>Kunt u zowel de gemiddelde kale gasprijs als de gemiddelde consumenten gasprijs van de afgelopen 15 jaar inzichtelijk maken?</w:t>
      </w:r>
    </w:p>
    <w:p w:rsidR="001A1AE5" w:rsidP="001A1AE5" w:rsidRDefault="001A1AE5" w14:paraId="33ECAB33" w14:textId="77777777"/>
    <w:p w:rsidR="001A1AE5" w:rsidP="001A1AE5" w:rsidRDefault="001A1AE5" w14:paraId="197094AD" w14:textId="77777777">
      <w:r>
        <w:t>Antwoord</w:t>
      </w:r>
    </w:p>
    <w:p w:rsidRPr="00170222" w:rsidR="001A1AE5" w:rsidP="001A1AE5" w:rsidRDefault="001A1AE5" w14:paraId="0F047FD3" w14:textId="77777777">
      <w:r w:rsidRPr="00170222">
        <w:t>Het Centraal Bureau voor de Statistiek (CBS) geeft inzicht in wat consumenten gemiddeld betaalden voor de levering van één kubieke meter gas sinds 20</w:t>
      </w:r>
      <w:r>
        <w:t>0</w:t>
      </w:r>
      <w:r w:rsidRPr="00170222">
        <w:t>9.</w:t>
      </w:r>
      <w:r w:rsidRPr="00170222">
        <w:rPr>
          <w:vertAlign w:val="superscript"/>
        </w:rPr>
        <w:footnoteReference w:id="7"/>
      </w:r>
      <w:r w:rsidRPr="00170222">
        <w:t xml:space="preserve"> Deze cijfers betreffen niet de variabele leveringstarieven die energieleveranciers rekenen aan consumenten, maar betreffen de totale prijs inclusief vaste kosten zoals nettarieven binnen een bandbreedte van het jaarverbruik van deze consumenten. </w:t>
      </w:r>
      <w:r>
        <w:t>Zowel de reeks met als zonder overheidsheffingen laat sinds 2021 een stijging zien ten opzichte van de jaren daarvoor.</w:t>
      </w:r>
    </w:p>
    <w:p w:rsidR="001A1AE5" w:rsidP="001A1AE5" w:rsidRDefault="001A1AE5" w14:paraId="3AA8865D" w14:textId="77777777"/>
    <w:p w:rsidR="001A1AE5" w:rsidP="001A1AE5" w:rsidRDefault="001A1AE5" w14:paraId="6E3766EA" w14:textId="77777777">
      <w:r>
        <w:t>5</w:t>
      </w:r>
    </w:p>
    <w:p w:rsidRPr="00170222" w:rsidR="001A1AE5" w:rsidP="001A1AE5" w:rsidRDefault="001A1AE5" w14:paraId="5E7403A3" w14:textId="77777777">
      <w:r w:rsidRPr="00170222">
        <w:t xml:space="preserve">Bent u het eens met de bewering uit het artikel dat niet de ‘de energiecrisis, het ontbreken van Gronings gas en het niet meer leveren van Russisch gas’ ten </w:t>
      </w:r>
      <w:r w:rsidRPr="00170222">
        <w:lastRenderedPageBreak/>
        <w:t>grondslag ligt aan de hoge gasprijzen, maar dat dat voornamelijk ligt aan de energiebelasting?</w:t>
      </w:r>
    </w:p>
    <w:p w:rsidRPr="00170222" w:rsidR="001A1AE5" w:rsidP="001A1AE5" w:rsidRDefault="001A1AE5" w14:paraId="23BC5BF5" w14:textId="77777777"/>
    <w:p w:rsidR="001A1AE5" w:rsidP="001A1AE5" w:rsidRDefault="001A1AE5" w14:paraId="0C209462" w14:textId="77777777">
      <w:r>
        <w:t>Antwoord</w:t>
      </w:r>
    </w:p>
    <w:p w:rsidR="001A1AE5" w:rsidP="001A1AE5" w:rsidRDefault="001A1AE5" w14:paraId="58E926ED" w14:textId="77777777">
      <w:r w:rsidRPr="00170222">
        <w:t>Nee. De hogere leveringstarieven voor gas worden zowel veroorzaakt door de gestegen groothandelsprijzen als door de verhoogde energiebelasting.</w:t>
      </w:r>
      <w:r>
        <w:t xml:space="preserve"> Ook de prijs die consumenten betalen zonder de overheidsheffingen is gestegen sinds 2021. Ter illustratie: h</w:t>
      </w:r>
      <w:r w:rsidRPr="00170222">
        <w:t xml:space="preserve">et gemiddelde variabele leveringstarief voor gas is sinds 2021 gestegen van circa </w:t>
      </w:r>
      <w:r>
        <w:t xml:space="preserve">€ </w:t>
      </w:r>
      <w:r w:rsidRPr="00170222">
        <w:t>0,81/m</w:t>
      </w:r>
      <w:r w:rsidRPr="00170222">
        <w:rPr>
          <w:vertAlign w:val="superscript"/>
        </w:rPr>
        <w:t xml:space="preserve">3 </w:t>
      </w:r>
      <w:r w:rsidRPr="00170222">
        <w:t xml:space="preserve">naar </w:t>
      </w:r>
      <w:r>
        <w:t xml:space="preserve">€ </w:t>
      </w:r>
      <w:r w:rsidRPr="00170222">
        <w:t>1,33/m</w:t>
      </w:r>
      <w:r w:rsidRPr="00170222">
        <w:rPr>
          <w:vertAlign w:val="superscript"/>
        </w:rPr>
        <w:t xml:space="preserve">3 </w:t>
      </w:r>
      <w:r w:rsidRPr="00170222">
        <w:t>in januari 2025</w:t>
      </w:r>
      <w:r w:rsidRPr="00170222">
        <w:rPr>
          <w:vertAlign w:val="superscript"/>
        </w:rPr>
        <w:footnoteReference w:id="8"/>
      </w:r>
      <w:r w:rsidRPr="00170222">
        <w:t xml:space="preserve">. Het kale leveringstarief is in die periode gestegen van </w:t>
      </w:r>
      <w:r>
        <w:t xml:space="preserve">€ </w:t>
      </w:r>
      <w:r w:rsidRPr="00170222">
        <w:t>0,25/m</w:t>
      </w:r>
      <w:r w:rsidRPr="00170222">
        <w:rPr>
          <w:vertAlign w:val="superscript"/>
        </w:rPr>
        <w:t xml:space="preserve">3 </w:t>
      </w:r>
      <w:r w:rsidRPr="00170222">
        <w:t xml:space="preserve">naar </w:t>
      </w:r>
      <w:r>
        <w:t xml:space="preserve">€ </w:t>
      </w:r>
      <w:r w:rsidRPr="00170222">
        <w:t>0,52/m</w:t>
      </w:r>
      <w:r w:rsidRPr="00170222">
        <w:rPr>
          <w:vertAlign w:val="superscript"/>
        </w:rPr>
        <w:t xml:space="preserve">3 </w:t>
      </w:r>
      <w:r w:rsidRPr="00170222">
        <w:t xml:space="preserve">en de overheidsheffingen van </w:t>
      </w:r>
      <w:r>
        <w:t xml:space="preserve">€ </w:t>
      </w:r>
      <w:r w:rsidRPr="00170222">
        <w:t>0,57/m</w:t>
      </w:r>
      <w:r w:rsidRPr="00170222">
        <w:rPr>
          <w:vertAlign w:val="superscript"/>
        </w:rPr>
        <w:t xml:space="preserve">3 </w:t>
      </w:r>
      <w:r w:rsidRPr="00170222">
        <w:t xml:space="preserve">naar </w:t>
      </w:r>
      <w:r>
        <w:t xml:space="preserve">€ </w:t>
      </w:r>
      <w:r w:rsidRPr="00170222">
        <w:t>0,81/m</w:t>
      </w:r>
      <w:r w:rsidRPr="00170222">
        <w:rPr>
          <w:vertAlign w:val="superscript"/>
        </w:rPr>
        <w:t>3</w:t>
      </w:r>
      <w:r w:rsidRPr="00170222">
        <w:t>. Het kale leveringstarief en de energiebelasting hebben dus ongeveer een even groot aandeel in de hogere leveringstarieven voor gas</w:t>
      </w:r>
      <w:r>
        <w:t xml:space="preserve"> sinds 2021</w:t>
      </w:r>
      <w:r w:rsidRPr="00170222">
        <w:t>.</w:t>
      </w:r>
      <w:r>
        <w:t xml:space="preserve"> </w:t>
      </w:r>
      <w:r w:rsidRPr="00EA68BB">
        <w:t xml:space="preserve">In dezelfde periode is de belastingvermindering toegenomen van </w:t>
      </w:r>
      <w:r>
        <w:t xml:space="preserve">€ </w:t>
      </w:r>
      <w:r w:rsidRPr="00EA68BB">
        <w:t xml:space="preserve">462 naar </w:t>
      </w:r>
      <w:r>
        <w:t xml:space="preserve">€ </w:t>
      </w:r>
      <w:r w:rsidRPr="00EA68BB">
        <w:t>525. Dit dempt de stijging van de energiebelastingtarieven.</w:t>
      </w:r>
    </w:p>
    <w:p w:rsidR="001A1AE5" w:rsidP="001A1AE5" w:rsidRDefault="001A1AE5" w14:paraId="03873C33" w14:textId="77777777"/>
    <w:p w:rsidRPr="00170222" w:rsidR="001A1AE5" w:rsidP="001A1AE5" w:rsidRDefault="001A1AE5" w14:paraId="761D2BCB" w14:textId="77777777">
      <w:r>
        <w:t>6</w:t>
      </w:r>
    </w:p>
    <w:p w:rsidRPr="00170222" w:rsidR="001A1AE5" w:rsidP="001A1AE5" w:rsidRDefault="001A1AE5" w14:paraId="5825FE96" w14:textId="77777777">
      <w:r w:rsidRPr="00170222">
        <w:t>Klopt het dat als Nederland de energiebelasting niet steeds had verhoogd vanaf 2015, de consument nu ongeveer 93 cent per kuub gas zou moeten betalen?</w:t>
      </w:r>
    </w:p>
    <w:p w:rsidRPr="00170222" w:rsidR="001A1AE5" w:rsidP="001A1AE5" w:rsidRDefault="001A1AE5" w14:paraId="44A49370" w14:textId="77777777"/>
    <w:p w:rsidRPr="00170222" w:rsidR="001A1AE5" w:rsidP="001A1AE5" w:rsidRDefault="001A1AE5" w14:paraId="78B90C72" w14:textId="77777777">
      <w:r w:rsidRPr="00170222">
        <w:t>Antwoord</w:t>
      </w:r>
    </w:p>
    <w:p w:rsidRPr="00B471C7" w:rsidR="001A1AE5" w:rsidP="001A1AE5" w:rsidRDefault="001A1AE5" w14:paraId="6E1F6CAB" w14:textId="77777777">
      <w:r w:rsidRPr="00B471C7">
        <w:t xml:space="preserve">Dat klopt </w:t>
      </w:r>
      <w:r>
        <w:t>min of meer</w:t>
      </w:r>
      <w:r w:rsidRPr="00B471C7">
        <w:t xml:space="preserve">. Het huidige kale leveringstarief is </w:t>
      </w:r>
      <w:r>
        <w:t xml:space="preserve">€ </w:t>
      </w:r>
      <w:r w:rsidRPr="00B471C7">
        <w:t>0,52/m</w:t>
      </w:r>
      <w:r w:rsidRPr="00B471C7">
        <w:rPr>
          <w:vertAlign w:val="superscript"/>
        </w:rPr>
        <w:t>3</w:t>
      </w:r>
      <w:r>
        <w:t>(zie vraag 2).</w:t>
      </w:r>
      <w:r w:rsidRPr="00B471C7">
        <w:rPr>
          <w:vertAlign w:val="superscript"/>
        </w:rPr>
        <w:t xml:space="preserve">  </w:t>
      </w:r>
      <w:r w:rsidRPr="00B471C7">
        <w:t xml:space="preserve">De energiebelasting en ODE bedroegen in 2015 </w:t>
      </w:r>
      <w:r>
        <w:t xml:space="preserve">€ </w:t>
      </w:r>
      <w:r w:rsidRPr="00B471C7">
        <w:t>0,1985</w:t>
      </w:r>
      <w:r>
        <w:t>/</w:t>
      </w:r>
      <w:r w:rsidRPr="00B471C7">
        <w:t>m</w:t>
      </w:r>
      <w:r w:rsidRPr="00B471C7">
        <w:rPr>
          <w:vertAlign w:val="superscript"/>
        </w:rPr>
        <w:t>3</w:t>
      </w:r>
      <w:r w:rsidRPr="00B471C7">
        <w:t xml:space="preserve">. Wanneer dit integrale tarief niet beleidsmatig zou zijn aangepast in de periode 2015-2025 zou het alleen jaarlijks geïndexeerd zijn met de tabelcorrectiefactor. In 2025 zou het tarief dan </w:t>
      </w:r>
      <w:r>
        <w:t xml:space="preserve">€ </w:t>
      </w:r>
      <w:r w:rsidRPr="00B471C7">
        <w:t>0,2523</w:t>
      </w:r>
      <w:r>
        <w:t>/</w:t>
      </w:r>
      <w:r w:rsidRPr="00B471C7">
        <w:t>m</w:t>
      </w:r>
      <w:r w:rsidRPr="00B471C7">
        <w:rPr>
          <w:vertAlign w:val="superscript"/>
        </w:rPr>
        <w:t>3</w:t>
      </w:r>
      <w:r w:rsidRPr="00B471C7">
        <w:t xml:space="preserve"> zijn geweest (exclusief btw). Het variabele leveringstarief inclusief btw zou hiermee (0,52+0,2523)*1,21= </w:t>
      </w:r>
      <w:r>
        <w:t xml:space="preserve">€ </w:t>
      </w:r>
      <w:r w:rsidRPr="00B471C7">
        <w:t>0,93</w:t>
      </w:r>
      <w:r>
        <w:t>/</w:t>
      </w:r>
      <w:r w:rsidRPr="00B471C7">
        <w:t>m</w:t>
      </w:r>
      <w:r w:rsidRPr="00B471C7">
        <w:rPr>
          <w:vertAlign w:val="superscript"/>
        </w:rPr>
        <w:t>3</w:t>
      </w:r>
      <w:r w:rsidRPr="00B471C7">
        <w:t xml:space="preserve"> </w:t>
      </w:r>
      <w:r>
        <w:t>inclusief</w:t>
      </w:r>
      <w:r w:rsidRPr="00B471C7">
        <w:t xml:space="preserve"> btw bedragen. Hierbij moet </w:t>
      </w:r>
      <w:r>
        <w:t xml:space="preserve">echter wel </w:t>
      </w:r>
      <w:r w:rsidRPr="00B471C7">
        <w:t>worden opgemerkt dat tegenover de hogere energiebelasting op aardgas een lagere energiebelasting op elektriciteit en een hogere belastingvermindering in de energiebelasting staat. Door de belastingvermindering zijn de effectieve tarieven die huishoudens betalen lager.</w:t>
      </w:r>
    </w:p>
    <w:p w:rsidR="001A1AE5" w:rsidP="001A1AE5" w:rsidRDefault="001A1AE5" w14:paraId="4698D4AE" w14:textId="77777777"/>
    <w:p w:rsidR="001A1AE5" w:rsidP="001A1AE5" w:rsidRDefault="001A1AE5" w14:paraId="7023FB16" w14:textId="77777777">
      <w:r>
        <w:t>7</w:t>
      </w:r>
    </w:p>
    <w:p w:rsidRPr="00170222" w:rsidR="001A1AE5" w:rsidP="001A1AE5" w:rsidRDefault="001A1AE5" w14:paraId="2F648011" w14:textId="77777777">
      <w:r w:rsidRPr="00170222">
        <w:t>Welke inhoudelijke grondslag heeft dit kabinet om de belasting op gas niet te verlagen? Kunt u hierbij specifiek ingaan op de bewering uit het artikel waarin gesteld wordt dat de overheid wil dat consumenten verduurzamen en de CO2-uitstoot daalt?</w:t>
      </w:r>
    </w:p>
    <w:p w:rsidR="001A1AE5" w:rsidP="001A1AE5" w:rsidRDefault="001A1AE5" w14:paraId="3D91D66E" w14:textId="77777777"/>
    <w:p w:rsidR="001A1AE5" w:rsidP="001A1AE5" w:rsidRDefault="001A1AE5" w14:paraId="1EDC1407" w14:textId="77777777">
      <w:r>
        <w:t>Antwoord</w:t>
      </w:r>
    </w:p>
    <w:p w:rsidRPr="00972A7B" w:rsidR="001A1AE5" w:rsidP="001A1AE5" w:rsidRDefault="001A1AE5" w14:paraId="7BF910C1" w14:textId="77777777">
      <w:r>
        <w:t xml:space="preserve">Het kabinet heeft in 2025 de energiebelasting op gas verlaagd. </w:t>
      </w:r>
      <w:r w:rsidRPr="00972A7B">
        <w:t>De</w:t>
      </w:r>
      <w:r>
        <w:t xml:space="preserve"> </w:t>
      </w:r>
      <w:r w:rsidRPr="00972A7B">
        <w:t xml:space="preserve">energiebelasting op gas is gedurende de periode </w:t>
      </w:r>
      <w:r>
        <w:t xml:space="preserve">daarvoor </w:t>
      </w:r>
      <w:r w:rsidRPr="00972A7B">
        <w:t xml:space="preserve">verhoogd om een financiële prikkel te geven om te verduurzamen, zowel door middel van elektrificatie als door energiebesparing. Om de gevolgen van de verhoging van de energiebelastingtarieven op aardgas voor de energierekening van huishoudens te dempen, is de energiebelasting op elektriciteit tegelijkertijd verlaagd en is de  belastingvermindering verhoogd. Voor een gemiddeld huishouden is per saldo de betaalde energiebelasting in de afgelopen jaren afgenomen. In het voorjaar besluit het kabinet over </w:t>
      </w:r>
      <w:r>
        <w:t>alternatief</w:t>
      </w:r>
      <w:r w:rsidRPr="00972A7B">
        <w:t xml:space="preserve"> beleid om de afgesproken klimaatdoelen in zicht te brengen. Het verder verlagen van de energiebelasting op aardgas zou het nog moeilijker maken om de klimaatopgave te halen</w:t>
      </w:r>
      <w:r>
        <w:t xml:space="preserve"> en is niet mogelijk zonder financiële consequenties</w:t>
      </w:r>
      <w:r w:rsidRPr="00972A7B">
        <w:t xml:space="preserve">. </w:t>
      </w:r>
      <w:r w:rsidRPr="003C53A7">
        <w:t xml:space="preserve">Bij de verlaging </w:t>
      </w:r>
      <w:r>
        <w:t xml:space="preserve">in 2025 </w:t>
      </w:r>
      <w:r w:rsidRPr="003C53A7">
        <w:t xml:space="preserve">heeft het kabinet </w:t>
      </w:r>
      <w:r>
        <w:t>de</w:t>
      </w:r>
      <w:r w:rsidRPr="003C53A7">
        <w:t xml:space="preserve"> ruimte genomen die er is binnen de afspraken over de mijlpalen op het gebied van de energiebelasting in het Nederlandse Herstel- en Veerkrachtplan (HVP).</w:t>
      </w:r>
      <w:r w:rsidRPr="0058059C">
        <w:t xml:space="preserve"> </w:t>
      </w:r>
      <w:r w:rsidRPr="003C53A7">
        <w:t xml:space="preserve">Afwijken van de in het HVP vastgelegde afspraken kan leiden tot een korting die kan oplopen tot </w:t>
      </w:r>
      <w:r>
        <w:t xml:space="preserve">€ </w:t>
      </w:r>
      <w:r w:rsidRPr="003C53A7">
        <w:t>600 miljoen per mijlpaal.</w:t>
      </w:r>
    </w:p>
    <w:p w:rsidRPr="00170222" w:rsidR="001A1AE5" w:rsidP="001A1AE5" w:rsidRDefault="001A1AE5" w14:paraId="1D04AF81" w14:textId="77777777"/>
    <w:p w:rsidR="001A1AE5" w:rsidP="001A1AE5" w:rsidRDefault="001A1AE5" w14:paraId="57CDB736" w14:textId="77777777">
      <w:r>
        <w:t>8</w:t>
      </w:r>
    </w:p>
    <w:p w:rsidRPr="00170222" w:rsidR="001A1AE5" w:rsidP="001A1AE5" w:rsidRDefault="001A1AE5" w14:paraId="09FA7A2C" w14:textId="77777777">
      <w:r w:rsidRPr="00170222">
        <w:t>Waarom heeft dit kabinet aangekondigd dat de energiebelasting op gas zou worden verlaagd, terwijl dit in werkelijkheid met slechts 1 cent per kuub is gebeurd, afgekondigd op 1 januari? Klopt het dat door deze ‘verlaging’ een gemiddeld huishouden slechts 1 euro per maand minder kwijt is aan de energierekening?</w:t>
      </w:r>
    </w:p>
    <w:p w:rsidR="001A1AE5" w:rsidP="001A1AE5" w:rsidRDefault="001A1AE5" w14:paraId="692D9E82" w14:textId="77777777"/>
    <w:p w:rsidR="001A1AE5" w:rsidP="001A1AE5" w:rsidRDefault="001A1AE5" w14:paraId="1626C7BB" w14:textId="77777777">
      <w:r>
        <w:t>Antwoord</w:t>
      </w:r>
    </w:p>
    <w:p w:rsidR="001A1AE5" w:rsidP="001A1AE5" w:rsidRDefault="001A1AE5" w14:paraId="68C916FD" w14:textId="77777777">
      <w:r w:rsidRPr="003C53A7">
        <w:t>De gemiddelde aardgaswoning had in 2023 een jaarverbruik van 1.020 m</w:t>
      </w:r>
      <w:r w:rsidRPr="003C53A7">
        <w:rPr>
          <w:vertAlign w:val="superscript"/>
        </w:rPr>
        <w:t xml:space="preserve">3 </w:t>
      </w:r>
      <w:r w:rsidRPr="003C53A7">
        <w:t>aardgas</w:t>
      </w:r>
      <w:r w:rsidRPr="003C53A7">
        <w:rPr>
          <w:vertAlign w:val="superscript"/>
        </w:rPr>
        <w:footnoteReference w:id="9"/>
      </w:r>
      <w:r w:rsidRPr="003C53A7">
        <w:t xml:space="preserve">. De verlaging van de energiebelasting op gas zorgt bij dat verbruik voor een voordeel van </w:t>
      </w:r>
      <w:r>
        <w:t xml:space="preserve">€ </w:t>
      </w:r>
      <w:r w:rsidRPr="003C53A7">
        <w:t xml:space="preserve">10,20 op de energierekening in 2025. </w:t>
      </w:r>
      <w:r w:rsidRPr="003C53A7">
        <w:br/>
      </w:r>
    </w:p>
    <w:p w:rsidR="001A1AE5" w:rsidP="001A1AE5" w:rsidRDefault="001A1AE5" w14:paraId="0583E1BF" w14:textId="77777777">
      <w:r>
        <w:t>9</w:t>
      </w:r>
    </w:p>
    <w:p w:rsidR="001A1AE5" w:rsidP="001A1AE5" w:rsidRDefault="001A1AE5" w14:paraId="2F781D33" w14:textId="77777777">
      <w:r w:rsidRPr="00170222">
        <w:t>Waarom heeft u besloten een nivellerend noodfonds in het leven te roepen, waarbij alleen de armste huishoudens profiteren, terwijl ieder Nederlands huishouden op dit moment te maken heeft met een torenhoge energierekening?</w:t>
      </w:r>
    </w:p>
    <w:p w:rsidR="001A1AE5" w:rsidP="001A1AE5" w:rsidRDefault="001A1AE5" w14:paraId="2E050BF0" w14:textId="77777777"/>
    <w:p w:rsidR="001A1AE5" w:rsidP="001A1AE5" w:rsidRDefault="001A1AE5" w14:paraId="12A7CAEF" w14:textId="77777777">
      <w:r>
        <w:t>Antwoord</w:t>
      </w:r>
    </w:p>
    <w:p w:rsidR="001A1AE5" w:rsidP="001A1AE5" w:rsidRDefault="001A1AE5" w14:paraId="4A20F702" w14:textId="77777777">
      <w:r w:rsidRPr="00170222">
        <w:lastRenderedPageBreak/>
        <w:t>Niet ieder huishouden heeft momenteel te maken met stijgende energieprijzen. In januari had circa 54% van de huishoudens een vast contract voor gas</w:t>
      </w:r>
      <w:r w:rsidRPr="00170222">
        <w:rPr>
          <w:vertAlign w:val="superscript"/>
        </w:rPr>
        <w:footnoteReference w:id="10"/>
      </w:r>
      <w:r w:rsidRPr="00170222">
        <w:t>. Deze huishoudens hebben de gastarieven op een eerder moment voor één of meerder</w:t>
      </w:r>
      <w:r>
        <w:t>e</w:t>
      </w:r>
      <w:r w:rsidRPr="00170222">
        <w:t xml:space="preserve"> jaren vastgezet en krijgen pas te maken met mogelijk hogere tarieven op het moment dat dit contract afloopt. Circa 41% heeft een variabel contract en krijgt daarom twee tot enkele keren per jaar te maken met tariefwijzigingen. In hoeverre deze groep iets merkt van de prijsstijging is afhankelijk van het wijzigingsmoment van het tarief. Mensen met een dynamisch contract krijgen wel direct te maken met prijsschommelingen op de groothandelsmarkt. Dit kan zowel een gunstig als ongunstig effect op de tarieven hebben. Dit geldt voor circa 5% van de Nederlandse huishoudens.</w:t>
      </w:r>
      <w:r>
        <w:t xml:space="preserve"> </w:t>
      </w:r>
    </w:p>
    <w:p w:rsidR="001A1AE5" w:rsidP="001A1AE5" w:rsidRDefault="001A1AE5" w14:paraId="6DB0ECCD" w14:textId="77777777">
      <w:r w:rsidRPr="00170222">
        <w:t xml:space="preserve">Desalniettemin ziet het kabinet dat een deel van de huishoudens in Nederland moeite heeft met het betalen van de energierekening en het krijgen van grip op de hoogte hiervan. Om de problemen voor deze huishoudens te verminderen werkt het kabinet aan de betaalbaarheid van de energierekening en een rechtvaardige energietransitie. Het </w:t>
      </w:r>
      <w:r>
        <w:t xml:space="preserve">Noodfonds </w:t>
      </w:r>
      <w:r w:rsidRPr="00170222">
        <w:t>is hier onderdeel van.</w:t>
      </w:r>
    </w:p>
    <w:p w:rsidR="001A1AE5" w:rsidP="001A1AE5" w:rsidRDefault="001A1AE5" w14:paraId="377975F3" w14:textId="77777777"/>
    <w:p w:rsidR="001A1AE5" w:rsidP="001A1AE5" w:rsidRDefault="001A1AE5" w14:paraId="49AEC052" w14:textId="77777777">
      <w:r>
        <w:t>10</w:t>
      </w:r>
    </w:p>
    <w:p w:rsidR="001A1AE5" w:rsidP="001A1AE5" w:rsidRDefault="001A1AE5" w14:paraId="5014E9D9" w14:textId="77777777">
      <w:r w:rsidRPr="00170222">
        <w:t>Bent u het eens met de bewering dat door het sluiten van het Groninger gasveld de Nederlandse leveringszekerheid is afgenomen? Zo nee, waarom niet? Zo ja, bent u bereid te bezien welke rol het Groninger gasveld nog kan spelen in de Nederlandse energiemix?</w:t>
      </w:r>
    </w:p>
    <w:p w:rsidR="001A1AE5" w:rsidP="001A1AE5" w:rsidRDefault="001A1AE5" w14:paraId="4D5BFE6D" w14:textId="77777777"/>
    <w:p w:rsidR="001A1AE5" w:rsidP="001A1AE5" w:rsidRDefault="001A1AE5" w14:paraId="5D3C7835" w14:textId="77777777">
      <w:pPr>
        <w:spacing w:line="240" w:lineRule="auto"/>
      </w:pPr>
      <w:r>
        <w:br w:type="page"/>
      </w:r>
    </w:p>
    <w:p w:rsidR="001A1AE5" w:rsidP="001A1AE5" w:rsidRDefault="001A1AE5" w14:paraId="73DC7692" w14:textId="77777777">
      <w:r>
        <w:lastRenderedPageBreak/>
        <w:t>Antwoord</w:t>
      </w:r>
    </w:p>
    <w:p w:rsidRPr="00170222" w:rsidR="001A1AE5" w:rsidP="001A1AE5" w:rsidRDefault="001A1AE5" w14:paraId="6BBDBFC3" w14:textId="77777777">
      <w:r w:rsidRPr="00170222">
        <w:t>Nee, die bewering deel</w:t>
      </w:r>
      <w:r>
        <w:t xml:space="preserve">t het kabinet </w:t>
      </w:r>
      <w:r w:rsidRPr="00170222">
        <w:t xml:space="preserve">niet. Tussen 2014 en het </w:t>
      </w:r>
      <w:proofErr w:type="spellStart"/>
      <w:r w:rsidRPr="00170222">
        <w:t>gasjaar</w:t>
      </w:r>
      <w:proofErr w:type="spellEnd"/>
      <w:r w:rsidRPr="00170222">
        <w:t xml:space="preserve"> 2023/24 is de toegestane gaswinning uit het Groningenveld gedaald van 42,5 miljard m</w:t>
      </w:r>
      <w:r w:rsidRPr="00AF44E8">
        <w:rPr>
          <w:vertAlign w:val="superscript"/>
        </w:rPr>
        <w:t>3</w:t>
      </w:r>
      <w:r w:rsidRPr="00170222">
        <w:t xml:space="preserve"> tot 0,0 m</w:t>
      </w:r>
      <w:r w:rsidRPr="00AF44E8">
        <w:rPr>
          <w:vertAlign w:val="superscript"/>
        </w:rPr>
        <w:t>3</w:t>
      </w:r>
      <w:r w:rsidRPr="00170222">
        <w:t xml:space="preserve"> zonder dat dit tot </w:t>
      </w:r>
      <w:r>
        <w:t>een</w:t>
      </w:r>
      <w:r w:rsidRPr="00170222">
        <w:t xml:space="preserve"> probleem met de leveringszekerheid heeft geleid. </w:t>
      </w:r>
      <w:r>
        <w:t xml:space="preserve">Het kabinet ziet </w:t>
      </w:r>
      <w:r w:rsidRPr="00170222">
        <w:t xml:space="preserve"> dan ook geen aanleiding om te bezien welke rol het Groningenveld nog kan spelen in de Nederlandse energiemix. Dat ook omdat de wet waarmee de gaswinning uit het Groningenveld definitief is beëindigd</w:t>
      </w:r>
      <w:r>
        <w:t>,</w:t>
      </w:r>
      <w:r w:rsidRPr="00170222">
        <w:t xml:space="preserve"> met een </w:t>
      </w:r>
      <w:r>
        <w:t>grote</w:t>
      </w:r>
      <w:r w:rsidRPr="00170222">
        <w:t xml:space="preserve"> meerderheid door zowel de Tweede Kamer (op 12 maart 2024) als de Eerste Kamer (op 16 april 2024) is aangenomen. Daarmee is sinds 19 april 2024 gaswinning uit het Groningenveld niet langer toegestaan bij wet en sindsdien heeft NAM als eigenaar en exploitant van het veld de nodige stappen gezet om de nog aanwezige productiefaciliteiten te ontmantelen. </w:t>
      </w:r>
    </w:p>
    <w:p w:rsidR="001A1AE5" w:rsidP="001A1AE5" w:rsidRDefault="001A1AE5" w14:paraId="69729E70" w14:textId="77777777"/>
    <w:p w:rsidR="001A1AE5" w:rsidP="001A1AE5" w:rsidRDefault="001A1AE5" w14:paraId="6D351F9A" w14:textId="77777777">
      <w:r>
        <w:t>11</w:t>
      </w:r>
    </w:p>
    <w:p w:rsidR="001A1AE5" w:rsidP="001A1AE5" w:rsidRDefault="001A1AE5" w14:paraId="2A0A4CE2" w14:textId="77777777">
      <w:pPr>
        <w:rPr>
          <w:i/>
          <w:iCs/>
        </w:rPr>
      </w:pPr>
      <w:r w:rsidRPr="00170222">
        <w:t>Deelt u de mening dat door de verschoven geopolitieke verhoudingen het zaak wordt dat Nederland haar eigen gas zoveel mogelijk moet benutten?</w:t>
      </w:r>
    </w:p>
    <w:p w:rsidR="001A1AE5" w:rsidP="001A1AE5" w:rsidRDefault="001A1AE5" w14:paraId="68345058" w14:textId="77777777">
      <w:pPr>
        <w:rPr>
          <w:i/>
          <w:iCs/>
        </w:rPr>
      </w:pPr>
    </w:p>
    <w:p w:rsidR="001A1AE5" w:rsidP="001A1AE5" w:rsidRDefault="001A1AE5" w14:paraId="39FB1C6E" w14:textId="77777777">
      <w:pPr>
        <w:rPr>
          <w:i/>
          <w:iCs/>
        </w:rPr>
      </w:pPr>
      <w:r>
        <w:t>Antwoord</w:t>
      </w:r>
      <w:r w:rsidRPr="00170222">
        <w:rPr>
          <w:i/>
          <w:iCs/>
        </w:rPr>
        <w:t> </w:t>
      </w:r>
    </w:p>
    <w:p w:rsidRPr="00170222" w:rsidR="001A1AE5" w:rsidP="001A1AE5" w:rsidRDefault="001A1AE5" w14:paraId="717E8758" w14:textId="77777777">
      <w:r>
        <w:t>In het regeerprogramma is opgenomen dat dit kabinet, in belang van de gasleveringszekerheid, en een zo onafhankelijke en divers mogelijke energievoorziening, de nationale productie optimaliseert en de gaswinning op de Noordzee opschaalt.</w:t>
      </w:r>
      <w:r>
        <w:rPr>
          <w:rStyle w:val="Voetnootmarkering"/>
        </w:rPr>
        <w:footnoteReference w:id="11"/>
      </w:r>
      <w:r>
        <w:t xml:space="preserve"> </w:t>
      </w:r>
      <w:r w:rsidRPr="00170222">
        <w:t>Daarbij hou</w:t>
      </w:r>
      <w:r>
        <w:t>dt het kabinet</w:t>
      </w:r>
      <w:r w:rsidRPr="00170222">
        <w:t xml:space="preserve"> uiteraard </w:t>
      </w:r>
      <w:r>
        <w:t xml:space="preserve">wel </w:t>
      </w:r>
      <w:r w:rsidRPr="00170222">
        <w:t xml:space="preserve">rekening met de bepalingen uit de Mijnbouwwet ten aanzien van het op een veilige en betrouwbare wijze kunnen winnen. </w:t>
      </w:r>
    </w:p>
    <w:p w:rsidRPr="00170222" w:rsidR="001A1AE5" w:rsidP="001A1AE5" w:rsidRDefault="001A1AE5" w14:paraId="1E1B1D94" w14:textId="77777777">
      <w:r>
        <w:t xml:space="preserve">Op dit moment is Nederland een netto-importeur van gas. Daarom heeft Nederland belang heeft bij een open en transparante interne markt voor gas waarbij vrijelijk over grenzen heen wordt gehandeld. Alleen zo kan er voldoende gas naar Nederland komen. Dit betekent ook dat het in Nederland gewonnen gas niet exclusief kan worden gereserveerd voor binnenlands verbruik. </w:t>
      </w:r>
    </w:p>
    <w:p w:rsidR="001A1AE5" w:rsidP="001A1AE5" w:rsidRDefault="001A1AE5" w14:paraId="114A6BBE" w14:textId="77777777"/>
    <w:p w:rsidR="001A1AE5" w:rsidP="001A1AE5" w:rsidRDefault="001A1AE5" w14:paraId="6F141B9B" w14:textId="77777777">
      <w:r>
        <w:t>12</w:t>
      </w:r>
    </w:p>
    <w:p w:rsidR="001A1AE5" w:rsidP="001A1AE5" w:rsidRDefault="001A1AE5" w14:paraId="7174035D" w14:textId="77777777">
      <w:r w:rsidRPr="00170222">
        <w:t>Kunt u aangeven hoe zorgelijk het is dat de vulgraad van de gasopslagen op dit moment zo laag zijn en nu al ruim onder het vijfjarig gemiddelde voor 1 mei liggen van 42%, zoals u aangaf op eerdere Kamervragen</w:t>
      </w:r>
      <w:r>
        <w:rPr>
          <w:rStyle w:val="Voetnootmarkering"/>
        </w:rPr>
        <w:footnoteReference w:id="12"/>
      </w:r>
      <w:r w:rsidRPr="00170222">
        <w:t xml:space="preserve">? Denkt u dat Nederlandse gasaanbieders aankomend jaar een inhaalslag voor de inkoop van gas moeten </w:t>
      </w:r>
      <w:r w:rsidRPr="00170222">
        <w:lastRenderedPageBreak/>
        <w:t>bewerkstelligen om leveringszekerheid te garanderen? Zo ja, hoe bent u voornemens deze bedrijven hiertoe aan te moedigen?</w:t>
      </w:r>
    </w:p>
    <w:p w:rsidR="001A1AE5" w:rsidP="001A1AE5" w:rsidRDefault="001A1AE5" w14:paraId="0AB202F2" w14:textId="77777777"/>
    <w:p w:rsidRPr="00170222" w:rsidR="001A1AE5" w:rsidP="001A1AE5" w:rsidRDefault="001A1AE5" w14:paraId="6A27B0A3" w14:textId="77777777">
      <w:r>
        <w:t>Antwoord</w:t>
      </w:r>
    </w:p>
    <w:p w:rsidR="001A1AE5" w:rsidP="001A1AE5" w:rsidRDefault="001A1AE5" w14:paraId="0FB05C4C" w14:textId="77777777">
      <w:r w:rsidRPr="00170222">
        <w:t xml:space="preserve">Een weerbaar en robuust gassysteem is een belangrijke prioriteit van het kabinet. Gasopslag is een belangrijk onderdeel hiervan. Dat de gasopslagen in de winter gebruikt worden, en de vulgraad dus daalt, is logisch: de functie van seizoensopslagen is om te voorzien in de hogere gasvraag in de winter. Daarbij is het goed om aan te geven dat het ook met een lage vulgraad op 1 april </w:t>
      </w:r>
      <w:r w:rsidRPr="00170222">
        <w:rPr>
          <w:i/>
          <w:iCs/>
        </w:rPr>
        <w:t>technisch</w:t>
      </w:r>
      <w:r w:rsidRPr="00170222">
        <w:t xml:space="preserve"> mogelijk is om de opslagen weer adequaat gevuld te krijgen op 1 november</w:t>
      </w:r>
      <w:r>
        <w:rPr>
          <w:rStyle w:val="Voetnootmarkering"/>
        </w:rPr>
        <w:footnoteReference w:id="13"/>
      </w:r>
      <w:r w:rsidRPr="00170222">
        <w:t>. De capaciteit van de gasinfrastructuur – zoals de LNG-importterminals en de pijpleidingverbindingen met buurlanden – is groot genoeg om voldoende gas in het vulseizoen te kunnen importeren om de gasopslagen gemiddeld tot minimaal 80% te vullen</w:t>
      </w:r>
      <w:r w:rsidRPr="00170222">
        <w:rPr>
          <w:vertAlign w:val="superscript"/>
        </w:rPr>
        <w:footnoteReference w:id="14"/>
      </w:r>
      <w:r w:rsidRPr="00170222">
        <w:t>. Het kabinet ziet hierbij</w:t>
      </w:r>
      <w:r>
        <w:t xml:space="preserve"> </w:t>
      </w:r>
      <w:r w:rsidRPr="00170222">
        <w:t>wel een uitdaging, omdat de prijzen voor gas in de aankomende zomer op dit moment hoger zijn dan de gasprijzen voor de daaropvolgende winter (2025/26).</w:t>
      </w:r>
      <w:r>
        <w:t xml:space="preserve"> Dit kan veranderen.</w:t>
      </w:r>
      <w:r w:rsidRPr="00170222">
        <w:t xml:space="preserve"> </w:t>
      </w:r>
      <w:r>
        <w:t>Zo zijn de afgelopen weken de groothandelsprijzen in de komende zomerperiode gedaald. Daardoor is het negatieve verschil tussen de prijs in de zomer van 2025 in de winter van 2025/2026, de zogenoemde negatieve spread, veel kleiner geworden.</w:t>
      </w:r>
      <w:r w:rsidRPr="002854DB">
        <w:rPr>
          <w:rStyle w:val="Voetnootmarkering"/>
        </w:rPr>
        <w:t xml:space="preserve"> </w:t>
      </w:r>
      <w:r>
        <w:rPr>
          <w:rStyle w:val="Voetnootmarkering"/>
        </w:rPr>
        <w:footnoteReference w:id="15"/>
      </w:r>
      <w:r>
        <w:t xml:space="preserve"> </w:t>
      </w:r>
    </w:p>
    <w:p w:rsidRPr="00170222" w:rsidR="001A1AE5" w:rsidP="001A1AE5" w:rsidRDefault="001A1AE5" w14:paraId="7BD1857B" w14:textId="77777777"/>
    <w:p w:rsidRPr="00170222" w:rsidR="001A1AE5" w:rsidP="001A1AE5" w:rsidRDefault="001A1AE5" w14:paraId="2FFAB087" w14:textId="77777777">
      <w:r w:rsidRPr="00170222">
        <w:t xml:space="preserve">Het kabinet heeft daarom de volle aandacht voor het aankomende vulseizoen. Het kabinet kan – net als eerdere jaren – indien nodig via de </w:t>
      </w:r>
      <w:proofErr w:type="spellStart"/>
      <w:r w:rsidRPr="00170222">
        <w:t>vultaak</w:t>
      </w:r>
      <w:proofErr w:type="spellEnd"/>
      <w:r w:rsidRPr="00170222">
        <w:t xml:space="preserve"> van EBN bijspringen als gasopslagen onvoldoende gevuld worden door marktpartijen. Op basis van deze </w:t>
      </w:r>
      <w:proofErr w:type="spellStart"/>
      <w:r w:rsidRPr="00170222">
        <w:t>vultaak</w:t>
      </w:r>
      <w:proofErr w:type="spellEnd"/>
      <w:r w:rsidRPr="00170222">
        <w:t xml:space="preserve"> kan EBN er ook voor kiezen om gas dat EBN al heeft opgeslagen in de opslag te houden (doorrollen). </w:t>
      </w:r>
    </w:p>
    <w:p w:rsidR="001A1AE5" w:rsidP="001A1AE5" w:rsidRDefault="001A1AE5" w14:paraId="3F52F3CC" w14:textId="77777777"/>
    <w:p w:rsidR="001A1AE5" w:rsidP="001A1AE5" w:rsidRDefault="001A1AE5" w14:paraId="6C5FC142" w14:textId="77777777">
      <w:r w:rsidRPr="00170222">
        <w:t xml:space="preserve">Daarnaast herhaalt het kabinet dat het voor de gasleveringszekerheid belangrijk blijft dat marktpartijen zeker stellen dat ze </w:t>
      </w:r>
      <w:r>
        <w:t>aa</w:t>
      </w:r>
      <w:r w:rsidRPr="00170222">
        <w:t xml:space="preserve">n hun leveringsverplichtingen kunnen voldoen. Hierbij wijst het kabinet erop dat in de Energiewet regels worden gesteld voor leveranciers met een vergunning voor de levering aan kleinverbruikers, waaronder dat zij moeten voorzien in een betrouwbare levering. </w:t>
      </w:r>
      <w:r>
        <w:t xml:space="preserve">De </w:t>
      </w:r>
      <w:r w:rsidRPr="00170222">
        <w:t>ACM houdt toezicht op de naleving van deze wettelijke verplichtingen.</w:t>
      </w:r>
    </w:p>
    <w:p w:rsidR="001A1AE5" w:rsidP="001A1AE5" w:rsidRDefault="001A1AE5" w14:paraId="3085ED40" w14:textId="77777777"/>
    <w:p w:rsidRPr="00170222" w:rsidR="001A1AE5" w:rsidP="001A1AE5" w:rsidRDefault="001A1AE5" w14:paraId="1CEB75DC" w14:textId="77777777">
      <w:r>
        <w:t>In april komt het kabinet met een volgende update over de gasleveringszekerheid.</w:t>
      </w:r>
    </w:p>
    <w:p w:rsidR="001A1AE5" w:rsidP="001A1AE5" w:rsidRDefault="001A1AE5" w14:paraId="101548F3" w14:textId="77777777"/>
    <w:p w:rsidR="001A1AE5" w:rsidP="001A1AE5" w:rsidRDefault="001A1AE5" w14:paraId="1B9C4575" w14:textId="77777777"/>
    <w:p w:rsidR="00E62297" w:rsidRDefault="00E62297" w14:paraId="55214F4D" w14:textId="77777777"/>
    <w:sectPr w:rsidR="00E62297" w:rsidSect="001A1A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F6BD" w14:textId="77777777" w:rsidR="001A1AE5" w:rsidRDefault="001A1AE5" w:rsidP="001A1AE5">
      <w:pPr>
        <w:spacing w:after="0" w:line="240" w:lineRule="auto"/>
      </w:pPr>
      <w:r>
        <w:separator/>
      </w:r>
    </w:p>
  </w:endnote>
  <w:endnote w:type="continuationSeparator" w:id="0">
    <w:p w14:paraId="477A2995" w14:textId="77777777" w:rsidR="001A1AE5" w:rsidRDefault="001A1AE5" w:rsidP="001A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0123" w14:textId="77777777" w:rsidR="001A1AE5" w:rsidRPr="001A1AE5" w:rsidRDefault="001A1AE5" w:rsidP="001A1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C3C1" w14:textId="77777777" w:rsidR="001A1AE5" w:rsidRPr="001A1AE5" w:rsidRDefault="001A1AE5" w:rsidP="001A1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4AED" w14:textId="77777777" w:rsidR="001A1AE5" w:rsidRPr="001A1AE5" w:rsidRDefault="001A1AE5" w:rsidP="001A1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1501" w14:textId="77777777" w:rsidR="001A1AE5" w:rsidRDefault="001A1AE5" w:rsidP="001A1AE5">
      <w:pPr>
        <w:spacing w:after="0" w:line="240" w:lineRule="auto"/>
      </w:pPr>
      <w:r>
        <w:separator/>
      </w:r>
    </w:p>
  </w:footnote>
  <w:footnote w:type="continuationSeparator" w:id="0">
    <w:p w14:paraId="0FECF16C" w14:textId="77777777" w:rsidR="001A1AE5" w:rsidRDefault="001A1AE5" w:rsidP="001A1AE5">
      <w:pPr>
        <w:spacing w:after="0" w:line="240" w:lineRule="auto"/>
      </w:pPr>
      <w:r>
        <w:continuationSeparator/>
      </w:r>
    </w:p>
  </w:footnote>
  <w:footnote w:id="1">
    <w:p w14:paraId="55C4624A" w14:textId="77777777" w:rsidR="001A1AE5" w:rsidRPr="00287DE4" w:rsidRDefault="001A1AE5" w:rsidP="001A1AE5">
      <w:pPr>
        <w:pStyle w:val="Voetnoottekst"/>
        <w:rPr>
          <w:szCs w:val="13"/>
        </w:rPr>
      </w:pPr>
      <w:r w:rsidRPr="00287DE4">
        <w:rPr>
          <w:rStyle w:val="Voetnootmarkering"/>
          <w:szCs w:val="13"/>
        </w:rPr>
        <w:footnoteRef/>
      </w:r>
      <w:r w:rsidRPr="00287DE4">
        <w:rPr>
          <w:szCs w:val="13"/>
        </w:rPr>
        <w:t xml:space="preserve"> </w:t>
      </w:r>
      <w:r w:rsidRPr="00287DE4">
        <w:rPr>
          <w:rFonts w:eastAsia="Calibri"/>
          <w:szCs w:val="13"/>
        </w:rPr>
        <w:t>AD, 20 februari 2025, Tienduizenden huishoudens kunnen energierekening niet betalen: waarom is aardgas zo duur?</w:t>
      </w:r>
    </w:p>
  </w:footnote>
  <w:footnote w:id="2">
    <w:p w14:paraId="69FB8B8B" w14:textId="77777777" w:rsidR="001A1AE5" w:rsidRPr="00796FDD" w:rsidRDefault="001A1AE5" w:rsidP="001A1AE5">
      <w:pPr>
        <w:pStyle w:val="Voetnoottekst"/>
      </w:pPr>
      <w:r w:rsidRPr="00287DE4">
        <w:rPr>
          <w:rStyle w:val="Voetnootmarkering"/>
          <w:szCs w:val="13"/>
        </w:rPr>
        <w:footnoteRef/>
      </w:r>
      <w:r w:rsidRPr="00287DE4">
        <w:rPr>
          <w:szCs w:val="13"/>
        </w:rPr>
        <w:t xml:space="preserve"> </w:t>
      </w:r>
      <w:hyperlink r:id="rId1" w:anchor="/CBS/nl/dataset/85592NED/table" w:history="1">
        <w:proofErr w:type="spellStart"/>
        <w:r w:rsidRPr="00287DE4">
          <w:rPr>
            <w:rStyle w:val="Hyperlink"/>
            <w:szCs w:val="13"/>
          </w:rPr>
          <w:t>StatLine</w:t>
        </w:r>
        <w:proofErr w:type="spellEnd"/>
        <w:r w:rsidRPr="00287DE4">
          <w:rPr>
            <w:rStyle w:val="Hyperlink"/>
            <w:szCs w:val="13"/>
          </w:rPr>
          <w:t xml:space="preserve"> - Gemiddelde energietarieven voor consumenten</w:t>
        </w:r>
      </w:hyperlink>
    </w:p>
  </w:footnote>
  <w:footnote w:id="3">
    <w:p w14:paraId="72254B74" w14:textId="77777777" w:rsidR="001A1AE5" w:rsidRDefault="001A1AE5" w:rsidP="001A1AE5">
      <w:pPr>
        <w:pStyle w:val="Voetnoottekst"/>
      </w:pPr>
      <w:r>
        <w:rPr>
          <w:rStyle w:val="Voetnootmarkering"/>
        </w:rPr>
        <w:footnoteRef/>
      </w:r>
      <w:r>
        <w:t xml:space="preserve"> Vanaf 1 januari 2024 opgesplitst in eerste schijf 0-1.000 m3 en tweede schijf 1.001-170.000 m3. De tarieven zijn gelijk.</w:t>
      </w:r>
    </w:p>
  </w:footnote>
  <w:footnote w:id="4">
    <w:p w14:paraId="1BCC99ED" w14:textId="77777777" w:rsidR="001A1AE5" w:rsidRDefault="001A1AE5" w:rsidP="001A1AE5">
      <w:pPr>
        <w:pStyle w:val="Voetnoottekst"/>
      </w:pPr>
      <w:r>
        <w:rPr>
          <w:rStyle w:val="Voetnootmarkering"/>
        </w:rPr>
        <w:footnoteRef/>
      </w:r>
      <w:r>
        <w:t xml:space="preserve"> Voor zover beschikbaar.</w:t>
      </w:r>
    </w:p>
  </w:footnote>
  <w:footnote w:id="5">
    <w:p w14:paraId="1339EB72" w14:textId="77777777" w:rsidR="001A1AE5" w:rsidRDefault="001A1AE5" w:rsidP="001A1AE5">
      <w:pPr>
        <w:pStyle w:val="Voetnoottekst"/>
      </w:pPr>
      <w:r>
        <w:rPr>
          <w:rStyle w:val="Voetnootmarkering"/>
        </w:rPr>
        <w:footnoteRef/>
      </w:r>
      <w:r>
        <w:t xml:space="preserve"> Vanaf 1 januari 2024 opgesplitst in eerste schijf 0-2.900 kWh en tweede schijf 2.901-10.000 kWh. De tarieven zijn gelijk.</w:t>
      </w:r>
    </w:p>
  </w:footnote>
  <w:footnote w:id="6">
    <w:p w14:paraId="300A3FCB" w14:textId="77777777" w:rsidR="001A1AE5" w:rsidRDefault="001A1AE5" w:rsidP="001A1AE5">
      <w:pPr>
        <w:pStyle w:val="Voetnoottekst"/>
      </w:pPr>
      <w:r>
        <w:rPr>
          <w:rStyle w:val="Voetnootmarkering"/>
        </w:rPr>
        <w:footnoteRef/>
      </w:r>
      <w:r>
        <w:t xml:space="preserve"> Voor zover beschikbaar.</w:t>
      </w:r>
    </w:p>
  </w:footnote>
  <w:footnote w:id="7">
    <w:p w14:paraId="143E1E3F" w14:textId="77777777" w:rsidR="001A1AE5" w:rsidRPr="003351CE" w:rsidRDefault="001A1AE5" w:rsidP="001A1AE5">
      <w:pPr>
        <w:pStyle w:val="Voetnoottekst"/>
      </w:pPr>
      <w:r>
        <w:rPr>
          <w:rStyle w:val="Voetnootmarkering"/>
        </w:rPr>
        <w:footnoteRef/>
      </w:r>
      <w:r>
        <w:t xml:space="preserve"> </w:t>
      </w:r>
      <w:hyperlink r:id="rId2" w:anchor="/CBS/nl/dataset/85666NED/table?dl=B7295" w:history="1">
        <w:proofErr w:type="spellStart"/>
        <w:r w:rsidRPr="003351CE">
          <w:rPr>
            <w:rStyle w:val="Hyperlink"/>
          </w:rPr>
          <w:t>StatLine</w:t>
        </w:r>
        <w:proofErr w:type="spellEnd"/>
        <w:r w:rsidRPr="003351CE">
          <w:rPr>
            <w:rStyle w:val="Hyperlink"/>
          </w:rPr>
          <w:t xml:space="preserve"> - Eindverbruikersprijzen aardgas en elektriciteit</w:t>
        </w:r>
      </w:hyperlink>
    </w:p>
  </w:footnote>
  <w:footnote w:id="8">
    <w:p w14:paraId="2E1B2603" w14:textId="77777777" w:rsidR="001A1AE5" w:rsidRDefault="001A1AE5" w:rsidP="001A1AE5">
      <w:pPr>
        <w:pStyle w:val="Voetnoottekst"/>
      </w:pPr>
      <w:r w:rsidRPr="4971C68A">
        <w:rPr>
          <w:rStyle w:val="Voetnootmarkering"/>
        </w:rPr>
        <w:footnoteRef/>
      </w:r>
      <w:r>
        <w:t xml:space="preserve"> </w:t>
      </w:r>
      <w:hyperlink r:id="rId3">
        <w:r w:rsidRPr="4971C68A">
          <w:rPr>
            <w:rStyle w:val="Hyperlink"/>
          </w:rPr>
          <w:t>Gemiddelde energietarieven voor consumenten | CBS</w:t>
        </w:r>
      </w:hyperlink>
    </w:p>
  </w:footnote>
  <w:footnote w:id="9">
    <w:p w14:paraId="628E13BC" w14:textId="77777777" w:rsidR="001A1AE5" w:rsidRDefault="001A1AE5" w:rsidP="001A1AE5">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w:t>
      </w:r>
      <w:hyperlink r:id="rId4" w:history="1">
        <w:r>
          <w:rPr>
            <w:rStyle w:val="Hyperlink"/>
          </w:rPr>
          <w:t>Energielevering particuliere woningen naar woningkenmerken, 2019-2023 | CBS</w:t>
        </w:r>
      </w:hyperlink>
    </w:p>
  </w:footnote>
  <w:footnote w:id="10">
    <w:p w14:paraId="7F97FA8B" w14:textId="77777777" w:rsidR="001A1AE5" w:rsidRDefault="001A1AE5" w:rsidP="001A1AE5">
      <w:pPr>
        <w:pStyle w:val="Voetnoottekst"/>
      </w:pPr>
      <w:r w:rsidRPr="4971C68A">
        <w:rPr>
          <w:rStyle w:val="Voetnootmarkering"/>
        </w:rPr>
        <w:footnoteRef/>
      </w:r>
      <w:r>
        <w:t xml:space="preserve"> </w:t>
      </w:r>
      <w:hyperlink r:id="rId5" w:anchor="1">
        <w:proofErr w:type="spellStart"/>
        <w:r w:rsidRPr="4971C68A">
          <w:rPr>
            <w:rStyle w:val="Hyperlink"/>
          </w:rPr>
          <w:t>Workbook</w:t>
        </w:r>
        <w:proofErr w:type="spellEnd"/>
        <w:r w:rsidRPr="4971C68A">
          <w:rPr>
            <w:rStyle w:val="Hyperlink"/>
          </w:rPr>
          <w:t>: Monitor Consumentenmarkt Energie</w:t>
        </w:r>
      </w:hyperlink>
    </w:p>
  </w:footnote>
  <w:footnote w:id="11">
    <w:p w14:paraId="0473B23E" w14:textId="77777777" w:rsidR="001A1AE5" w:rsidRPr="00287DE4" w:rsidRDefault="001A1AE5" w:rsidP="001A1AE5">
      <w:pPr>
        <w:pStyle w:val="Voetnoottekst"/>
      </w:pPr>
      <w:r w:rsidRPr="00287DE4">
        <w:rPr>
          <w:rStyle w:val="Voetnootmarkering"/>
        </w:rPr>
        <w:footnoteRef/>
      </w:r>
      <w:r w:rsidRPr="00287DE4">
        <w:t xml:space="preserve"> Zie ook de Kamerbrief stand van zaken gaswinning Noordzee van 5 maart 2025, Kamerstukken II 2024/25, 33529, nr. 1276. </w:t>
      </w:r>
    </w:p>
  </w:footnote>
  <w:footnote w:id="12">
    <w:p w14:paraId="65899EDB" w14:textId="77777777" w:rsidR="001A1AE5" w:rsidRPr="0088279C" w:rsidRDefault="001A1AE5" w:rsidP="001A1AE5">
      <w:pPr>
        <w:pStyle w:val="Voetnoottekst"/>
        <w:rPr>
          <w:rFonts w:ascii="Calibri" w:hAnsi="Calibri"/>
        </w:rPr>
      </w:pPr>
      <w:r w:rsidRPr="00287DE4">
        <w:rPr>
          <w:rStyle w:val="Voetnootmarkering"/>
        </w:rPr>
        <w:footnoteRef/>
      </w:r>
      <w:r w:rsidRPr="00287DE4">
        <w:t xml:space="preserve"> </w:t>
      </w:r>
      <w:r w:rsidRPr="00287DE4">
        <w:rPr>
          <w:rFonts w:eastAsia="Calibri"/>
        </w:rPr>
        <w:t>Aanhangsel Handelingen II, vergaderjaar 2023–2024, nr. 2462.</w:t>
      </w:r>
      <w:r w:rsidRPr="0088279C">
        <w:rPr>
          <w:rFonts w:ascii="Calibri" w:eastAsia="Calibri" w:hAnsi="Calibri"/>
        </w:rPr>
        <w:t xml:space="preserve">  </w:t>
      </w:r>
    </w:p>
  </w:footnote>
  <w:footnote w:id="13">
    <w:p w14:paraId="6BA02972" w14:textId="77777777" w:rsidR="001A1AE5" w:rsidRPr="00E92F41" w:rsidRDefault="001A1AE5" w:rsidP="001A1AE5">
      <w:pPr>
        <w:pStyle w:val="Voetnoottekst"/>
      </w:pPr>
      <w:r>
        <w:rPr>
          <w:rStyle w:val="Voetnootmarkering"/>
        </w:rPr>
        <w:footnoteRef/>
      </w:r>
      <w:r>
        <w:t xml:space="preserve"> </w:t>
      </w:r>
      <w:r w:rsidRPr="00E92F41">
        <w:t>Een o</w:t>
      </w:r>
      <w:r>
        <w:t>verzicht van de vulgraden sinds 2015 is eerder aan uw Kamer gecommuniceerd in Kamerstukken II, vergaderjaar 2024/25, 29023, nr. 554.</w:t>
      </w:r>
    </w:p>
  </w:footnote>
  <w:footnote w:id="14">
    <w:p w14:paraId="7A62FE36" w14:textId="77777777" w:rsidR="001A1AE5" w:rsidRDefault="001A1AE5" w:rsidP="001A1AE5">
      <w:pPr>
        <w:pStyle w:val="Voetnoottekst"/>
      </w:pPr>
      <w:r>
        <w:rPr>
          <w:rStyle w:val="Voetnootmarkering"/>
        </w:rPr>
        <w:footnoteRef/>
      </w:r>
      <w:r>
        <w:t xml:space="preserve"> Kamerstukken II 2024/25, 29023, nr. 532.</w:t>
      </w:r>
    </w:p>
  </w:footnote>
  <w:footnote w:id="15">
    <w:p w14:paraId="42BF4AF0" w14:textId="77777777" w:rsidR="001A1AE5" w:rsidRDefault="001A1AE5" w:rsidP="001A1AE5">
      <w:pPr>
        <w:pStyle w:val="Voetnoottekst"/>
      </w:pPr>
      <w:r>
        <w:rPr>
          <w:rStyle w:val="Voetnootmarkering"/>
        </w:rPr>
        <w:footnoteRef/>
      </w:r>
      <w:r>
        <w:t xml:space="preserve"> Kamerstukken II 2024/25, 29023, nr. 532 en 554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6ADE" w14:textId="77777777" w:rsidR="001A1AE5" w:rsidRPr="001A1AE5" w:rsidRDefault="001A1AE5" w:rsidP="001A1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849F" w14:textId="77777777" w:rsidR="001A1AE5" w:rsidRPr="001A1AE5" w:rsidRDefault="001A1AE5" w:rsidP="001A1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FAA8" w14:textId="77777777" w:rsidR="001A1AE5" w:rsidRPr="001A1AE5" w:rsidRDefault="001A1AE5" w:rsidP="001A1A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E5"/>
    <w:rsid w:val="001A1AE5"/>
    <w:rsid w:val="00245E9B"/>
    <w:rsid w:val="00E62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4BAC"/>
  <w15:chartTrackingRefBased/>
  <w15:docId w15:val="{923A6943-120A-4954-A888-97BFADE6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1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1A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1A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1A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1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A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1A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1A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1A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1A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1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AE5"/>
    <w:rPr>
      <w:rFonts w:eastAsiaTheme="majorEastAsia" w:cstheme="majorBidi"/>
      <w:color w:val="272727" w:themeColor="text1" w:themeTint="D8"/>
    </w:rPr>
  </w:style>
  <w:style w:type="paragraph" w:styleId="Titel">
    <w:name w:val="Title"/>
    <w:basedOn w:val="Standaard"/>
    <w:next w:val="Standaard"/>
    <w:link w:val="TitelChar"/>
    <w:uiPriority w:val="10"/>
    <w:qFormat/>
    <w:rsid w:val="001A1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AE5"/>
    <w:rPr>
      <w:i/>
      <w:iCs/>
      <w:color w:val="404040" w:themeColor="text1" w:themeTint="BF"/>
    </w:rPr>
  </w:style>
  <w:style w:type="paragraph" w:styleId="Lijstalinea">
    <w:name w:val="List Paragraph"/>
    <w:basedOn w:val="Standaard"/>
    <w:uiPriority w:val="34"/>
    <w:qFormat/>
    <w:rsid w:val="001A1AE5"/>
    <w:pPr>
      <w:ind w:left="720"/>
      <w:contextualSpacing/>
    </w:pPr>
  </w:style>
  <w:style w:type="character" w:styleId="Intensievebenadrukking">
    <w:name w:val="Intense Emphasis"/>
    <w:basedOn w:val="Standaardalinea-lettertype"/>
    <w:uiPriority w:val="21"/>
    <w:qFormat/>
    <w:rsid w:val="001A1AE5"/>
    <w:rPr>
      <w:i/>
      <w:iCs/>
      <w:color w:val="2F5496" w:themeColor="accent1" w:themeShade="BF"/>
    </w:rPr>
  </w:style>
  <w:style w:type="paragraph" w:styleId="Duidelijkcitaat">
    <w:name w:val="Intense Quote"/>
    <w:basedOn w:val="Standaard"/>
    <w:next w:val="Standaard"/>
    <w:link w:val="DuidelijkcitaatChar"/>
    <w:uiPriority w:val="30"/>
    <w:qFormat/>
    <w:rsid w:val="001A1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1AE5"/>
    <w:rPr>
      <w:i/>
      <w:iCs/>
      <w:color w:val="2F5496" w:themeColor="accent1" w:themeShade="BF"/>
    </w:rPr>
  </w:style>
  <w:style w:type="character" w:styleId="Intensieveverwijzing">
    <w:name w:val="Intense Reference"/>
    <w:basedOn w:val="Standaardalinea-lettertype"/>
    <w:uiPriority w:val="32"/>
    <w:qFormat/>
    <w:rsid w:val="001A1AE5"/>
    <w:rPr>
      <w:b/>
      <w:bCs/>
      <w:smallCaps/>
      <w:color w:val="2F5496" w:themeColor="accent1" w:themeShade="BF"/>
      <w:spacing w:val="5"/>
    </w:rPr>
  </w:style>
  <w:style w:type="paragraph" w:styleId="Koptekst">
    <w:name w:val="header"/>
    <w:basedOn w:val="Standaard"/>
    <w:link w:val="KoptekstChar"/>
    <w:rsid w:val="001A1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1AE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1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1AE5"/>
    <w:rPr>
      <w:rFonts w:ascii="Verdana" w:eastAsia="Times New Roman" w:hAnsi="Verdana" w:cs="Times New Roman"/>
      <w:kern w:val="0"/>
      <w:sz w:val="18"/>
      <w:szCs w:val="24"/>
      <w:lang w:eastAsia="nl-NL"/>
      <w14:ligatures w14:val="none"/>
    </w:rPr>
  </w:style>
  <w:style w:type="table" w:styleId="Tabelraster">
    <w:name w:val="Table Grid"/>
    <w:basedOn w:val="Standaardtabel"/>
    <w:rsid w:val="001A1AE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1A1A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1AE5"/>
    <w:rPr>
      <w:rFonts w:ascii="Verdana" w:hAnsi="Verdana"/>
      <w:noProof/>
      <w:sz w:val="13"/>
      <w:szCs w:val="24"/>
      <w:lang w:eastAsia="nl-NL"/>
    </w:rPr>
  </w:style>
  <w:style w:type="paragraph" w:customStyle="1" w:styleId="Huisstijl-Gegeven">
    <w:name w:val="Huisstijl-Gegeven"/>
    <w:basedOn w:val="Standaard"/>
    <w:link w:val="Huisstijl-GegevenCharChar"/>
    <w:rsid w:val="001A1A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1A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1AE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A1AE5"/>
    <w:rPr>
      <w:color w:val="0000FF"/>
      <w:u w:val="single"/>
    </w:rPr>
  </w:style>
  <w:style w:type="paragraph" w:customStyle="1" w:styleId="Huisstijl-Retouradres">
    <w:name w:val="Huisstijl-Retouradres"/>
    <w:basedOn w:val="Standaard"/>
    <w:rsid w:val="001A1AE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1AE5"/>
    <w:pPr>
      <w:spacing w:after="0"/>
    </w:pPr>
    <w:rPr>
      <w:b/>
    </w:rPr>
  </w:style>
  <w:style w:type="paragraph" w:customStyle="1" w:styleId="Huisstijl-Paginanummering">
    <w:name w:val="Huisstijl-Paginanummering"/>
    <w:basedOn w:val="Standaard"/>
    <w:rsid w:val="001A1AE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A1AE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A1AE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A1AE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A1AE5"/>
    <w:rPr>
      <w:b/>
      <w:bCs/>
    </w:rPr>
  </w:style>
  <w:style w:type="character" w:styleId="Voetnootmarkering">
    <w:name w:val="footnote reference"/>
    <w:basedOn w:val="Standaardalinea-lettertype"/>
    <w:uiPriority w:val="99"/>
    <w:semiHidden/>
    <w:unhideWhenUsed/>
    <w:rsid w:val="001A1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cijfers/detail/85592NED" TargetMode="External"/><Relationship Id="rId2" Type="http://schemas.openxmlformats.org/officeDocument/2006/relationships/hyperlink" Target="https://opendata.cbs.nl/statline/" TargetMode="External"/><Relationship Id="rId1" Type="http://schemas.openxmlformats.org/officeDocument/2006/relationships/hyperlink" Target="https://opendata.cbs.nl/" TargetMode="External"/><Relationship Id="rId5" Type="http://schemas.openxmlformats.org/officeDocument/2006/relationships/hyperlink" Target="https://public.tableau.com/views/MonitorConsumentenmarktEnergie/Aantalcontractenpercontracttype?%3Alanguage=en-US&amp;publish-yes=&amp;%3Asid=&amp;%3Adisplay_count=viz_share_link&amp;publish=yes&amp;%3AshowVizHome=no" TargetMode="External"/><Relationship Id="rId4" Type="http://schemas.openxmlformats.org/officeDocument/2006/relationships/hyperlink" Target="https://www.cbs.nl/nl-nl/maatwerk/2025/04/energielevering-particuliere-woningen-naar-woningkenmerken-2019-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2511</ap:Words>
  <ap:Characters>13814</ap:Characters>
  <ap:DocSecurity>0</ap:DocSecurity>
  <ap:Lines>115</ap:Lines>
  <ap:Paragraphs>32</ap:Paragraphs>
  <ap:ScaleCrop>false</ap:ScaleCrop>
  <ap:LinksUpToDate>false</ap:LinksUpToDate>
  <ap:CharactersWithSpaces>16293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2025-03-19T13:54:00.0000000Z</dcterms:created>
  <dcterms:modified xsi:type="dcterms:W3CDTF">2025-03-19T13:55:00.0000000Z</dcterms:modified>
  <version/>
  <category/>
</coreProperties>
</file>