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270D" w:rsidR="00293AA0" w:rsidP="0016270D" w:rsidRDefault="008A0E10" w14:paraId="2CFC6770" w14:textId="7B90551B">
      <w:pPr>
        <w:jc w:val="center"/>
        <w:rPr>
          <w:rFonts w:ascii="Verdana" w:hAnsi="Verdana"/>
          <w:b/>
          <w:bCs/>
          <w:sz w:val="18"/>
          <w:szCs w:val="18"/>
          <w:lang w:val="en-GB"/>
        </w:rPr>
      </w:pPr>
      <w:r w:rsidRPr="0016270D">
        <w:rPr>
          <w:rFonts w:ascii="Verdana" w:hAnsi="Verdana"/>
          <w:b/>
          <w:bCs/>
          <w:i/>
          <w:iCs/>
          <w:sz w:val="18"/>
          <w:szCs w:val="18"/>
          <w:lang w:val="en-GB"/>
        </w:rPr>
        <w:t xml:space="preserve">Non-paper on Facilitating </w:t>
      </w:r>
      <w:r w:rsidRPr="0016270D" w:rsidR="001C57F8">
        <w:rPr>
          <w:rFonts w:ascii="Verdana" w:hAnsi="Verdana"/>
          <w:b/>
          <w:bCs/>
          <w:i/>
          <w:iCs/>
          <w:sz w:val="18"/>
          <w:szCs w:val="18"/>
          <w:lang w:val="en-GB"/>
        </w:rPr>
        <w:t>P</w:t>
      </w:r>
      <w:r w:rsidRPr="0016270D" w:rsidR="00004550">
        <w:rPr>
          <w:rFonts w:ascii="Verdana" w:hAnsi="Verdana"/>
          <w:b/>
          <w:bCs/>
          <w:i/>
          <w:iCs/>
          <w:sz w:val="18"/>
          <w:szCs w:val="18"/>
          <w:lang w:val="en-GB"/>
        </w:rPr>
        <w:t>ayment</w:t>
      </w:r>
      <w:r w:rsidRPr="0016270D">
        <w:rPr>
          <w:rFonts w:ascii="Verdana" w:hAnsi="Verdana"/>
          <w:b/>
          <w:bCs/>
          <w:i/>
          <w:iCs/>
          <w:sz w:val="18"/>
          <w:szCs w:val="18"/>
          <w:lang w:val="en-GB"/>
        </w:rPr>
        <w:t xml:space="preserve"> Accounts for </w:t>
      </w:r>
      <w:r w:rsidRPr="0016270D" w:rsidR="00293AA0">
        <w:rPr>
          <w:rFonts w:ascii="Verdana" w:hAnsi="Verdana"/>
          <w:b/>
          <w:bCs/>
          <w:i/>
          <w:iCs/>
          <w:sz w:val="18"/>
          <w:szCs w:val="18"/>
          <w:lang w:val="en-GB"/>
        </w:rPr>
        <w:t>Business Customers</w:t>
      </w:r>
    </w:p>
    <w:p w:rsidRPr="0016270D" w:rsidR="000B005F" w:rsidP="0016270D" w:rsidRDefault="000B005F" w14:paraId="3E6589BA" w14:textId="162E3238">
      <w:pPr>
        <w:jc w:val="center"/>
        <w:rPr>
          <w:rFonts w:ascii="Verdana" w:hAnsi="Verdana"/>
          <w:i/>
          <w:iCs/>
          <w:sz w:val="18"/>
          <w:szCs w:val="18"/>
          <w:lang w:val="en-GB"/>
        </w:rPr>
      </w:pPr>
      <w:r w:rsidRPr="0016270D">
        <w:rPr>
          <w:rFonts w:ascii="Verdana" w:hAnsi="Verdana"/>
          <w:i/>
          <w:iCs/>
          <w:sz w:val="18"/>
          <w:szCs w:val="18"/>
          <w:lang w:val="en-GB"/>
        </w:rPr>
        <w:t xml:space="preserve">Prepared by the </w:t>
      </w:r>
      <w:r w:rsidRPr="0016270D" w:rsidR="006E24AC">
        <w:rPr>
          <w:rFonts w:ascii="Verdana" w:hAnsi="Verdana"/>
          <w:i/>
          <w:iCs/>
          <w:sz w:val="18"/>
          <w:szCs w:val="18"/>
          <w:lang w:val="en-GB"/>
        </w:rPr>
        <w:t>Ministry of Finance of the Netherlands</w:t>
      </w:r>
      <w:r w:rsidRPr="0016270D" w:rsidR="00293AA0">
        <w:rPr>
          <w:rFonts w:ascii="Verdana" w:hAnsi="Verdana"/>
          <w:b/>
          <w:bCs/>
          <w:sz w:val="18"/>
          <w:szCs w:val="18"/>
          <w:lang w:val="en-GB"/>
        </w:rPr>
        <w:t xml:space="preserve"> </w:t>
      </w:r>
      <w:r w:rsidRPr="0016270D" w:rsidR="00293AA0">
        <w:rPr>
          <w:rFonts w:ascii="Verdana" w:hAnsi="Verdana"/>
          <w:i/>
          <w:iCs/>
          <w:sz w:val="18"/>
          <w:szCs w:val="18"/>
          <w:lang w:val="en-GB"/>
        </w:rPr>
        <w:t>f</w:t>
      </w:r>
      <w:r w:rsidRPr="0016270D">
        <w:rPr>
          <w:rFonts w:ascii="Verdana" w:hAnsi="Verdana"/>
          <w:i/>
          <w:iCs/>
          <w:sz w:val="18"/>
          <w:szCs w:val="18"/>
          <w:lang w:val="en-GB"/>
        </w:rPr>
        <w:t>or discussion purposes</w:t>
      </w:r>
      <w:r w:rsidRPr="0016270D" w:rsidR="00F758B9">
        <w:rPr>
          <w:rFonts w:ascii="Verdana" w:hAnsi="Verdana"/>
          <w:i/>
          <w:iCs/>
          <w:sz w:val="18"/>
          <w:szCs w:val="18"/>
          <w:lang w:val="en-GB"/>
        </w:rPr>
        <w:t xml:space="preserve"> </w:t>
      </w:r>
      <w:r w:rsidRPr="0016270D">
        <w:rPr>
          <w:rFonts w:ascii="Verdana" w:hAnsi="Verdana"/>
          <w:i/>
          <w:iCs/>
          <w:sz w:val="18"/>
          <w:szCs w:val="18"/>
          <w:lang w:val="en-GB"/>
        </w:rPr>
        <w:t>/ for informal consultation</w:t>
      </w:r>
    </w:p>
    <w:p w:rsidRPr="0016270D" w:rsidR="007726EB" w:rsidP="0016270D" w:rsidRDefault="0012195E" w14:paraId="34CDB0DE" w14:textId="7C301BD2">
      <w:pPr>
        <w:rPr>
          <w:rFonts w:ascii="Verdana" w:hAnsi="Verdana"/>
          <w:sz w:val="18"/>
          <w:szCs w:val="18"/>
          <w:lang w:val="en-GB"/>
        </w:rPr>
      </w:pPr>
      <w:bookmarkStart w:name="_Hlk185411365" w:id="0"/>
      <w:r w:rsidRPr="0016270D">
        <w:rPr>
          <w:rFonts w:ascii="Verdana" w:hAnsi="Verdana"/>
          <w:b/>
          <w:bCs/>
          <w:sz w:val="18"/>
          <w:szCs w:val="18"/>
          <w:lang w:val="en-GB"/>
        </w:rPr>
        <w:t>In principle, a</w:t>
      </w:r>
      <w:r w:rsidRPr="0016270D" w:rsidR="007726EB">
        <w:rPr>
          <w:rFonts w:ascii="Verdana" w:hAnsi="Verdana"/>
          <w:b/>
          <w:bCs/>
          <w:sz w:val="18"/>
          <w:szCs w:val="18"/>
          <w:lang w:val="en-GB"/>
        </w:rPr>
        <w:t xml:space="preserve">ll </w:t>
      </w:r>
      <w:r w:rsidRPr="0016270D" w:rsidR="00680567">
        <w:rPr>
          <w:rFonts w:ascii="Verdana" w:hAnsi="Verdana"/>
          <w:b/>
          <w:bCs/>
          <w:sz w:val="18"/>
          <w:szCs w:val="18"/>
          <w:lang w:val="en-GB"/>
        </w:rPr>
        <w:t xml:space="preserve">bona fide </w:t>
      </w:r>
      <w:r w:rsidRPr="0016270D" w:rsidR="00B65252">
        <w:rPr>
          <w:rFonts w:ascii="Verdana" w:hAnsi="Verdana"/>
          <w:b/>
          <w:bCs/>
          <w:sz w:val="18"/>
          <w:szCs w:val="18"/>
          <w:lang w:val="en-GB"/>
        </w:rPr>
        <w:t>business customers</w:t>
      </w:r>
      <w:r w:rsidR="00A65885">
        <w:rPr>
          <w:rStyle w:val="Voetnootmarkering"/>
          <w:rFonts w:ascii="Verdana" w:hAnsi="Verdana"/>
          <w:b/>
          <w:bCs/>
          <w:sz w:val="18"/>
          <w:szCs w:val="18"/>
          <w:lang w:val="en-GB"/>
        </w:rPr>
        <w:footnoteReference w:id="1"/>
      </w:r>
      <w:r w:rsidRPr="0016270D" w:rsidR="00B65252">
        <w:rPr>
          <w:rFonts w:ascii="Verdana" w:hAnsi="Verdana"/>
          <w:b/>
          <w:bCs/>
          <w:sz w:val="18"/>
          <w:szCs w:val="18"/>
          <w:lang w:val="en-GB"/>
        </w:rPr>
        <w:t xml:space="preserve"> </w:t>
      </w:r>
      <w:r w:rsidRPr="0016270D" w:rsidR="007726EB">
        <w:rPr>
          <w:rFonts w:ascii="Verdana" w:hAnsi="Verdana"/>
          <w:b/>
          <w:bCs/>
          <w:sz w:val="18"/>
          <w:szCs w:val="18"/>
          <w:lang w:val="en-GB"/>
        </w:rPr>
        <w:t xml:space="preserve">should </w:t>
      </w:r>
      <w:r w:rsidRPr="0016270D" w:rsidR="00235C68">
        <w:rPr>
          <w:rFonts w:ascii="Verdana" w:hAnsi="Verdana"/>
          <w:b/>
          <w:bCs/>
          <w:sz w:val="18"/>
          <w:szCs w:val="18"/>
          <w:lang w:val="en-GB"/>
        </w:rPr>
        <w:t>have equal</w:t>
      </w:r>
      <w:r w:rsidRPr="0016270D" w:rsidR="007726EB">
        <w:rPr>
          <w:rFonts w:ascii="Verdana" w:hAnsi="Verdana"/>
          <w:b/>
          <w:bCs/>
          <w:sz w:val="18"/>
          <w:szCs w:val="18"/>
          <w:lang w:val="en-GB"/>
        </w:rPr>
        <w:t xml:space="preserve"> access </w:t>
      </w:r>
      <w:r w:rsidRPr="0016270D" w:rsidR="00235C68">
        <w:rPr>
          <w:rFonts w:ascii="Verdana" w:hAnsi="Verdana"/>
          <w:b/>
          <w:bCs/>
          <w:sz w:val="18"/>
          <w:szCs w:val="18"/>
          <w:lang w:val="en-GB"/>
        </w:rPr>
        <w:t xml:space="preserve">to </w:t>
      </w:r>
      <w:r w:rsidRPr="0016270D" w:rsidR="007726EB">
        <w:rPr>
          <w:rFonts w:ascii="Verdana" w:hAnsi="Verdana"/>
          <w:b/>
          <w:bCs/>
          <w:sz w:val="18"/>
          <w:szCs w:val="18"/>
          <w:lang w:val="en-GB"/>
        </w:rPr>
        <w:t>financial services</w:t>
      </w:r>
      <w:r w:rsidR="00C86717">
        <w:rPr>
          <w:rFonts w:ascii="Verdana" w:hAnsi="Verdana"/>
          <w:b/>
          <w:bCs/>
          <w:sz w:val="18"/>
          <w:szCs w:val="18"/>
          <w:lang w:val="en-GB"/>
        </w:rPr>
        <w:t xml:space="preserve"> i.e. payment accounts</w:t>
      </w:r>
      <w:r w:rsidRPr="0016270D" w:rsidR="00235C68">
        <w:rPr>
          <w:rFonts w:ascii="Verdana" w:hAnsi="Verdana"/>
          <w:b/>
          <w:bCs/>
          <w:sz w:val="18"/>
          <w:szCs w:val="18"/>
          <w:lang w:val="en-GB"/>
        </w:rPr>
        <w:t>, subject to certain</w:t>
      </w:r>
      <w:r w:rsidRPr="0016270D" w:rsidR="007726EB">
        <w:rPr>
          <w:rFonts w:ascii="Verdana" w:hAnsi="Verdana"/>
          <w:b/>
          <w:bCs/>
          <w:sz w:val="18"/>
          <w:szCs w:val="18"/>
          <w:lang w:val="en-GB"/>
        </w:rPr>
        <w:t xml:space="preserve"> </w:t>
      </w:r>
      <w:r w:rsidRPr="0016270D" w:rsidR="00397347">
        <w:rPr>
          <w:rFonts w:ascii="Verdana" w:hAnsi="Verdana"/>
          <w:b/>
          <w:bCs/>
          <w:sz w:val="18"/>
          <w:szCs w:val="18"/>
          <w:lang w:val="en-GB"/>
        </w:rPr>
        <w:t>(legal) exceptions</w:t>
      </w:r>
      <w:r w:rsidRPr="0016270D">
        <w:rPr>
          <w:rFonts w:ascii="Verdana" w:hAnsi="Verdana"/>
          <w:b/>
          <w:bCs/>
          <w:sz w:val="18"/>
          <w:szCs w:val="18"/>
          <w:lang w:val="en-GB"/>
        </w:rPr>
        <w:t>.</w:t>
      </w:r>
      <w:r w:rsidRPr="0016270D" w:rsidR="00397347">
        <w:rPr>
          <w:rFonts w:ascii="Verdana" w:hAnsi="Verdana"/>
          <w:b/>
          <w:bCs/>
          <w:sz w:val="18"/>
          <w:szCs w:val="18"/>
          <w:lang w:val="en-GB"/>
        </w:rPr>
        <w:t xml:space="preserve"> Access should be </w:t>
      </w:r>
      <w:r w:rsidRPr="0016270D" w:rsidR="00235C68">
        <w:rPr>
          <w:rFonts w:ascii="Verdana" w:hAnsi="Verdana"/>
          <w:b/>
          <w:bCs/>
          <w:sz w:val="18"/>
          <w:szCs w:val="18"/>
          <w:lang w:val="en-GB"/>
        </w:rPr>
        <w:t xml:space="preserve">provided </w:t>
      </w:r>
      <w:r w:rsidRPr="0016270D" w:rsidR="007726EB">
        <w:rPr>
          <w:rFonts w:ascii="Verdana" w:hAnsi="Verdana"/>
          <w:b/>
          <w:bCs/>
          <w:sz w:val="18"/>
          <w:szCs w:val="18"/>
          <w:lang w:val="en-GB"/>
        </w:rPr>
        <w:t>without discrimination</w:t>
      </w:r>
      <w:r w:rsidRPr="0016270D" w:rsidR="00235C68">
        <w:rPr>
          <w:rFonts w:ascii="Verdana" w:hAnsi="Verdana"/>
          <w:b/>
          <w:bCs/>
          <w:sz w:val="18"/>
          <w:szCs w:val="18"/>
          <w:lang w:val="en-GB"/>
        </w:rPr>
        <w:t xml:space="preserve"> to enable full participation </w:t>
      </w:r>
      <w:r w:rsidRPr="0016270D" w:rsidR="00B65252">
        <w:rPr>
          <w:rFonts w:ascii="Verdana" w:hAnsi="Verdana"/>
          <w:b/>
          <w:bCs/>
          <w:sz w:val="18"/>
          <w:szCs w:val="18"/>
          <w:lang w:val="en-GB"/>
        </w:rPr>
        <w:t xml:space="preserve">in </w:t>
      </w:r>
      <w:r w:rsidRPr="0016270D" w:rsidR="00680567">
        <w:rPr>
          <w:rFonts w:ascii="Verdana" w:hAnsi="Verdana"/>
          <w:b/>
          <w:bCs/>
          <w:sz w:val="18"/>
          <w:szCs w:val="18"/>
          <w:lang w:val="en-GB"/>
        </w:rPr>
        <w:t>the economy</w:t>
      </w:r>
      <w:r w:rsidRPr="0016270D" w:rsidR="007726EB">
        <w:rPr>
          <w:rFonts w:ascii="Verdana" w:hAnsi="Verdana"/>
          <w:b/>
          <w:bCs/>
          <w:sz w:val="18"/>
          <w:szCs w:val="18"/>
          <w:lang w:val="en-GB"/>
        </w:rPr>
        <w:t>.</w:t>
      </w:r>
      <w:r w:rsidRPr="0016270D" w:rsidR="007726EB">
        <w:rPr>
          <w:rFonts w:ascii="Verdana" w:hAnsi="Verdana"/>
          <w:sz w:val="18"/>
          <w:szCs w:val="18"/>
          <w:lang w:val="en-GB"/>
        </w:rPr>
        <w:t xml:space="preserve"> </w:t>
      </w:r>
      <w:bookmarkEnd w:id="0"/>
      <w:r w:rsidRPr="0016270D" w:rsidR="007726EB">
        <w:rPr>
          <w:rFonts w:ascii="Verdana" w:hAnsi="Verdana"/>
          <w:sz w:val="18"/>
          <w:szCs w:val="18"/>
          <w:lang w:val="en-GB"/>
        </w:rPr>
        <w:t xml:space="preserve">Business customers experience different problems with regards to opening </w:t>
      </w:r>
      <w:r w:rsidR="00D25C95">
        <w:rPr>
          <w:rFonts w:ascii="Verdana" w:hAnsi="Verdana"/>
          <w:sz w:val="18"/>
          <w:szCs w:val="18"/>
          <w:lang w:val="en-GB"/>
        </w:rPr>
        <w:t xml:space="preserve">and maintaining </w:t>
      </w:r>
      <w:r w:rsidRPr="0016270D" w:rsidR="007726EB">
        <w:rPr>
          <w:rFonts w:ascii="Verdana" w:hAnsi="Verdana"/>
          <w:sz w:val="18"/>
          <w:szCs w:val="18"/>
          <w:lang w:val="en-GB"/>
        </w:rPr>
        <w:t xml:space="preserve">a payment account. Therefore, </w:t>
      </w:r>
      <w:r w:rsidRPr="0016270D" w:rsidR="00683350">
        <w:rPr>
          <w:rFonts w:ascii="Verdana" w:hAnsi="Verdana"/>
          <w:sz w:val="18"/>
          <w:szCs w:val="18"/>
          <w:lang w:val="en-GB"/>
        </w:rPr>
        <w:t>t</w:t>
      </w:r>
      <w:r w:rsidRPr="0016270D" w:rsidR="00576E54">
        <w:rPr>
          <w:rFonts w:ascii="Verdana" w:hAnsi="Verdana"/>
          <w:sz w:val="18"/>
          <w:szCs w:val="18"/>
          <w:lang w:val="en-GB"/>
        </w:rPr>
        <w:t xml:space="preserve">he Netherlands and </w:t>
      </w:r>
      <w:r w:rsidR="007A2966">
        <w:rPr>
          <w:rFonts w:ascii="Verdana" w:hAnsi="Verdana"/>
          <w:sz w:val="18"/>
          <w:szCs w:val="18"/>
          <w:lang w:val="en-GB"/>
        </w:rPr>
        <w:t>Finland</w:t>
      </w:r>
      <w:r w:rsidRPr="0016270D" w:rsidR="00576E54">
        <w:rPr>
          <w:rFonts w:ascii="Verdana" w:hAnsi="Verdana"/>
          <w:sz w:val="18"/>
          <w:szCs w:val="18"/>
          <w:lang w:val="en-GB"/>
        </w:rPr>
        <w:t xml:space="preserve"> call on</w:t>
      </w:r>
      <w:r w:rsidRPr="0016270D" w:rsidR="007726EB">
        <w:rPr>
          <w:rFonts w:ascii="Verdana" w:hAnsi="Verdana"/>
          <w:sz w:val="18"/>
          <w:szCs w:val="18"/>
          <w:lang w:val="en-GB"/>
        </w:rPr>
        <w:t xml:space="preserve"> the </w:t>
      </w:r>
      <w:r w:rsidR="00D25C95">
        <w:rPr>
          <w:rFonts w:ascii="Verdana" w:hAnsi="Verdana"/>
          <w:sz w:val="18"/>
          <w:szCs w:val="18"/>
          <w:lang w:val="en-GB"/>
        </w:rPr>
        <w:t xml:space="preserve">European </w:t>
      </w:r>
      <w:r w:rsidRPr="0016270D" w:rsidR="007726EB">
        <w:rPr>
          <w:rFonts w:ascii="Verdana" w:hAnsi="Verdana"/>
          <w:sz w:val="18"/>
          <w:szCs w:val="18"/>
          <w:lang w:val="en-GB"/>
        </w:rPr>
        <w:t>Commission to propose legislation to facilitate access to financial services</w:t>
      </w:r>
      <w:r w:rsidRPr="0016270D" w:rsidR="00397347">
        <w:rPr>
          <w:rFonts w:ascii="Verdana" w:hAnsi="Verdana"/>
          <w:sz w:val="18"/>
          <w:szCs w:val="18"/>
          <w:lang w:val="en-GB"/>
        </w:rPr>
        <w:t>, in particular access to a payment account t</w:t>
      </w:r>
      <w:r w:rsidRPr="0016270D" w:rsidR="007726EB">
        <w:rPr>
          <w:rFonts w:ascii="Verdana" w:hAnsi="Verdana"/>
          <w:sz w:val="18"/>
          <w:szCs w:val="18"/>
          <w:lang w:val="en-GB"/>
        </w:rPr>
        <w:t xml:space="preserve">o </w:t>
      </w:r>
      <w:r w:rsidRPr="0016270D" w:rsidR="00987F81">
        <w:rPr>
          <w:rFonts w:ascii="Verdana" w:hAnsi="Verdana"/>
          <w:sz w:val="18"/>
          <w:szCs w:val="18"/>
          <w:lang w:val="en-GB"/>
        </w:rPr>
        <w:t>all customers (i.e. business customers)</w:t>
      </w:r>
      <w:r w:rsidRPr="0016270D" w:rsidR="007726EB">
        <w:rPr>
          <w:rFonts w:ascii="Verdana" w:hAnsi="Verdana"/>
          <w:sz w:val="18"/>
          <w:szCs w:val="18"/>
          <w:lang w:val="en-GB"/>
        </w:rPr>
        <w:t>.</w:t>
      </w:r>
    </w:p>
    <w:p w:rsidRPr="0016270D" w:rsidR="004A1E5C" w:rsidP="0016270D" w:rsidRDefault="009A24E5" w14:paraId="069FE207" w14:textId="57D5CA4B">
      <w:pPr>
        <w:pStyle w:val="Lijstalinea"/>
        <w:numPr>
          <w:ilvl w:val="0"/>
          <w:numId w:val="13"/>
        </w:numPr>
        <w:rPr>
          <w:rFonts w:ascii="Verdana" w:hAnsi="Verdana"/>
          <w:b/>
          <w:bCs/>
          <w:sz w:val="18"/>
          <w:szCs w:val="18"/>
        </w:rPr>
      </w:pPr>
      <w:proofErr w:type="spellStart"/>
      <w:r w:rsidRPr="0016270D">
        <w:rPr>
          <w:rFonts w:ascii="Verdana" w:hAnsi="Verdana"/>
          <w:b/>
          <w:bCs/>
          <w:sz w:val="18"/>
          <w:szCs w:val="18"/>
        </w:rPr>
        <w:t>Introduction</w:t>
      </w:r>
      <w:proofErr w:type="spellEnd"/>
    </w:p>
    <w:p w:rsidRPr="00947306" w:rsidR="009E20F4" w:rsidP="0016270D" w:rsidRDefault="002C6BF3" w14:paraId="77BC6E58" w14:textId="40AD2929">
      <w:pPr>
        <w:rPr>
          <w:rFonts w:ascii="Verdana" w:hAnsi="Verdana"/>
          <w:sz w:val="18"/>
          <w:szCs w:val="18"/>
          <w:lang w:val="en-GB"/>
        </w:rPr>
      </w:pPr>
      <w:r w:rsidRPr="004F5402">
        <w:rPr>
          <w:rFonts w:ascii="Verdana" w:hAnsi="Verdana"/>
          <w:b/>
          <w:bCs/>
          <w:sz w:val="18"/>
          <w:szCs w:val="18"/>
          <w:lang w:val="en-GB"/>
        </w:rPr>
        <w:t xml:space="preserve">Business </w:t>
      </w:r>
      <w:r w:rsidRPr="00A65885">
        <w:rPr>
          <w:rFonts w:ascii="Verdana" w:hAnsi="Verdana"/>
          <w:b/>
          <w:bCs/>
          <w:sz w:val="18"/>
          <w:szCs w:val="18"/>
          <w:lang w:val="en-GB"/>
        </w:rPr>
        <w:t>customers</w:t>
      </w:r>
      <w:r w:rsidR="00A65885">
        <w:rPr>
          <w:rFonts w:ascii="Verdana" w:hAnsi="Verdana"/>
          <w:b/>
          <w:bCs/>
          <w:sz w:val="18"/>
          <w:szCs w:val="18"/>
          <w:lang w:val="en-GB"/>
        </w:rPr>
        <w:t xml:space="preserve"> </w:t>
      </w:r>
      <w:r w:rsidRPr="0016270D" w:rsidR="00A65885">
        <w:rPr>
          <w:rFonts w:ascii="Verdana" w:hAnsi="Verdana"/>
          <w:b/>
          <w:bCs/>
          <w:sz w:val="18"/>
          <w:szCs w:val="18"/>
          <w:lang w:val="en-GB"/>
        </w:rPr>
        <w:t xml:space="preserve">should </w:t>
      </w:r>
      <w:r w:rsidR="00A65885">
        <w:rPr>
          <w:rFonts w:ascii="Verdana" w:hAnsi="Verdana"/>
          <w:b/>
          <w:bCs/>
          <w:sz w:val="18"/>
          <w:szCs w:val="18"/>
          <w:lang w:val="en-GB"/>
        </w:rPr>
        <w:t>have the ability</w:t>
      </w:r>
      <w:r w:rsidRPr="0016270D" w:rsidR="00A65885">
        <w:rPr>
          <w:rFonts w:ascii="Verdana" w:hAnsi="Verdana"/>
          <w:b/>
          <w:bCs/>
          <w:sz w:val="18"/>
          <w:szCs w:val="18"/>
          <w:lang w:val="en-GB"/>
        </w:rPr>
        <w:t xml:space="preserve"> to participate in the economy and </w:t>
      </w:r>
      <w:r w:rsidR="00BD168A">
        <w:rPr>
          <w:rFonts w:ascii="Verdana" w:hAnsi="Verdana"/>
          <w:b/>
          <w:bCs/>
          <w:sz w:val="18"/>
          <w:szCs w:val="18"/>
          <w:lang w:val="en-GB"/>
        </w:rPr>
        <w:t xml:space="preserve">therefore </w:t>
      </w:r>
      <w:r w:rsidRPr="0016270D" w:rsidR="00A65885">
        <w:rPr>
          <w:rFonts w:ascii="Verdana" w:hAnsi="Verdana"/>
          <w:b/>
          <w:bCs/>
          <w:sz w:val="18"/>
          <w:szCs w:val="18"/>
          <w:lang w:val="en-GB"/>
        </w:rPr>
        <w:t>society</w:t>
      </w:r>
      <w:r w:rsidRPr="00A65885" w:rsidR="00A65885">
        <w:rPr>
          <w:rFonts w:ascii="Verdana" w:hAnsi="Verdana"/>
          <w:b/>
          <w:bCs/>
          <w:sz w:val="18"/>
          <w:szCs w:val="18"/>
          <w:lang w:val="en-GB"/>
        </w:rPr>
        <w:t xml:space="preserve">. </w:t>
      </w:r>
      <w:r w:rsidRPr="007A0458" w:rsidR="00A65885">
        <w:rPr>
          <w:rFonts w:ascii="Verdana" w:hAnsi="Verdana"/>
          <w:b/>
          <w:bCs/>
          <w:sz w:val="18"/>
          <w:szCs w:val="18"/>
          <w:lang w:val="en-GB"/>
        </w:rPr>
        <w:t xml:space="preserve">In the current economic landscape, access to a payment account is </w:t>
      </w:r>
      <w:r w:rsidR="00BD168A">
        <w:rPr>
          <w:rFonts w:ascii="Verdana" w:hAnsi="Verdana"/>
          <w:b/>
          <w:bCs/>
          <w:sz w:val="18"/>
          <w:szCs w:val="18"/>
          <w:lang w:val="en-GB"/>
        </w:rPr>
        <w:t xml:space="preserve">crucial </w:t>
      </w:r>
      <w:r w:rsidR="00A65885">
        <w:rPr>
          <w:rFonts w:ascii="Verdana" w:hAnsi="Verdana"/>
          <w:b/>
          <w:bCs/>
          <w:sz w:val="18"/>
          <w:szCs w:val="18"/>
          <w:lang w:val="en-GB"/>
        </w:rPr>
        <w:t>for doing business and benefits a well-functioning internal market</w:t>
      </w:r>
      <w:r w:rsidR="00B64E7D">
        <w:rPr>
          <w:rFonts w:ascii="Verdana" w:hAnsi="Verdana"/>
          <w:b/>
          <w:bCs/>
          <w:sz w:val="18"/>
          <w:szCs w:val="18"/>
          <w:lang w:val="en-GB"/>
        </w:rPr>
        <w:t xml:space="preserve">. </w:t>
      </w:r>
      <w:r w:rsidRPr="007A0458" w:rsidR="00A65885">
        <w:rPr>
          <w:rFonts w:ascii="Verdana" w:hAnsi="Verdana"/>
          <w:sz w:val="18"/>
          <w:szCs w:val="18"/>
          <w:lang w:val="en-GB"/>
        </w:rPr>
        <w:t>‘Business customers’ refers to businesses, foundations, associations and other legal entities</w:t>
      </w:r>
      <w:r w:rsidR="00A65885">
        <w:rPr>
          <w:rFonts w:ascii="Verdana" w:hAnsi="Verdana"/>
          <w:sz w:val="18"/>
          <w:szCs w:val="18"/>
          <w:lang w:val="en-GB"/>
        </w:rPr>
        <w:t>, including</w:t>
      </w:r>
      <w:r w:rsidRPr="007A0458" w:rsidR="00A65885">
        <w:rPr>
          <w:rFonts w:ascii="Verdana" w:hAnsi="Verdana"/>
          <w:sz w:val="18"/>
          <w:szCs w:val="18"/>
          <w:lang w:val="en-GB"/>
        </w:rPr>
        <w:t xml:space="preserve"> not-for-profit organisations (NPO’s).</w:t>
      </w:r>
      <w:r w:rsidR="00A65885">
        <w:rPr>
          <w:rFonts w:ascii="Verdana" w:hAnsi="Verdana"/>
          <w:sz w:val="18"/>
          <w:szCs w:val="18"/>
          <w:lang w:val="en-GB"/>
        </w:rPr>
        <w:t xml:space="preserve"> This</w:t>
      </w:r>
      <w:r w:rsidR="00525DB4">
        <w:rPr>
          <w:rFonts w:ascii="Verdana" w:hAnsi="Verdana"/>
          <w:sz w:val="18"/>
          <w:szCs w:val="18"/>
          <w:lang w:val="en-GB"/>
        </w:rPr>
        <w:t xml:space="preserve"> definition</w:t>
      </w:r>
      <w:r w:rsidR="00A65885">
        <w:rPr>
          <w:rFonts w:ascii="Verdana" w:hAnsi="Verdana"/>
          <w:sz w:val="18"/>
          <w:szCs w:val="18"/>
          <w:lang w:val="en-GB"/>
        </w:rPr>
        <w:t xml:space="preserve"> </w:t>
      </w:r>
      <w:r w:rsidR="00BD168A">
        <w:rPr>
          <w:rFonts w:ascii="Verdana" w:hAnsi="Verdana"/>
          <w:sz w:val="18"/>
          <w:szCs w:val="18"/>
          <w:lang w:val="en-GB"/>
        </w:rPr>
        <w:t>requires</w:t>
      </w:r>
      <w:r w:rsidR="00A65885">
        <w:rPr>
          <w:rFonts w:ascii="Verdana" w:hAnsi="Verdana"/>
          <w:sz w:val="18"/>
          <w:szCs w:val="18"/>
          <w:lang w:val="en-GB"/>
        </w:rPr>
        <w:t xml:space="preserve"> </w:t>
      </w:r>
      <w:r w:rsidR="00BD168A">
        <w:rPr>
          <w:rFonts w:ascii="Verdana" w:hAnsi="Verdana"/>
          <w:sz w:val="18"/>
          <w:szCs w:val="18"/>
          <w:lang w:val="en-GB"/>
        </w:rPr>
        <w:t>additional refinement</w:t>
      </w:r>
      <w:r w:rsidR="00A65885">
        <w:rPr>
          <w:rFonts w:ascii="Verdana" w:hAnsi="Verdana"/>
          <w:sz w:val="18"/>
          <w:szCs w:val="18"/>
          <w:lang w:val="en-GB"/>
        </w:rPr>
        <w:t xml:space="preserve">. </w:t>
      </w:r>
      <w:r w:rsidR="00972D9C">
        <w:rPr>
          <w:rFonts w:ascii="Verdana" w:hAnsi="Verdana"/>
          <w:sz w:val="18"/>
          <w:szCs w:val="18"/>
          <w:lang w:val="en-GB"/>
        </w:rPr>
        <w:t>A</w:t>
      </w:r>
      <w:r w:rsidRPr="007A0458" w:rsidR="00397347">
        <w:rPr>
          <w:rFonts w:ascii="Verdana" w:hAnsi="Verdana"/>
          <w:sz w:val="18"/>
          <w:szCs w:val="18"/>
          <w:lang w:val="en-GB"/>
        </w:rPr>
        <w:t>ccess</w:t>
      </w:r>
      <w:r w:rsidR="00972D9C">
        <w:rPr>
          <w:rFonts w:ascii="Verdana" w:hAnsi="Verdana"/>
          <w:sz w:val="18"/>
          <w:szCs w:val="18"/>
          <w:lang w:val="en-GB"/>
        </w:rPr>
        <w:t xml:space="preserve"> to a payment account</w:t>
      </w:r>
      <w:r w:rsidR="00BD168A">
        <w:rPr>
          <w:rFonts w:ascii="Verdana" w:hAnsi="Verdana"/>
          <w:sz w:val="18"/>
          <w:szCs w:val="18"/>
          <w:lang w:val="en-GB"/>
        </w:rPr>
        <w:t xml:space="preserve"> for business customers</w:t>
      </w:r>
      <w:r w:rsidRPr="007A0458" w:rsidR="00397347">
        <w:rPr>
          <w:rFonts w:ascii="Verdana" w:hAnsi="Verdana"/>
          <w:sz w:val="18"/>
          <w:szCs w:val="18"/>
          <w:lang w:val="en-GB"/>
        </w:rPr>
        <w:t xml:space="preserve"> is </w:t>
      </w:r>
      <w:r w:rsidRPr="007A0458" w:rsidR="00235C68">
        <w:rPr>
          <w:rFonts w:ascii="Verdana" w:hAnsi="Verdana"/>
          <w:sz w:val="18"/>
          <w:szCs w:val="18"/>
          <w:lang w:val="en-GB"/>
        </w:rPr>
        <w:t xml:space="preserve">not </w:t>
      </w:r>
      <w:r w:rsidRPr="007A0458" w:rsidR="00397347">
        <w:rPr>
          <w:rFonts w:ascii="Verdana" w:hAnsi="Verdana"/>
          <w:sz w:val="18"/>
          <w:szCs w:val="18"/>
          <w:lang w:val="en-GB"/>
        </w:rPr>
        <w:t>always guaranteed.</w:t>
      </w:r>
      <w:r w:rsidRPr="0016270D">
        <w:rPr>
          <w:rFonts w:ascii="Verdana" w:hAnsi="Verdana"/>
          <w:sz w:val="18"/>
          <w:szCs w:val="18"/>
          <w:lang w:val="en-GB"/>
        </w:rPr>
        <w:t xml:space="preserve"> </w:t>
      </w:r>
      <w:r w:rsidRPr="0016270D" w:rsidR="000211B0">
        <w:rPr>
          <w:rFonts w:ascii="Verdana" w:hAnsi="Verdana"/>
          <w:sz w:val="18"/>
          <w:szCs w:val="18"/>
          <w:lang w:val="en-GB"/>
        </w:rPr>
        <w:t xml:space="preserve">Currently, different reasons for the difficulties in accessing payment services faced by businesses customers exist. </w:t>
      </w:r>
      <w:r w:rsidR="00BD168A">
        <w:rPr>
          <w:rFonts w:ascii="Verdana" w:hAnsi="Verdana"/>
          <w:sz w:val="18"/>
          <w:szCs w:val="18"/>
          <w:lang w:val="en-GB"/>
        </w:rPr>
        <w:t xml:space="preserve">Although </w:t>
      </w:r>
      <w:r w:rsidRPr="0016270D" w:rsidR="00447671">
        <w:rPr>
          <w:rFonts w:ascii="Verdana" w:hAnsi="Verdana"/>
          <w:sz w:val="18"/>
          <w:szCs w:val="18"/>
          <w:lang w:val="en-GB"/>
        </w:rPr>
        <w:t>Article 16 of the P</w:t>
      </w:r>
      <w:r w:rsidRPr="0016270D" w:rsidR="00397347">
        <w:rPr>
          <w:rFonts w:ascii="Verdana" w:hAnsi="Verdana"/>
          <w:sz w:val="18"/>
          <w:szCs w:val="18"/>
          <w:lang w:val="en-GB"/>
        </w:rPr>
        <w:t>ayment Account</w:t>
      </w:r>
      <w:r w:rsidR="008D2991">
        <w:rPr>
          <w:rFonts w:ascii="Verdana" w:hAnsi="Verdana"/>
          <w:sz w:val="18"/>
          <w:szCs w:val="18"/>
          <w:lang w:val="en-GB"/>
        </w:rPr>
        <w:t>s</w:t>
      </w:r>
      <w:r w:rsidRPr="0016270D" w:rsidR="00397347">
        <w:rPr>
          <w:rFonts w:ascii="Verdana" w:hAnsi="Verdana"/>
          <w:sz w:val="18"/>
          <w:szCs w:val="18"/>
          <w:lang w:val="en-GB"/>
        </w:rPr>
        <w:t xml:space="preserve"> Directive (P</w:t>
      </w:r>
      <w:r w:rsidRPr="0016270D" w:rsidR="00447671">
        <w:rPr>
          <w:rFonts w:ascii="Verdana" w:hAnsi="Verdana"/>
          <w:sz w:val="18"/>
          <w:szCs w:val="18"/>
          <w:lang w:val="en-GB"/>
        </w:rPr>
        <w:t>AD</w:t>
      </w:r>
      <w:r w:rsidRPr="0016270D" w:rsidR="00397347">
        <w:rPr>
          <w:rFonts w:ascii="Verdana" w:hAnsi="Verdana"/>
          <w:sz w:val="18"/>
          <w:szCs w:val="18"/>
          <w:lang w:val="en-GB"/>
        </w:rPr>
        <w:t>)</w:t>
      </w:r>
      <w:r w:rsidRPr="0016270D" w:rsidR="00397347">
        <w:rPr>
          <w:rStyle w:val="Voetnootmarkering"/>
          <w:rFonts w:ascii="Verdana" w:hAnsi="Verdana"/>
          <w:sz w:val="18"/>
          <w:szCs w:val="18"/>
          <w:lang w:val="en-GB"/>
        </w:rPr>
        <w:footnoteReference w:id="2"/>
      </w:r>
      <w:r w:rsidRPr="0016270D" w:rsidR="004B1DA5">
        <w:rPr>
          <w:rFonts w:ascii="Verdana" w:hAnsi="Verdana"/>
          <w:sz w:val="18"/>
          <w:szCs w:val="18"/>
          <w:lang w:val="en-GB"/>
        </w:rPr>
        <w:t xml:space="preserve"> </w:t>
      </w:r>
      <w:r w:rsidR="00BD168A">
        <w:rPr>
          <w:rFonts w:ascii="Verdana" w:hAnsi="Verdana"/>
          <w:sz w:val="18"/>
          <w:szCs w:val="18"/>
          <w:lang w:val="en-GB"/>
        </w:rPr>
        <w:t>grants</w:t>
      </w:r>
      <w:r w:rsidRPr="0016270D" w:rsidR="00BD168A">
        <w:rPr>
          <w:rFonts w:ascii="Verdana" w:hAnsi="Verdana"/>
          <w:sz w:val="18"/>
          <w:szCs w:val="18"/>
          <w:lang w:val="en-GB"/>
        </w:rPr>
        <w:t xml:space="preserve"> </w:t>
      </w:r>
      <w:r w:rsidR="00BD168A">
        <w:rPr>
          <w:rFonts w:ascii="Verdana" w:hAnsi="Verdana"/>
          <w:sz w:val="18"/>
          <w:szCs w:val="18"/>
          <w:lang w:val="en-GB"/>
        </w:rPr>
        <w:t>natural persons</w:t>
      </w:r>
      <w:r w:rsidRPr="0016270D" w:rsidR="00BD168A">
        <w:rPr>
          <w:rFonts w:ascii="Verdana" w:hAnsi="Verdana"/>
          <w:sz w:val="18"/>
          <w:szCs w:val="18"/>
          <w:lang w:val="en-GB"/>
        </w:rPr>
        <w:t xml:space="preserve"> </w:t>
      </w:r>
      <w:r w:rsidRPr="0016270D" w:rsidR="00447671">
        <w:rPr>
          <w:rFonts w:ascii="Verdana" w:hAnsi="Verdana"/>
          <w:sz w:val="18"/>
          <w:szCs w:val="18"/>
          <w:lang w:val="en-GB"/>
        </w:rPr>
        <w:t xml:space="preserve">the right to a basic payment account, </w:t>
      </w:r>
      <w:r w:rsidRPr="0016270D" w:rsidR="004007C4">
        <w:rPr>
          <w:rFonts w:ascii="Verdana" w:hAnsi="Verdana"/>
          <w:sz w:val="18"/>
          <w:szCs w:val="18"/>
          <w:lang w:val="en-GB"/>
        </w:rPr>
        <w:t xml:space="preserve">business customers do not </w:t>
      </w:r>
      <w:r w:rsidRPr="0016270D" w:rsidR="00447671">
        <w:rPr>
          <w:rFonts w:ascii="Verdana" w:hAnsi="Verdana"/>
          <w:sz w:val="18"/>
          <w:szCs w:val="18"/>
          <w:lang w:val="en-GB"/>
        </w:rPr>
        <w:t>enjoy this right</w:t>
      </w:r>
      <w:r w:rsidR="008F1DFC">
        <w:rPr>
          <w:rFonts w:ascii="Verdana" w:hAnsi="Verdana"/>
          <w:sz w:val="18"/>
          <w:szCs w:val="18"/>
          <w:lang w:val="en-GB"/>
        </w:rPr>
        <w:t xml:space="preserve"> on </w:t>
      </w:r>
      <w:proofErr w:type="gramStart"/>
      <w:r w:rsidR="008F1DFC">
        <w:rPr>
          <w:rFonts w:ascii="Verdana" w:hAnsi="Verdana"/>
          <w:sz w:val="18"/>
          <w:szCs w:val="18"/>
          <w:lang w:val="en-GB"/>
        </w:rPr>
        <w:t>a</w:t>
      </w:r>
      <w:proofErr w:type="gramEnd"/>
      <w:r w:rsidR="008F1DFC">
        <w:rPr>
          <w:rFonts w:ascii="Verdana" w:hAnsi="Verdana"/>
          <w:sz w:val="18"/>
          <w:szCs w:val="18"/>
          <w:lang w:val="en-GB"/>
        </w:rPr>
        <w:t xml:space="preserve"> EU-level</w:t>
      </w:r>
      <w:r w:rsidRPr="0016270D" w:rsidR="004007C4">
        <w:rPr>
          <w:rFonts w:ascii="Verdana" w:hAnsi="Verdana"/>
          <w:sz w:val="18"/>
          <w:szCs w:val="18"/>
          <w:lang w:val="en-GB"/>
        </w:rPr>
        <w:t>.</w:t>
      </w:r>
      <w:r w:rsidR="007A2966">
        <w:rPr>
          <w:rFonts w:ascii="Verdana" w:hAnsi="Verdana"/>
          <w:sz w:val="18"/>
          <w:szCs w:val="18"/>
          <w:lang w:val="en-GB"/>
        </w:rPr>
        <w:t xml:space="preserve"> The Netherlands and Finland</w:t>
      </w:r>
      <w:r w:rsidR="00C53D37">
        <w:rPr>
          <w:rFonts w:ascii="Verdana" w:hAnsi="Verdana"/>
          <w:sz w:val="18"/>
          <w:szCs w:val="18"/>
          <w:lang w:val="en-GB"/>
        </w:rPr>
        <w:t xml:space="preserve"> </w:t>
      </w:r>
      <w:r w:rsidR="00BD168A">
        <w:rPr>
          <w:rFonts w:ascii="Verdana" w:hAnsi="Verdana"/>
          <w:sz w:val="18"/>
          <w:szCs w:val="18"/>
          <w:lang w:val="en-GB"/>
        </w:rPr>
        <w:t>consider it essential</w:t>
      </w:r>
      <w:r w:rsidRPr="0016270D" w:rsidR="00397347">
        <w:rPr>
          <w:rFonts w:ascii="Verdana" w:hAnsi="Verdana"/>
          <w:sz w:val="18"/>
          <w:szCs w:val="18"/>
          <w:lang w:val="en-GB"/>
        </w:rPr>
        <w:t xml:space="preserve"> to </w:t>
      </w:r>
      <w:r w:rsidRPr="0016270D" w:rsidR="00E757A7">
        <w:rPr>
          <w:rFonts w:ascii="Verdana" w:hAnsi="Verdana"/>
          <w:sz w:val="18"/>
          <w:szCs w:val="18"/>
          <w:lang w:val="en-GB"/>
        </w:rPr>
        <w:t>re</w:t>
      </w:r>
      <w:r w:rsidRPr="0016270D" w:rsidR="00397347">
        <w:rPr>
          <w:rFonts w:ascii="Verdana" w:hAnsi="Verdana"/>
          <w:sz w:val="18"/>
          <w:szCs w:val="18"/>
          <w:lang w:val="en-GB"/>
        </w:rPr>
        <w:t xml:space="preserve">solve </w:t>
      </w:r>
      <w:r w:rsidR="00BD168A">
        <w:rPr>
          <w:rFonts w:ascii="Verdana" w:hAnsi="Verdana"/>
          <w:sz w:val="18"/>
          <w:szCs w:val="18"/>
          <w:lang w:val="en-GB"/>
        </w:rPr>
        <w:t xml:space="preserve">access </w:t>
      </w:r>
      <w:r w:rsidRPr="0016270D" w:rsidR="00397347">
        <w:rPr>
          <w:rFonts w:ascii="Verdana" w:hAnsi="Verdana"/>
          <w:sz w:val="18"/>
          <w:szCs w:val="18"/>
          <w:lang w:val="en-GB"/>
        </w:rPr>
        <w:t>issue</w:t>
      </w:r>
      <w:r w:rsidR="00BD168A">
        <w:rPr>
          <w:rFonts w:ascii="Verdana" w:hAnsi="Verdana"/>
          <w:sz w:val="18"/>
          <w:szCs w:val="18"/>
          <w:lang w:val="en-GB"/>
        </w:rPr>
        <w:t xml:space="preserve">s with payment accounts, while </w:t>
      </w:r>
      <w:r w:rsidRPr="0016270D" w:rsidR="007978E6">
        <w:rPr>
          <w:rFonts w:ascii="Verdana" w:hAnsi="Verdana"/>
          <w:sz w:val="18"/>
          <w:szCs w:val="18"/>
          <w:lang w:val="en-GB"/>
        </w:rPr>
        <w:t xml:space="preserve">ensuring that </w:t>
      </w:r>
      <w:r w:rsidRPr="0016270D" w:rsidR="004B1DA5">
        <w:rPr>
          <w:rFonts w:ascii="Verdana" w:hAnsi="Verdana"/>
          <w:sz w:val="18"/>
          <w:szCs w:val="18"/>
          <w:lang w:val="en-GB"/>
        </w:rPr>
        <w:t xml:space="preserve">financial institutions (e.g. banks) </w:t>
      </w:r>
      <w:r w:rsidRPr="0016270D" w:rsidR="007978E6">
        <w:rPr>
          <w:rFonts w:ascii="Verdana" w:hAnsi="Verdana"/>
          <w:sz w:val="18"/>
          <w:szCs w:val="18"/>
          <w:lang w:val="en-GB"/>
        </w:rPr>
        <w:t xml:space="preserve">do not </w:t>
      </w:r>
      <w:r w:rsidRPr="0016270D" w:rsidR="00E757A7">
        <w:rPr>
          <w:rFonts w:ascii="Verdana" w:hAnsi="Verdana"/>
          <w:sz w:val="18"/>
          <w:szCs w:val="18"/>
          <w:lang w:val="en-GB"/>
        </w:rPr>
        <w:t>face excessive</w:t>
      </w:r>
      <w:r w:rsidRPr="0016270D" w:rsidR="007978E6">
        <w:rPr>
          <w:rFonts w:ascii="Verdana" w:hAnsi="Verdana"/>
          <w:sz w:val="18"/>
          <w:szCs w:val="18"/>
          <w:lang w:val="en-GB"/>
        </w:rPr>
        <w:t xml:space="preserve"> regulatory pressure. </w:t>
      </w:r>
    </w:p>
    <w:p w:rsidRPr="0016270D" w:rsidR="007726EB" w:rsidP="0016270D" w:rsidRDefault="00E957D6" w14:paraId="544DE605" w14:textId="0788D24B">
      <w:pPr>
        <w:rPr>
          <w:rFonts w:ascii="Verdana" w:hAnsi="Verdana"/>
          <w:i/>
          <w:iCs/>
          <w:sz w:val="18"/>
          <w:szCs w:val="18"/>
          <w:lang w:val="en-GB"/>
        </w:rPr>
      </w:pPr>
      <w:r w:rsidRPr="0016270D">
        <w:rPr>
          <w:rFonts w:ascii="Verdana" w:hAnsi="Verdana"/>
          <w:sz w:val="18"/>
          <w:szCs w:val="18"/>
          <w:lang w:val="en-GB"/>
        </w:rPr>
        <w:t>T</w:t>
      </w:r>
      <w:r w:rsidRPr="0016270D" w:rsidR="004A1E5C">
        <w:rPr>
          <w:rFonts w:ascii="Verdana" w:hAnsi="Verdana"/>
          <w:sz w:val="18"/>
          <w:szCs w:val="18"/>
          <w:lang w:val="en-GB"/>
        </w:rPr>
        <w:t>he Netherlands</w:t>
      </w:r>
      <w:r w:rsidR="0089658A">
        <w:rPr>
          <w:rFonts w:ascii="Verdana" w:hAnsi="Verdana"/>
          <w:sz w:val="18"/>
          <w:szCs w:val="18"/>
          <w:lang w:val="en-GB"/>
        </w:rPr>
        <w:t xml:space="preserve"> </w:t>
      </w:r>
      <w:r w:rsidR="007A2966">
        <w:rPr>
          <w:rFonts w:ascii="Verdana" w:hAnsi="Verdana"/>
          <w:sz w:val="18"/>
          <w:szCs w:val="18"/>
          <w:lang w:val="en-GB"/>
        </w:rPr>
        <w:t xml:space="preserve">and Finland are </w:t>
      </w:r>
      <w:r w:rsidRPr="0016270D" w:rsidR="004A1E5C">
        <w:rPr>
          <w:rFonts w:ascii="Verdana" w:hAnsi="Verdana"/>
          <w:sz w:val="18"/>
          <w:szCs w:val="18"/>
          <w:lang w:val="en-GB"/>
        </w:rPr>
        <w:t xml:space="preserve">pleased that the Commission has recently shown </w:t>
      </w:r>
      <w:r w:rsidRPr="0016270D" w:rsidR="005B38D1">
        <w:rPr>
          <w:rFonts w:ascii="Verdana" w:hAnsi="Verdana"/>
          <w:sz w:val="18"/>
          <w:szCs w:val="18"/>
          <w:lang w:val="en-GB"/>
        </w:rPr>
        <w:t>efforts</w:t>
      </w:r>
      <w:r w:rsidRPr="0016270D" w:rsidR="004A1E5C">
        <w:rPr>
          <w:rFonts w:ascii="Verdana" w:hAnsi="Verdana"/>
          <w:sz w:val="18"/>
          <w:szCs w:val="18"/>
          <w:lang w:val="en-GB"/>
        </w:rPr>
        <w:t xml:space="preserve"> to </w:t>
      </w:r>
      <w:r w:rsidRPr="0016270D" w:rsidR="005B38D1">
        <w:rPr>
          <w:rFonts w:ascii="Verdana" w:hAnsi="Verdana"/>
          <w:sz w:val="18"/>
          <w:szCs w:val="18"/>
          <w:lang w:val="en-GB"/>
        </w:rPr>
        <w:t xml:space="preserve">discuss </w:t>
      </w:r>
      <w:r w:rsidRPr="0016270D" w:rsidR="0095212B">
        <w:rPr>
          <w:rFonts w:ascii="Verdana" w:hAnsi="Verdana"/>
          <w:sz w:val="18"/>
          <w:szCs w:val="18"/>
          <w:lang w:val="en-GB"/>
        </w:rPr>
        <w:t xml:space="preserve">the problems </w:t>
      </w:r>
      <w:r w:rsidR="00742CCF">
        <w:rPr>
          <w:rFonts w:ascii="Verdana" w:hAnsi="Verdana"/>
          <w:sz w:val="18"/>
          <w:szCs w:val="18"/>
          <w:lang w:val="en-GB"/>
        </w:rPr>
        <w:t xml:space="preserve">business </w:t>
      </w:r>
      <w:r w:rsidRPr="0016270D" w:rsidR="0095212B">
        <w:rPr>
          <w:rFonts w:ascii="Verdana" w:hAnsi="Verdana"/>
          <w:sz w:val="18"/>
          <w:szCs w:val="18"/>
          <w:lang w:val="en-GB"/>
        </w:rPr>
        <w:t xml:space="preserve">customers face when </w:t>
      </w:r>
      <w:r w:rsidRPr="0016270D" w:rsidR="004A1E5C">
        <w:rPr>
          <w:rFonts w:ascii="Verdana" w:hAnsi="Verdana"/>
          <w:sz w:val="18"/>
          <w:szCs w:val="18"/>
          <w:lang w:val="en-GB"/>
        </w:rPr>
        <w:t>opening bank accounts in the Single Market Enforcement Taskforce (SMET)</w:t>
      </w:r>
      <w:r w:rsidRPr="0016270D" w:rsidR="003C4ADD">
        <w:rPr>
          <w:rFonts w:ascii="Verdana" w:hAnsi="Verdana"/>
          <w:sz w:val="18"/>
          <w:szCs w:val="18"/>
          <w:lang w:val="en-GB"/>
        </w:rPr>
        <w:t xml:space="preserve"> </w:t>
      </w:r>
      <w:r w:rsidRPr="0016270D" w:rsidR="00397347">
        <w:rPr>
          <w:rFonts w:ascii="Verdana" w:hAnsi="Verdana"/>
          <w:sz w:val="18"/>
          <w:szCs w:val="18"/>
          <w:lang w:val="en-GB"/>
        </w:rPr>
        <w:t xml:space="preserve">by </w:t>
      </w:r>
      <w:r w:rsidRPr="0016270D" w:rsidR="00315BD1">
        <w:rPr>
          <w:rFonts w:ascii="Verdana" w:hAnsi="Verdana"/>
          <w:sz w:val="18"/>
          <w:szCs w:val="18"/>
          <w:lang w:val="en-GB"/>
        </w:rPr>
        <w:t>collecting</w:t>
      </w:r>
      <w:r w:rsidRPr="0016270D" w:rsidR="00397347">
        <w:rPr>
          <w:rFonts w:ascii="Verdana" w:hAnsi="Verdana"/>
          <w:sz w:val="18"/>
          <w:szCs w:val="18"/>
          <w:lang w:val="en-GB"/>
        </w:rPr>
        <w:t xml:space="preserve"> good practices</w:t>
      </w:r>
      <w:r w:rsidRPr="0016270D" w:rsidR="007726EB">
        <w:rPr>
          <w:rFonts w:ascii="Verdana" w:hAnsi="Verdana"/>
          <w:sz w:val="18"/>
          <w:szCs w:val="18"/>
          <w:lang w:val="en-GB"/>
        </w:rPr>
        <w:t xml:space="preserve">. </w:t>
      </w:r>
      <w:r w:rsidRPr="0016270D" w:rsidR="00315BD1">
        <w:rPr>
          <w:rFonts w:ascii="Verdana" w:hAnsi="Verdana"/>
          <w:sz w:val="18"/>
          <w:szCs w:val="18"/>
          <w:lang w:val="en-GB"/>
        </w:rPr>
        <w:t>However, based on</w:t>
      </w:r>
      <w:r w:rsidRPr="0016270D" w:rsidR="003C4ADD">
        <w:rPr>
          <w:rFonts w:ascii="Verdana" w:hAnsi="Verdana"/>
          <w:sz w:val="18"/>
          <w:szCs w:val="18"/>
          <w:lang w:val="en-GB"/>
        </w:rPr>
        <w:t xml:space="preserve"> past</w:t>
      </w:r>
      <w:r w:rsidRPr="0016270D" w:rsidR="00315BD1">
        <w:rPr>
          <w:rFonts w:ascii="Verdana" w:hAnsi="Verdana"/>
          <w:sz w:val="18"/>
          <w:szCs w:val="18"/>
          <w:lang w:val="en-GB"/>
        </w:rPr>
        <w:t xml:space="preserve"> experiences, we believe </w:t>
      </w:r>
      <w:r w:rsidRPr="0016270D" w:rsidR="003C4ADD">
        <w:rPr>
          <w:rFonts w:ascii="Verdana" w:hAnsi="Verdana"/>
          <w:sz w:val="18"/>
          <w:szCs w:val="18"/>
          <w:lang w:val="en-GB"/>
        </w:rPr>
        <w:t>that additional action is</w:t>
      </w:r>
      <w:r w:rsidRPr="0016270D" w:rsidR="00315BD1">
        <w:rPr>
          <w:rFonts w:ascii="Verdana" w:hAnsi="Verdana"/>
          <w:sz w:val="18"/>
          <w:szCs w:val="18"/>
          <w:lang w:val="en-GB"/>
        </w:rPr>
        <w:t xml:space="preserve"> needed to fully address the issue. </w:t>
      </w:r>
      <w:r w:rsidRPr="0016270D" w:rsidR="003C4ADD">
        <w:rPr>
          <w:rFonts w:ascii="Verdana" w:hAnsi="Verdana"/>
          <w:sz w:val="18"/>
          <w:szCs w:val="18"/>
          <w:lang w:val="en-GB"/>
        </w:rPr>
        <w:t>Therefore, w</w:t>
      </w:r>
      <w:r w:rsidRPr="0016270D" w:rsidR="004007C4">
        <w:rPr>
          <w:rFonts w:ascii="Verdana" w:hAnsi="Verdana"/>
          <w:sz w:val="18"/>
          <w:szCs w:val="18"/>
          <w:lang w:val="en-GB"/>
        </w:rPr>
        <w:t xml:space="preserve">e </w:t>
      </w:r>
      <w:r w:rsidRPr="0016270D" w:rsidR="005436F8">
        <w:rPr>
          <w:rFonts w:ascii="Verdana" w:hAnsi="Verdana"/>
          <w:sz w:val="18"/>
          <w:szCs w:val="18"/>
          <w:lang w:val="en-GB"/>
        </w:rPr>
        <w:t>call on</w:t>
      </w:r>
      <w:r w:rsidRPr="0016270D" w:rsidR="004007C4">
        <w:rPr>
          <w:rFonts w:ascii="Verdana" w:hAnsi="Verdana"/>
          <w:sz w:val="18"/>
          <w:szCs w:val="18"/>
          <w:lang w:val="en-GB"/>
        </w:rPr>
        <w:t xml:space="preserve"> the new</w:t>
      </w:r>
      <w:r w:rsidRPr="0016270D" w:rsidR="0067442F">
        <w:rPr>
          <w:rFonts w:ascii="Verdana" w:hAnsi="Verdana"/>
          <w:sz w:val="18"/>
          <w:szCs w:val="18"/>
          <w:lang w:val="en-GB"/>
        </w:rPr>
        <w:t xml:space="preserve"> European</w:t>
      </w:r>
      <w:r w:rsidRPr="0016270D" w:rsidR="004007C4">
        <w:rPr>
          <w:rFonts w:ascii="Verdana" w:hAnsi="Verdana"/>
          <w:sz w:val="18"/>
          <w:szCs w:val="18"/>
          <w:lang w:val="en-GB"/>
        </w:rPr>
        <w:t xml:space="preserve"> Commission to prepare legislation on facilitating basic payment accounts for business customers across the EU</w:t>
      </w:r>
      <w:r w:rsidRPr="0016270D" w:rsidR="00680567">
        <w:rPr>
          <w:rFonts w:ascii="Verdana" w:hAnsi="Verdana"/>
          <w:sz w:val="18"/>
          <w:szCs w:val="18"/>
          <w:lang w:val="en-GB"/>
        </w:rPr>
        <w:t xml:space="preserve">, </w:t>
      </w:r>
      <w:r w:rsidRPr="0016270D" w:rsidR="00C4316A">
        <w:rPr>
          <w:rFonts w:ascii="Verdana" w:hAnsi="Verdana"/>
          <w:sz w:val="18"/>
          <w:szCs w:val="18"/>
          <w:lang w:val="en-GB"/>
        </w:rPr>
        <w:t>by broadening the scope of the PAD.</w:t>
      </w:r>
    </w:p>
    <w:p w:rsidRPr="0016270D" w:rsidR="00F33D14" w:rsidP="0016270D" w:rsidRDefault="00372129" w14:paraId="2F76DD25" w14:textId="71096231">
      <w:pPr>
        <w:rPr>
          <w:rFonts w:ascii="Verdana" w:hAnsi="Verdana"/>
          <w:sz w:val="18"/>
          <w:szCs w:val="18"/>
          <w:lang w:val="en-GB"/>
        </w:rPr>
      </w:pPr>
      <w:bookmarkStart w:name="_Hlk184825671" w:id="1"/>
      <w:r w:rsidRPr="0016270D">
        <w:rPr>
          <w:rFonts w:ascii="Verdana" w:hAnsi="Verdana"/>
          <w:sz w:val="18"/>
          <w:szCs w:val="18"/>
          <w:lang w:val="en-GB"/>
        </w:rPr>
        <w:t xml:space="preserve">This </w:t>
      </w:r>
      <w:r w:rsidRPr="0016270D" w:rsidR="000B005F">
        <w:rPr>
          <w:rFonts w:ascii="Verdana" w:hAnsi="Verdana"/>
          <w:sz w:val="18"/>
          <w:szCs w:val="18"/>
          <w:lang w:val="en-GB"/>
        </w:rPr>
        <w:t xml:space="preserve">non-paper intends to contribute to ongoing discussions and consultations with regards to facilitating opening of bank accounts for </w:t>
      </w:r>
      <w:r w:rsidRPr="0016270D" w:rsidR="005B38D1">
        <w:rPr>
          <w:rFonts w:ascii="Verdana" w:hAnsi="Verdana"/>
          <w:sz w:val="18"/>
          <w:szCs w:val="18"/>
          <w:lang w:val="en-GB"/>
        </w:rPr>
        <w:t>business customers. This non-paper</w:t>
      </w:r>
      <w:r w:rsidRPr="0016270D" w:rsidR="000B005F">
        <w:rPr>
          <w:rFonts w:ascii="Verdana" w:hAnsi="Verdana"/>
          <w:sz w:val="18"/>
          <w:szCs w:val="18"/>
          <w:lang w:val="en-GB"/>
        </w:rPr>
        <w:t xml:space="preserve"> </w:t>
      </w:r>
      <w:r w:rsidRPr="0016270D" w:rsidR="00417DA4">
        <w:rPr>
          <w:rFonts w:ascii="Verdana" w:hAnsi="Verdana"/>
          <w:sz w:val="18"/>
          <w:szCs w:val="18"/>
          <w:lang w:val="en-GB"/>
        </w:rPr>
        <w:t>highlights</w:t>
      </w:r>
      <w:r w:rsidRPr="0016270D">
        <w:rPr>
          <w:rFonts w:ascii="Verdana" w:hAnsi="Verdana"/>
          <w:sz w:val="18"/>
          <w:szCs w:val="18"/>
          <w:lang w:val="en-GB"/>
        </w:rPr>
        <w:t xml:space="preserve"> </w:t>
      </w:r>
      <w:r w:rsidRPr="0016270D" w:rsidR="00417DA4">
        <w:rPr>
          <w:rFonts w:ascii="Verdana" w:hAnsi="Verdana"/>
          <w:sz w:val="18"/>
          <w:szCs w:val="18"/>
          <w:lang w:val="en-GB"/>
        </w:rPr>
        <w:t xml:space="preserve">some </w:t>
      </w:r>
      <w:r w:rsidRPr="0016270D">
        <w:rPr>
          <w:rFonts w:ascii="Verdana" w:hAnsi="Verdana"/>
          <w:sz w:val="18"/>
          <w:szCs w:val="18"/>
          <w:lang w:val="en-GB"/>
        </w:rPr>
        <w:t>challenges</w:t>
      </w:r>
      <w:r w:rsidRPr="0016270D" w:rsidR="005B38D1">
        <w:rPr>
          <w:rFonts w:ascii="Verdana" w:hAnsi="Verdana"/>
          <w:sz w:val="18"/>
          <w:szCs w:val="18"/>
          <w:lang w:val="en-GB"/>
        </w:rPr>
        <w:t xml:space="preserve"> </w:t>
      </w:r>
      <w:r w:rsidRPr="0016270D">
        <w:rPr>
          <w:rFonts w:ascii="Verdana" w:hAnsi="Verdana"/>
          <w:sz w:val="18"/>
          <w:szCs w:val="18"/>
          <w:lang w:val="en-GB"/>
        </w:rPr>
        <w:t xml:space="preserve">followed by </w:t>
      </w:r>
      <w:r w:rsidRPr="0016270D" w:rsidR="00417DA4">
        <w:rPr>
          <w:rFonts w:ascii="Verdana" w:hAnsi="Verdana"/>
          <w:sz w:val="18"/>
          <w:szCs w:val="18"/>
          <w:lang w:val="en-GB"/>
        </w:rPr>
        <w:t xml:space="preserve">suggestions for the technical details. </w:t>
      </w:r>
      <w:r w:rsidRPr="0016270D">
        <w:rPr>
          <w:rFonts w:ascii="Verdana" w:hAnsi="Verdana"/>
          <w:sz w:val="18"/>
          <w:szCs w:val="18"/>
          <w:lang w:val="en-GB"/>
        </w:rPr>
        <w:t xml:space="preserve"> </w:t>
      </w:r>
    </w:p>
    <w:bookmarkEnd w:id="1"/>
    <w:p w:rsidRPr="0016270D" w:rsidR="00004550" w:rsidP="0016270D" w:rsidRDefault="00843398" w14:paraId="1807B552" w14:textId="0B6442EA">
      <w:pPr>
        <w:pStyle w:val="Lijstalinea"/>
        <w:numPr>
          <w:ilvl w:val="0"/>
          <w:numId w:val="13"/>
        </w:numPr>
        <w:rPr>
          <w:rFonts w:ascii="Verdana" w:hAnsi="Verdana"/>
          <w:b/>
          <w:bCs/>
          <w:sz w:val="18"/>
          <w:szCs w:val="18"/>
          <w:lang w:val="en-GB"/>
        </w:rPr>
      </w:pPr>
      <w:r w:rsidRPr="0016270D">
        <w:rPr>
          <w:rFonts w:ascii="Verdana" w:hAnsi="Verdana"/>
          <w:b/>
          <w:bCs/>
          <w:sz w:val="18"/>
          <w:szCs w:val="18"/>
          <w:lang w:val="en-GB"/>
        </w:rPr>
        <w:t>Problem analysis</w:t>
      </w:r>
    </w:p>
    <w:p w:rsidRPr="0016270D" w:rsidR="00BA3CD1" w:rsidP="0016270D" w:rsidRDefault="000965B4" w14:paraId="41E15F5E" w14:textId="6C2ADF34">
      <w:pPr>
        <w:rPr>
          <w:rFonts w:ascii="Verdana" w:hAnsi="Verdana"/>
          <w:i/>
          <w:iCs/>
          <w:sz w:val="18"/>
          <w:szCs w:val="18"/>
          <w:lang w:val="en-GB"/>
        </w:rPr>
      </w:pPr>
      <w:bookmarkStart w:name="_Hlk185410613" w:id="2"/>
      <w:r w:rsidRPr="0016270D">
        <w:rPr>
          <w:rFonts w:ascii="Verdana" w:hAnsi="Verdana"/>
          <w:b/>
          <w:bCs/>
          <w:sz w:val="18"/>
          <w:szCs w:val="18"/>
          <w:lang w:val="en-GB"/>
        </w:rPr>
        <w:t xml:space="preserve">It is in the best interest of the EU to facilitate access to financial services for business customers, enabling </w:t>
      </w:r>
      <w:r w:rsidRPr="0016270D" w:rsidR="003C4ADD">
        <w:rPr>
          <w:rFonts w:ascii="Verdana" w:hAnsi="Verdana"/>
          <w:b/>
          <w:bCs/>
          <w:sz w:val="18"/>
          <w:szCs w:val="18"/>
          <w:lang w:val="en-GB"/>
        </w:rPr>
        <w:t>active participation</w:t>
      </w:r>
      <w:r w:rsidRPr="0016270D">
        <w:rPr>
          <w:rFonts w:ascii="Verdana" w:hAnsi="Verdana"/>
          <w:b/>
          <w:bCs/>
          <w:sz w:val="18"/>
          <w:szCs w:val="18"/>
          <w:lang w:val="en-GB"/>
        </w:rPr>
        <w:t xml:space="preserve"> in the European </w:t>
      </w:r>
      <w:r w:rsidRPr="0016270D" w:rsidR="003C4ADD">
        <w:rPr>
          <w:rFonts w:ascii="Verdana" w:hAnsi="Verdana"/>
          <w:b/>
          <w:bCs/>
          <w:sz w:val="18"/>
          <w:szCs w:val="18"/>
          <w:lang w:val="en-GB"/>
        </w:rPr>
        <w:t>e</w:t>
      </w:r>
      <w:r w:rsidRPr="0016270D">
        <w:rPr>
          <w:rFonts w:ascii="Verdana" w:hAnsi="Verdana"/>
          <w:b/>
          <w:bCs/>
          <w:sz w:val="18"/>
          <w:szCs w:val="18"/>
          <w:lang w:val="en-GB"/>
        </w:rPr>
        <w:t xml:space="preserve">conomy. </w:t>
      </w:r>
      <w:r w:rsidRPr="00C63AD8" w:rsidR="00C63AD8">
        <w:rPr>
          <w:rFonts w:ascii="Verdana" w:hAnsi="Verdana"/>
          <w:b/>
          <w:bCs/>
          <w:sz w:val="18"/>
          <w:szCs w:val="18"/>
          <w:lang w:val="en-GB"/>
        </w:rPr>
        <w:t xml:space="preserve">Moreover, the </w:t>
      </w:r>
      <w:r w:rsidR="00C63AD8">
        <w:rPr>
          <w:rFonts w:ascii="Verdana" w:hAnsi="Verdana"/>
          <w:b/>
          <w:bCs/>
          <w:sz w:val="18"/>
          <w:szCs w:val="18"/>
          <w:lang w:val="en-GB"/>
        </w:rPr>
        <w:t>spillover</w:t>
      </w:r>
      <w:r w:rsidRPr="00C63AD8" w:rsidR="00C63AD8">
        <w:rPr>
          <w:rFonts w:ascii="Verdana" w:hAnsi="Verdana"/>
          <w:b/>
          <w:bCs/>
          <w:sz w:val="18"/>
          <w:szCs w:val="18"/>
          <w:lang w:val="en-GB"/>
        </w:rPr>
        <w:t xml:space="preserve"> effects on the internal market, such as enhanced </w:t>
      </w:r>
      <w:r w:rsidR="00C63AD8">
        <w:rPr>
          <w:rFonts w:ascii="Verdana" w:hAnsi="Verdana"/>
          <w:b/>
          <w:bCs/>
          <w:sz w:val="18"/>
          <w:szCs w:val="18"/>
          <w:lang w:val="en-GB"/>
        </w:rPr>
        <w:t>economic fluidity and competitiveness</w:t>
      </w:r>
      <w:r w:rsidRPr="00C63AD8" w:rsidR="00C63AD8">
        <w:rPr>
          <w:rFonts w:ascii="Verdana" w:hAnsi="Verdana"/>
          <w:b/>
          <w:bCs/>
          <w:sz w:val="18"/>
          <w:szCs w:val="18"/>
          <w:lang w:val="en-GB"/>
        </w:rPr>
        <w:t xml:space="preserve"> contribute to greater market efficiency</w:t>
      </w:r>
      <w:r w:rsidR="00C63AD8">
        <w:rPr>
          <w:rFonts w:ascii="Verdana" w:hAnsi="Verdana"/>
          <w:b/>
          <w:bCs/>
          <w:sz w:val="18"/>
          <w:szCs w:val="18"/>
          <w:lang w:val="en-GB"/>
        </w:rPr>
        <w:t>.</w:t>
      </w:r>
    </w:p>
    <w:p w:rsidRPr="0016270D" w:rsidR="00155180" w:rsidP="0016270D" w:rsidRDefault="003C4ADD" w14:paraId="50A546D6" w14:textId="17E0E8E2">
      <w:pPr>
        <w:rPr>
          <w:rFonts w:ascii="Verdana" w:hAnsi="Verdana"/>
          <w:sz w:val="18"/>
          <w:szCs w:val="18"/>
          <w:lang w:val="en-GB"/>
        </w:rPr>
      </w:pPr>
      <w:r w:rsidRPr="0016270D">
        <w:rPr>
          <w:rFonts w:ascii="Verdana" w:hAnsi="Verdana"/>
          <w:b/>
          <w:bCs/>
          <w:sz w:val="18"/>
          <w:szCs w:val="18"/>
          <w:lang w:val="en-GB"/>
        </w:rPr>
        <w:t>Currently, b</w:t>
      </w:r>
      <w:r w:rsidRPr="0016270D" w:rsidR="00315BD1">
        <w:rPr>
          <w:rFonts w:ascii="Verdana" w:hAnsi="Verdana"/>
          <w:b/>
          <w:bCs/>
          <w:sz w:val="18"/>
          <w:szCs w:val="18"/>
          <w:lang w:val="en-GB"/>
        </w:rPr>
        <w:t xml:space="preserve">usiness customers in various member states experience difficulties </w:t>
      </w:r>
      <w:proofErr w:type="gramStart"/>
      <w:r w:rsidR="00B64E7D">
        <w:rPr>
          <w:rFonts w:ascii="Verdana" w:hAnsi="Verdana"/>
          <w:b/>
          <w:bCs/>
          <w:sz w:val="18"/>
          <w:szCs w:val="18"/>
          <w:lang w:val="en-GB"/>
        </w:rPr>
        <w:t xml:space="preserve">with </w:t>
      </w:r>
      <w:r w:rsidRPr="0016270D">
        <w:rPr>
          <w:rFonts w:ascii="Verdana" w:hAnsi="Verdana"/>
          <w:b/>
          <w:bCs/>
          <w:sz w:val="18"/>
          <w:szCs w:val="18"/>
          <w:lang w:val="en-GB"/>
        </w:rPr>
        <w:t xml:space="preserve"> </w:t>
      </w:r>
      <w:r w:rsidR="00B64E7D">
        <w:rPr>
          <w:rFonts w:ascii="Verdana" w:hAnsi="Verdana"/>
          <w:b/>
          <w:bCs/>
          <w:sz w:val="18"/>
          <w:szCs w:val="18"/>
          <w:lang w:val="en-GB"/>
        </w:rPr>
        <w:t>fully</w:t>
      </w:r>
      <w:proofErr w:type="gramEnd"/>
      <w:r w:rsidR="00B64E7D">
        <w:rPr>
          <w:rFonts w:ascii="Verdana" w:hAnsi="Verdana"/>
          <w:b/>
          <w:bCs/>
          <w:sz w:val="18"/>
          <w:szCs w:val="18"/>
          <w:lang w:val="en-GB"/>
        </w:rPr>
        <w:t xml:space="preserve"> </w:t>
      </w:r>
      <w:r w:rsidRPr="0016270D">
        <w:rPr>
          <w:rFonts w:ascii="Verdana" w:hAnsi="Verdana"/>
          <w:b/>
          <w:bCs/>
          <w:sz w:val="18"/>
          <w:szCs w:val="18"/>
          <w:lang w:val="en-GB"/>
        </w:rPr>
        <w:t xml:space="preserve">participating </w:t>
      </w:r>
      <w:r w:rsidRPr="0016270D" w:rsidR="00315BD1">
        <w:rPr>
          <w:rFonts w:ascii="Verdana" w:hAnsi="Verdana"/>
          <w:b/>
          <w:bCs/>
          <w:sz w:val="18"/>
          <w:szCs w:val="18"/>
          <w:lang w:val="en-GB"/>
        </w:rPr>
        <w:t xml:space="preserve">in </w:t>
      </w:r>
      <w:r w:rsidRPr="0016270D">
        <w:rPr>
          <w:rFonts w:ascii="Verdana" w:hAnsi="Verdana"/>
          <w:b/>
          <w:bCs/>
          <w:sz w:val="18"/>
          <w:szCs w:val="18"/>
          <w:lang w:val="en-GB"/>
        </w:rPr>
        <w:t>the economy due to difficulties in</w:t>
      </w:r>
      <w:r w:rsidRPr="0016270D" w:rsidR="00315BD1">
        <w:rPr>
          <w:rFonts w:ascii="Verdana" w:hAnsi="Verdana"/>
          <w:b/>
          <w:bCs/>
          <w:sz w:val="18"/>
          <w:szCs w:val="18"/>
          <w:lang w:val="en-GB"/>
        </w:rPr>
        <w:t xml:space="preserve"> opening </w:t>
      </w:r>
      <w:r w:rsidR="00AD46C7">
        <w:rPr>
          <w:rFonts w:ascii="Verdana" w:hAnsi="Verdana"/>
          <w:b/>
          <w:bCs/>
          <w:sz w:val="18"/>
          <w:szCs w:val="18"/>
          <w:lang w:val="en-GB"/>
        </w:rPr>
        <w:t xml:space="preserve">or </w:t>
      </w:r>
      <w:r w:rsidR="00355FD5">
        <w:rPr>
          <w:rFonts w:ascii="Verdana" w:hAnsi="Verdana"/>
          <w:b/>
          <w:bCs/>
          <w:sz w:val="18"/>
          <w:szCs w:val="18"/>
          <w:lang w:val="en-GB"/>
        </w:rPr>
        <w:t>maintaining</w:t>
      </w:r>
      <w:r w:rsidR="00AD46C7">
        <w:rPr>
          <w:rFonts w:ascii="Verdana" w:hAnsi="Verdana"/>
          <w:b/>
          <w:bCs/>
          <w:sz w:val="18"/>
          <w:szCs w:val="18"/>
          <w:lang w:val="en-GB"/>
        </w:rPr>
        <w:t xml:space="preserve"> </w:t>
      </w:r>
      <w:r w:rsidRPr="0016270D" w:rsidR="00315BD1">
        <w:rPr>
          <w:rFonts w:ascii="Verdana" w:hAnsi="Verdana"/>
          <w:b/>
          <w:bCs/>
          <w:sz w:val="18"/>
          <w:szCs w:val="18"/>
          <w:lang w:val="en-GB"/>
        </w:rPr>
        <w:t>a payment account.</w:t>
      </w:r>
      <w:r w:rsidRPr="0016270D" w:rsidR="007124B6">
        <w:rPr>
          <w:rFonts w:ascii="Verdana" w:hAnsi="Verdana"/>
          <w:b/>
          <w:bCs/>
          <w:sz w:val="18"/>
          <w:szCs w:val="18"/>
          <w:lang w:val="en-GB"/>
        </w:rPr>
        <w:t xml:space="preserve"> This potentially </w:t>
      </w:r>
      <w:r w:rsidR="00C63AD8">
        <w:rPr>
          <w:rFonts w:ascii="Verdana" w:hAnsi="Verdana"/>
          <w:b/>
          <w:bCs/>
          <w:sz w:val="18"/>
          <w:szCs w:val="18"/>
          <w:lang w:val="en-GB"/>
        </w:rPr>
        <w:t>disrupts</w:t>
      </w:r>
      <w:r w:rsidRPr="0016270D" w:rsidR="00C63AD8">
        <w:rPr>
          <w:rFonts w:ascii="Verdana" w:hAnsi="Verdana"/>
          <w:b/>
          <w:bCs/>
          <w:sz w:val="18"/>
          <w:szCs w:val="18"/>
          <w:lang w:val="en-GB"/>
        </w:rPr>
        <w:t xml:space="preserve"> </w:t>
      </w:r>
      <w:r w:rsidRPr="0016270D" w:rsidR="00344BC0">
        <w:rPr>
          <w:rFonts w:ascii="Verdana" w:hAnsi="Verdana"/>
          <w:b/>
          <w:bCs/>
          <w:sz w:val="18"/>
          <w:szCs w:val="18"/>
          <w:lang w:val="en-GB"/>
        </w:rPr>
        <w:t xml:space="preserve">economic </w:t>
      </w:r>
      <w:r w:rsidRPr="0016270D" w:rsidR="00344BC0">
        <w:rPr>
          <w:rFonts w:ascii="Verdana" w:hAnsi="Verdana"/>
          <w:b/>
          <w:bCs/>
          <w:sz w:val="18"/>
          <w:szCs w:val="18"/>
          <w:lang w:val="en-US"/>
        </w:rPr>
        <w:t>fluidity</w:t>
      </w:r>
      <w:r w:rsidRPr="0016270D" w:rsidR="007124B6">
        <w:rPr>
          <w:rFonts w:ascii="Verdana" w:hAnsi="Verdana"/>
          <w:b/>
          <w:bCs/>
          <w:sz w:val="18"/>
          <w:szCs w:val="18"/>
          <w:lang w:val="en-GB"/>
        </w:rPr>
        <w:t>.</w:t>
      </w:r>
      <w:r w:rsidRPr="0016270D" w:rsidR="00315BD1">
        <w:rPr>
          <w:rFonts w:ascii="Verdana" w:hAnsi="Verdana"/>
          <w:sz w:val="18"/>
          <w:szCs w:val="18"/>
          <w:lang w:val="en-GB"/>
        </w:rPr>
        <w:t xml:space="preserve"> </w:t>
      </w:r>
      <w:bookmarkEnd w:id="2"/>
      <w:r w:rsidRPr="0016270D">
        <w:rPr>
          <w:rFonts w:ascii="Verdana" w:hAnsi="Verdana"/>
          <w:sz w:val="18"/>
          <w:szCs w:val="18"/>
          <w:lang w:val="en-GB"/>
        </w:rPr>
        <w:t>The process of o</w:t>
      </w:r>
      <w:r w:rsidRPr="0016270D" w:rsidR="00315BD1">
        <w:rPr>
          <w:rFonts w:ascii="Verdana" w:hAnsi="Verdana"/>
          <w:sz w:val="18"/>
          <w:szCs w:val="18"/>
          <w:lang w:val="en-GB"/>
        </w:rPr>
        <w:t xml:space="preserve">pening a payment account can often </w:t>
      </w:r>
      <w:r w:rsidRPr="0016270D">
        <w:rPr>
          <w:rFonts w:ascii="Verdana" w:hAnsi="Verdana"/>
          <w:sz w:val="18"/>
          <w:szCs w:val="18"/>
          <w:lang w:val="en-GB"/>
        </w:rPr>
        <w:t>be time-consuming</w:t>
      </w:r>
      <w:r w:rsidRPr="0016270D" w:rsidR="00315BD1">
        <w:rPr>
          <w:rFonts w:ascii="Verdana" w:hAnsi="Verdana"/>
          <w:sz w:val="18"/>
          <w:szCs w:val="18"/>
          <w:lang w:val="en-GB"/>
        </w:rPr>
        <w:t xml:space="preserve">, </w:t>
      </w:r>
      <w:r w:rsidRPr="0016270D">
        <w:rPr>
          <w:rFonts w:ascii="Verdana" w:hAnsi="Verdana"/>
          <w:sz w:val="18"/>
          <w:szCs w:val="18"/>
          <w:lang w:val="en-GB"/>
        </w:rPr>
        <w:t xml:space="preserve">leading to significant </w:t>
      </w:r>
      <w:r w:rsidRPr="0016270D" w:rsidR="00315BD1">
        <w:rPr>
          <w:rFonts w:ascii="Verdana" w:hAnsi="Verdana"/>
          <w:sz w:val="18"/>
          <w:szCs w:val="18"/>
          <w:lang w:val="en-GB"/>
        </w:rPr>
        <w:t xml:space="preserve">consequences. For instance, start-ups </w:t>
      </w:r>
      <w:r w:rsidRPr="0016270D">
        <w:rPr>
          <w:rFonts w:ascii="Verdana" w:hAnsi="Verdana"/>
          <w:sz w:val="18"/>
          <w:szCs w:val="18"/>
          <w:lang w:val="en-GB"/>
        </w:rPr>
        <w:t xml:space="preserve">may </w:t>
      </w:r>
      <w:r w:rsidRPr="0016270D" w:rsidR="00315BD1">
        <w:rPr>
          <w:rFonts w:ascii="Verdana" w:hAnsi="Verdana"/>
          <w:sz w:val="18"/>
          <w:szCs w:val="18"/>
          <w:lang w:val="en-GB"/>
        </w:rPr>
        <w:t>miss out on valuable business opportunities,</w:t>
      </w:r>
      <w:r w:rsidR="008F1DFC">
        <w:rPr>
          <w:rFonts w:ascii="Verdana" w:hAnsi="Verdana"/>
          <w:sz w:val="18"/>
          <w:szCs w:val="18"/>
          <w:lang w:val="en-GB"/>
        </w:rPr>
        <w:t xml:space="preserve"> possibly</w:t>
      </w:r>
      <w:r w:rsidRPr="0016270D" w:rsidR="008F1DFC">
        <w:rPr>
          <w:rFonts w:ascii="Verdana" w:hAnsi="Verdana"/>
          <w:sz w:val="18"/>
          <w:szCs w:val="18"/>
          <w:lang w:val="en-GB"/>
        </w:rPr>
        <w:t xml:space="preserve"> decreasing the</w:t>
      </w:r>
      <w:r w:rsidR="008F1DFC">
        <w:rPr>
          <w:rFonts w:ascii="Verdana" w:hAnsi="Verdana"/>
          <w:sz w:val="18"/>
          <w:szCs w:val="18"/>
          <w:lang w:val="en-GB"/>
        </w:rPr>
        <w:t xml:space="preserve"> EU’s’</w:t>
      </w:r>
      <w:r w:rsidRPr="0016270D" w:rsidR="008F1DFC">
        <w:rPr>
          <w:rFonts w:ascii="Verdana" w:hAnsi="Verdana"/>
          <w:sz w:val="18"/>
          <w:szCs w:val="18"/>
          <w:lang w:val="en-GB"/>
        </w:rPr>
        <w:t xml:space="preserve"> competitiveness</w:t>
      </w:r>
      <w:r w:rsidR="008F1DFC">
        <w:rPr>
          <w:rFonts w:ascii="Verdana" w:hAnsi="Verdana"/>
          <w:sz w:val="18"/>
          <w:szCs w:val="18"/>
          <w:lang w:val="en-GB"/>
        </w:rPr>
        <w:t>,</w:t>
      </w:r>
      <w:r w:rsidRPr="0016270D" w:rsidR="00315BD1">
        <w:rPr>
          <w:rFonts w:ascii="Verdana" w:hAnsi="Verdana"/>
          <w:sz w:val="18"/>
          <w:szCs w:val="18"/>
          <w:lang w:val="en-GB"/>
        </w:rPr>
        <w:t xml:space="preserve"> while </w:t>
      </w:r>
      <w:r w:rsidRPr="0016270D">
        <w:rPr>
          <w:rFonts w:ascii="Verdana" w:hAnsi="Verdana"/>
          <w:sz w:val="18"/>
          <w:szCs w:val="18"/>
          <w:lang w:val="en-GB"/>
        </w:rPr>
        <w:t>non-profit organisation</w:t>
      </w:r>
      <w:r w:rsidR="00B64E7D">
        <w:rPr>
          <w:rFonts w:ascii="Verdana" w:hAnsi="Verdana"/>
          <w:sz w:val="18"/>
          <w:szCs w:val="18"/>
          <w:lang w:val="en-GB"/>
        </w:rPr>
        <w:t>s</w:t>
      </w:r>
      <w:r w:rsidRPr="0016270D">
        <w:rPr>
          <w:rFonts w:ascii="Verdana" w:hAnsi="Verdana"/>
          <w:sz w:val="18"/>
          <w:szCs w:val="18"/>
          <w:lang w:val="en-GB"/>
        </w:rPr>
        <w:t xml:space="preserve"> (</w:t>
      </w:r>
      <w:r w:rsidRPr="0016270D" w:rsidR="00315BD1">
        <w:rPr>
          <w:rFonts w:ascii="Verdana" w:hAnsi="Verdana"/>
          <w:sz w:val="18"/>
          <w:szCs w:val="18"/>
          <w:lang w:val="en-GB"/>
        </w:rPr>
        <w:t>NPO</w:t>
      </w:r>
      <w:r w:rsidR="008F1DFC">
        <w:rPr>
          <w:rFonts w:ascii="Verdana" w:hAnsi="Verdana"/>
          <w:sz w:val="18"/>
          <w:szCs w:val="18"/>
          <w:lang w:val="en-GB"/>
        </w:rPr>
        <w:t>’s</w:t>
      </w:r>
      <w:r w:rsidRPr="0016270D">
        <w:rPr>
          <w:rFonts w:ascii="Verdana" w:hAnsi="Verdana"/>
          <w:sz w:val="18"/>
          <w:szCs w:val="18"/>
          <w:lang w:val="en-GB"/>
        </w:rPr>
        <w:t>)</w:t>
      </w:r>
      <w:r w:rsidRPr="0016270D" w:rsidR="00315BD1">
        <w:rPr>
          <w:rFonts w:ascii="Verdana" w:hAnsi="Verdana"/>
          <w:sz w:val="18"/>
          <w:szCs w:val="18"/>
          <w:lang w:val="en-GB"/>
        </w:rPr>
        <w:t xml:space="preserve"> </w:t>
      </w:r>
      <w:r w:rsidR="00B64E7D">
        <w:rPr>
          <w:rFonts w:ascii="Verdana" w:hAnsi="Verdana"/>
          <w:sz w:val="18"/>
          <w:szCs w:val="18"/>
          <w:lang w:val="en-GB"/>
        </w:rPr>
        <w:t xml:space="preserve">could </w:t>
      </w:r>
      <w:r w:rsidRPr="0016270D">
        <w:rPr>
          <w:rFonts w:ascii="Verdana" w:hAnsi="Verdana"/>
          <w:sz w:val="18"/>
          <w:szCs w:val="18"/>
          <w:lang w:val="en-GB"/>
        </w:rPr>
        <w:t>face obstacles</w:t>
      </w:r>
      <w:r w:rsidRPr="0016270D" w:rsidR="00315BD1">
        <w:rPr>
          <w:rFonts w:ascii="Verdana" w:hAnsi="Verdana"/>
          <w:sz w:val="18"/>
          <w:szCs w:val="18"/>
          <w:lang w:val="en-GB"/>
        </w:rPr>
        <w:t xml:space="preserve"> in funds for </w:t>
      </w:r>
      <w:r w:rsidRPr="0016270D">
        <w:rPr>
          <w:rFonts w:ascii="Verdana" w:hAnsi="Verdana"/>
          <w:sz w:val="18"/>
          <w:szCs w:val="18"/>
          <w:lang w:val="en-GB"/>
        </w:rPr>
        <w:t xml:space="preserve">critical </w:t>
      </w:r>
      <w:r w:rsidRPr="0016270D" w:rsidR="00315BD1">
        <w:rPr>
          <w:rFonts w:ascii="Verdana" w:hAnsi="Verdana"/>
          <w:sz w:val="18"/>
          <w:szCs w:val="18"/>
          <w:lang w:val="en-GB"/>
        </w:rPr>
        <w:t>humanitarian aid</w:t>
      </w:r>
      <w:r w:rsidRPr="0016270D" w:rsidR="00C4316A">
        <w:rPr>
          <w:rFonts w:ascii="Verdana" w:hAnsi="Verdana"/>
          <w:sz w:val="18"/>
          <w:szCs w:val="18"/>
          <w:lang w:val="en-GB"/>
        </w:rPr>
        <w:t>.</w:t>
      </w:r>
    </w:p>
    <w:p w:rsidRPr="001E50F2" w:rsidR="00315BD1" w:rsidP="0016270D" w:rsidRDefault="003C4ADD" w14:paraId="368A7A10" w14:textId="2B5A3146">
      <w:pPr>
        <w:rPr>
          <w:rFonts w:ascii="Verdana" w:hAnsi="Verdana"/>
          <w:sz w:val="18"/>
          <w:szCs w:val="18"/>
          <w:lang w:val="en-GB"/>
        </w:rPr>
      </w:pPr>
      <w:bookmarkStart w:name="_Hlk185410473" w:id="3"/>
      <w:r w:rsidRPr="0016270D">
        <w:rPr>
          <w:rFonts w:ascii="Verdana" w:hAnsi="Verdana"/>
          <w:b/>
          <w:bCs/>
          <w:sz w:val="18"/>
          <w:szCs w:val="18"/>
          <w:lang w:val="en-GB"/>
        </w:rPr>
        <w:t>The challenges faced by</w:t>
      </w:r>
      <w:r w:rsidRPr="0016270D" w:rsidR="00315BD1">
        <w:rPr>
          <w:rFonts w:ascii="Verdana" w:hAnsi="Verdana"/>
          <w:b/>
          <w:bCs/>
          <w:sz w:val="18"/>
          <w:szCs w:val="18"/>
          <w:lang w:val="en-GB"/>
        </w:rPr>
        <w:t xml:space="preserve"> business customers </w:t>
      </w:r>
      <w:r w:rsidRPr="0016270D">
        <w:rPr>
          <w:rFonts w:ascii="Verdana" w:hAnsi="Verdana"/>
          <w:b/>
          <w:bCs/>
          <w:sz w:val="18"/>
          <w:szCs w:val="18"/>
          <w:lang w:val="en-GB"/>
        </w:rPr>
        <w:t>stem from various factors</w:t>
      </w:r>
      <w:r w:rsidRPr="00355FD5">
        <w:rPr>
          <w:rFonts w:ascii="Verdana" w:hAnsi="Verdana"/>
          <w:b/>
          <w:bCs/>
          <w:sz w:val="18"/>
          <w:szCs w:val="18"/>
          <w:lang w:val="en-GB"/>
        </w:rPr>
        <w:t>,</w:t>
      </w:r>
      <w:r w:rsidRPr="007A0458" w:rsidR="00315BD1">
        <w:rPr>
          <w:rFonts w:ascii="Verdana" w:hAnsi="Verdana"/>
          <w:b/>
          <w:bCs/>
          <w:sz w:val="18"/>
          <w:szCs w:val="18"/>
          <w:lang w:val="en-GB"/>
        </w:rPr>
        <w:t xml:space="preserve"> </w:t>
      </w:r>
      <w:r w:rsidR="00C63AD8">
        <w:rPr>
          <w:rFonts w:ascii="Verdana" w:hAnsi="Verdana"/>
          <w:b/>
          <w:bCs/>
          <w:sz w:val="18"/>
          <w:szCs w:val="18"/>
          <w:lang w:val="en-GB"/>
        </w:rPr>
        <w:t xml:space="preserve">with </w:t>
      </w:r>
      <w:r w:rsidRPr="007A0458" w:rsidR="00AD46C7">
        <w:rPr>
          <w:rFonts w:ascii="Verdana" w:hAnsi="Verdana"/>
          <w:b/>
          <w:bCs/>
          <w:sz w:val="18"/>
          <w:szCs w:val="18"/>
          <w:lang w:val="en-GB"/>
        </w:rPr>
        <w:t xml:space="preserve">the </w:t>
      </w:r>
      <w:r w:rsidRPr="00355FD5" w:rsidR="00D7755D">
        <w:rPr>
          <w:rFonts w:ascii="Verdana" w:hAnsi="Verdana"/>
          <w:b/>
          <w:bCs/>
          <w:sz w:val="18"/>
          <w:szCs w:val="18"/>
          <w:lang w:val="en-GB"/>
        </w:rPr>
        <w:t>primary</w:t>
      </w:r>
      <w:r w:rsidR="00AD46C7">
        <w:rPr>
          <w:rFonts w:ascii="Verdana" w:hAnsi="Verdana"/>
          <w:b/>
          <w:bCs/>
          <w:sz w:val="18"/>
          <w:szCs w:val="18"/>
          <w:lang w:val="en-GB"/>
        </w:rPr>
        <w:t xml:space="preserve"> reason </w:t>
      </w:r>
      <w:r w:rsidR="00C63AD8">
        <w:rPr>
          <w:rFonts w:ascii="Verdana" w:hAnsi="Verdana"/>
          <w:b/>
          <w:bCs/>
          <w:sz w:val="18"/>
          <w:szCs w:val="18"/>
          <w:lang w:val="en-GB"/>
        </w:rPr>
        <w:t>being</w:t>
      </w:r>
      <w:r w:rsidRPr="0016270D" w:rsidR="00D7755D">
        <w:rPr>
          <w:rFonts w:ascii="Verdana" w:hAnsi="Verdana"/>
          <w:b/>
          <w:bCs/>
          <w:sz w:val="18"/>
          <w:szCs w:val="18"/>
          <w:lang w:val="en-GB"/>
        </w:rPr>
        <w:t xml:space="preserve"> the </w:t>
      </w:r>
      <w:r w:rsidRPr="0016270D" w:rsidR="00315BD1">
        <w:rPr>
          <w:rFonts w:ascii="Verdana" w:hAnsi="Verdana"/>
          <w:b/>
          <w:bCs/>
          <w:sz w:val="18"/>
          <w:szCs w:val="18"/>
          <w:lang w:val="en-GB"/>
        </w:rPr>
        <w:t xml:space="preserve">freedom of contract </w:t>
      </w:r>
      <w:r w:rsidR="00C63AD8">
        <w:rPr>
          <w:rFonts w:ascii="Verdana" w:hAnsi="Verdana"/>
          <w:b/>
          <w:bCs/>
          <w:sz w:val="18"/>
          <w:szCs w:val="18"/>
          <w:lang w:val="en-GB"/>
        </w:rPr>
        <w:t xml:space="preserve">enjoyed by </w:t>
      </w:r>
      <w:r w:rsidRPr="0016270D" w:rsidR="00315BD1">
        <w:rPr>
          <w:rFonts w:ascii="Verdana" w:hAnsi="Verdana"/>
          <w:b/>
          <w:bCs/>
          <w:sz w:val="18"/>
          <w:szCs w:val="18"/>
          <w:lang w:val="en-GB"/>
        </w:rPr>
        <w:t>financial institutions</w:t>
      </w:r>
      <w:r w:rsidR="00AD46C7">
        <w:rPr>
          <w:rFonts w:ascii="Verdana" w:hAnsi="Verdana"/>
          <w:b/>
          <w:bCs/>
          <w:sz w:val="18"/>
          <w:szCs w:val="18"/>
          <w:lang w:val="en-GB"/>
        </w:rPr>
        <w:t xml:space="preserve">. </w:t>
      </w:r>
      <w:r w:rsidR="00C170AC">
        <w:rPr>
          <w:rFonts w:ascii="Verdana" w:hAnsi="Verdana"/>
          <w:sz w:val="18"/>
          <w:szCs w:val="18"/>
          <w:lang w:val="en-GB"/>
        </w:rPr>
        <w:t>Currently, s</w:t>
      </w:r>
      <w:r w:rsidRPr="0016270D" w:rsidR="00C170AC">
        <w:rPr>
          <w:rFonts w:ascii="Verdana" w:hAnsi="Verdana"/>
          <w:sz w:val="18"/>
          <w:szCs w:val="18"/>
          <w:lang w:val="en-GB"/>
        </w:rPr>
        <w:t xml:space="preserve">ome </w:t>
      </w:r>
      <w:r w:rsidR="00C170AC">
        <w:rPr>
          <w:rFonts w:ascii="Verdana" w:hAnsi="Verdana"/>
          <w:sz w:val="18"/>
          <w:szCs w:val="18"/>
          <w:lang w:val="en-GB"/>
        </w:rPr>
        <w:t>business customers</w:t>
      </w:r>
      <w:r w:rsidRPr="0016270D" w:rsidR="00C170AC">
        <w:rPr>
          <w:rFonts w:ascii="Verdana" w:hAnsi="Verdana"/>
          <w:sz w:val="18"/>
          <w:szCs w:val="18"/>
          <w:lang w:val="en-GB"/>
        </w:rPr>
        <w:t xml:space="preserve"> are </w:t>
      </w:r>
      <w:r w:rsidR="00C170AC">
        <w:rPr>
          <w:rFonts w:ascii="Verdana" w:hAnsi="Verdana"/>
          <w:sz w:val="18"/>
          <w:szCs w:val="18"/>
          <w:lang w:val="en-GB"/>
        </w:rPr>
        <w:t>declined</w:t>
      </w:r>
      <w:r w:rsidRPr="0016270D" w:rsidR="00C170AC">
        <w:rPr>
          <w:rFonts w:ascii="Verdana" w:hAnsi="Verdana"/>
          <w:sz w:val="18"/>
          <w:szCs w:val="18"/>
          <w:lang w:val="en-GB"/>
        </w:rPr>
        <w:t xml:space="preserve"> </w:t>
      </w:r>
      <w:r w:rsidR="00C170AC">
        <w:rPr>
          <w:rFonts w:ascii="Verdana" w:hAnsi="Verdana"/>
          <w:sz w:val="18"/>
          <w:szCs w:val="18"/>
          <w:lang w:val="en-GB"/>
        </w:rPr>
        <w:t xml:space="preserve">due to </w:t>
      </w:r>
      <w:r w:rsidRPr="0016270D" w:rsidR="00C170AC">
        <w:rPr>
          <w:rFonts w:ascii="Verdana" w:hAnsi="Verdana"/>
          <w:sz w:val="18"/>
          <w:szCs w:val="18"/>
          <w:lang w:val="en-GB"/>
        </w:rPr>
        <w:t xml:space="preserve">commercial </w:t>
      </w:r>
      <w:r w:rsidR="00C170AC">
        <w:rPr>
          <w:rFonts w:ascii="Verdana" w:hAnsi="Verdana"/>
          <w:sz w:val="18"/>
          <w:szCs w:val="18"/>
          <w:lang w:val="en-GB"/>
        </w:rPr>
        <w:t>considerations</w:t>
      </w:r>
      <w:r w:rsidRPr="0016270D" w:rsidR="00C170AC">
        <w:rPr>
          <w:rFonts w:ascii="Verdana" w:hAnsi="Verdana"/>
          <w:sz w:val="18"/>
          <w:szCs w:val="18"/>
          <w:lang w:val="en-GB"/>
        </w:rPr>
        <w:t xml:space="preserve">, corporate responsibility </w:t>
      </w:r>
      <w:r w:rsidR="00C170AC">
        <w:rPr>
          <w:rFonts w:ascii="Verdana" w:hAnsi="Verdana"/>
          <w:sz w:val="18"/>
          <w:szCs w:val="18"/>
          <w:lang w:val="en-GB"/>
        </w:rPr>
        <w:t>concerns,</w:t>
      </w:r>
      <w:r w:rsidRPr="0016270D" w:rsidR="00C170AC">
        <w:rPr>
          <w:rFonts w:ascii="Verdana" w:hAnsi="Verdana"/>
          <w:sz w:val="18"/>
          <w:szCs w:val="18"/>
          <w:lang w:val="en-GB"/>
        </w:rPr>
        <w:t xml:space="preserve"> </w:t>
      </w:r>
      <w:r w:rsidR="00C170AC">
        <w:rPr>
          <w:rFonts w:ascii="Verdana" w:hAnsi="Verdana"/>
          <w:sz w:val="18"/>
          <w:szCs w:val="18"/>
          <w:lang w:val="en-GB"/>
        </w:rPr>
        <w:t>or</w:t>
      </w:r>
      <w:r w:rsidRPr="0016270D" w:rsidR="00C170AC">
        <w:rPr>
          <w:rFonts w:ascii="Verdana" w:hAnsi="Verdana"/>
          <w:sz w:val="18"/>
          <w:szCs w:val="18"/>
          <w:lang w:val="en-GB"/>
        </w:rPr>
        <w:t xml:space="preserve"> reputation risks for the institution.</w:t>
      </w:r>
      <w:r w:rsidR="00C170AC">
        <w:rPr>
          <w:rFonts w:ascii="Verdana" w:hAnsi="Verdana"/>
          <w:sz w:val="18"/>
          <w:szCs w:val="18"/>
          <w:lang w:val="en-GB"/>
        </w:rPr>
        <w:t xml:space="preserve"> </w:t>
      </w:r>
      <w:r w:rsidRPr="0016270D" w:rsidR="00C86717">
        <w:rPr>
          <w:rFonts w:ascii="Verdana" w:hAnsi="Verdana"/>
          <w:sz w:val="18"/>
          <w:szCs w:val="18"/>
          <w:lang w:val="en-GB"/>
        </w:rPr>
        <w:t xml:space="preserve">Financial institutions have the discretion to choose which </w:t>
      </w:r>
      <w:r w:rsidR="00C86717">
        <w:rPr>
          <w:rFonts w:ascii="Verdana" w:hAnsi="Verdana"/>
          <w:sz w:val="18"/>
          <w:szCs w:val="18"/>
          <w:lang w:val="en-GB"/>
        </w:rPr>
        <w:t>business customers</w:t>
      </w:r>
      <w:r w:rsidRPr="0016270D" w:rsidR="00C86717">
        <w:rPr>
          <w:rFonts w:ascii="Verdana" w:hAnsi="Verdana"/>
          <w:sz w:val="18"/>
          <w:szCs w:val="18"/>
          <w:lang w:val="en-GB"/>
        </w:rPr>
        <w:t xml:space="preserve"> to accept or </w:t>
      </w:r>
      <w:r w:rsidR="00C86717">
        <w:rPr>
          <w:rFonts w:ascii="Verdana" w:hAnsi="Verdana"/>
          <w:sz w:val="18"/>
          <w:szCs w:val="18"/>
          <w:lang w:val="en-GB"/>
        </w:rPr>
        <w:t xml:space="preserve">to </w:t>
      </w:r>
      <w:r w:rsidRPr="0016270D" w:rsidR="00C86717">
        <w:rPr>
          <w:rFonts w:ascii="Verdana" w:hAnsi="Verdana"/>
          <w:sz w:val="18"/>
          <w:szCs w:val="18"/>
          <w:lang w:val="en-GB"/>
        </w:rPr>
        <w:t>refuse.</w:t>
      </w:r>
      <w:r w:rsidR="00C86717">
        <w:rPr>
          <w:rFonts w:ascii="Verdana" w:hAnsi="Verdana"/>
          <w:sz w:val="18"/>
          <w:szCs w:val="18"/>
          <w:lang w:val="en-GB"/>
        </w:rPr>
        <w:t xml:space="preserve"> </w:t>
      </w:r>
      <w:r w:rsidRPr="0016270D" w:rsidR="00C86717">
        <w:rPr>
          <w:rFonts w:ascii="Verdana" w:hAnsi="Verdana"/>
          <w:sz w:val="18"/>
          <w:szCs w:val="18"/>
          <w:lang w:val="en-GB"/>
        </w:rPr>
        <w:t xml:space="preserve">This poses no issue </w:t>
      </w:r>
      <w:proofErr w:type="gramStart"/>
      <w:r w:rsidRPr="0016270D" w:rsidR="00C86717">
        <w:rPr>
          <w:rFonts w:ascii="Verdana" w:hAnsi="Verdana"/>
          <w:sz w:val="18"/>
          <w:szCs w:val="18"/>
          <w:lang w:val="en-GB"/>
        </w:rPr>
        <w:t>as long as</w:t>
      </w:r>
      <w:proofErr w:type="gramEnd"/>
      <w:r w:rsidRPr="0016270D" w:rsidR="00C86717">
        <w:rPr>
          <w:rFonts w:ascii="Verdana" w:hAnsi="Verdana"/>
          <w:sz w:val="18"/>
          <w:szCs w:val="18"/>
          <w:lang w:val="en-GB"/>
        </w:rPr>
        <w:t xml:space="preserve"> the </w:t>
      </w:r>
      <w:r w:rsidR="00C86717">
        <w:rPr>
          <w:rFonts w:ascii="Verdana" w:hAnsi="Verdana"/>
          <w:sz w:val="18"/>
          <w:szCs w:val="18"/>
          <w:lang w:val="en-GB"/>
        </w:rPr>
        <w:t>customer</w:t>
      </w:r>
      <w:r w:rsidRPr="0016270D" w:rsidR="00C86717">
        <w:rPr>
          <w:rFonts w:ascii="Verdana" w:hAnsi="Verdana"/>
          <w:sz w:val="18"/>
          <w:szCs w:val="18"/>
          <w:lang w:val="en-GB"/>
        </w:rPr>
        <w:t xml:space="preserve"> </w:t>
      </w:r>
      <w:r w:rsidR="008F1DFC">
        <w:rPr>
          <w:rFonts w:ascii="Verdana" w:hAnsi="Verdana"/>
          <w:sz w:val="18"/>
          <w:szCs w:val="18"/>
          <w:lang w:val="en-GB"/>
        </w:rPr>
        <w:t xml:space="preserve">is </w:t>
      </w:r>
      <w:r w:rsidRPr="0016270D" w:rsidR="00C86717">
        <w:rPr>
          <w:rFonts w:ascii="Verdana" w:hAnsi="Verdana"/>
          <w:sz w:val="18"/>
          <w:szCs w:val="18"/>
          <w:lang w:val="en-GB"/>
        </w:rPr>
        <w:lastRenderedPageBreak/>
        <w:t>ultimately able to open a payment account elsewhere. However</w:t>
      </w:r>
      <w:r w:rsidR="00C86717">
        <w:rPr>
          <w:rFonts w:ascii="Verdana" w:hAnsi="Verdana"/>
          <w:sz w:val="18"/>
          <w:szCs w:val="18"/>
          <w:lang w:val="en-GB"/>
        </w:rPr>
        <w:t>,</w:t>
      </w:r>
      <w:r w:rsidRPr="0016270D" w:rsidR="00C86717">
        <w:rPr>
          <w:rFonts w:ascii="Verdana" w:hAnsi="Verdana"/>
          <w:sz w:val="18"/>
          <w:szCs w:val="18"/>
          <w:lang w:val="en-GB"/>
        </w:rPr>
        <w:t xml:space="preserve"> </w:t>
      </w:r>
      <w:r w:rsidR="00C86717">
        <w:rPr>
          <w:rFonts w:ascii="Verdana" w:hAnsi="Verdana"/>
          <w:sz w:val="18"/>
          <w:szCs w:val="18"/>
          <w:lang w:val="en-GB"/>
        </w:rPr>
        <w:t xml:space="preserve">this is </w:t>
      </w:r>
      <w:r w:rsidRPr="001E50F2" w:rsidR="00C86717">
        <w:rPr>
          <w:rFonts w:ascii="Verdana" w:hAnsi="Verdana"/>
          <w:sz w:val="18"/>
          <w:szCs w:val="18"/>
          <w:lang w:val="en-GB"/>
        </w:rPr>
        <w:t xml:space="preserve">not yet ensured by legislation. </w:t>
      </w:r>
      <w:r w:rsidR="003644EF">
        <w:rPr>
          <w:rFonts w:ascii="Verdana" w:hAnsi="Verdana"/>
          <w:sz w:val="18"/>
          <w:szCs w:val="18"/>
          <w:lang w:val="en-GB"/>
        </w:rPr>
        <w:t>R</w:t>
      </w:r>
      <w:r w:rsidR="00C170AC">
        <w:rPr>
          <w:rFonts w:ascii="Verdana" w:hAnsi="Verdana"/>
          <w:sz w:val="18"/>
          <w:szCs w:val="18"/>
          <w:lang w:val="en-GB"/>
        </w:rPr>
        <w:t xml:space="preserve">efusals also stem from the improper application </w:t>
      </w:r>
      <w:r w:rsidR="00C86717">
        <w:rPr>
          <w:rFonts w:ascii="Verdana" w:hAnsi="Verdana"/>
          <w:sz w:val="18"/>
          <w:szCs w:val="18"/>
          <w:lang w:val="en-GB"/>
        </w:rPr>
        <w:t xml:space="preserve">by financial institutions </w:t>
      </w:r>
      <w:r w:rsidR="00C170AC">
        <w:rPr>
          <w:rFonts w:ascii="Verdana" w:hAnsi="Verdana"/>
          <w:sz w:val="18"/>
          <w:szCs w:val="18"/>
          <w:lang w:val="en-GB"/>
        </w:rPr>
        <w:t>of</w:t>
      </w:r>
      <w:r w:rsidRPr="0016270D" w:rsidR="00C170AC">
        <w:rPr>
          <w:rFonts w:ascii="Verdana" w:hAnsi="Verdana"/>
          <w:sz w:val="18"/>
          <w:szCs w:val="18"/>
          <w:lang w:val="en-GB"/>
        </w:rPr>
        <w:t xml:space="preserve"> the </w:t>
      </w:r>
      <w:proofErr w:type="gramStart"/>
      <w:r w:rsidRPr="0016270D" w:rsidR="00C170AC">
        <w:rPr>
          <w:rFonts w:ascii="Verdana" w:hAnsi="Verdana"/>
          <w:sz w:val="18"/>
          <w:szCs w:val="18"/>
          <w:lang w:val="en-GB"/>
        </w:rPr>
        <w:t>risk based</w:t>
      </w:r>
      <w:proofErr w:type="gramEnd"/>
      <w:r w:rsidRPr="0016270D" w:rsidR="00C170AC">
        <w:rPr>
          <w:rFonts w:ascii="Verdana" w:hAnsi="Verdana"/>
          <w:sz w:val="18"/>
          <w:szCs w:val="18"/>
          <w:lang w:val="en-GB"/>
        </w:rPr>
        <w:t xml:space="preserve"> approach </w:t>
      </w:r>
      <w:r w:rsidR="00C170AC">
        <w:rPr>
          <w:rFonts w:ascii="Verdana" w:hAnsi="Verdana"/>
          <w:sz w:val="18"/>
          <w:szCs w:val="18"/>
          <w:lang w:val="en-GB"/>
        </w:rPr>
        <w:t>required under</w:t>
      </w:r>
      <w:r w:rsidR="008F1DFC">
        <w:rPr>
          <w:rFonts w:ascii="Verdana" w:hAnsi="Verdana"/>
          <w:sz w:val="18"/>
          <w:szCs w:val="18"/>
          <w:lang w:val="en-GB"/>
        </w:rPr>
        <w:t xml:space="preserve"> the </w:t>
      </w:r>
      <w:r w:rsidR="001E50F2">
        <w:rPr>
          <w:rFonts w:ascii="Verdana" w:hAnsi="Verdana"/>
          <w:sz w:val="18"/>
          <w:szCs w:val="18"/>
          <w:lang w:val="en-GB"/>
        </w:rPr>
        <w:t xml:space="preserve">Anti Money Laundering </w:t>
      </w:r>
      <w:r w:rsidR="008F1DFC">
        <w:rPr>
          <w:rFonts w:ascii="Verdana" w:hAnsi="Verdana"/>
          <w:sz w:val="18"/>
          <w:szCs w:val="18"/>
          <w:lang w:val="en-GB"/>
        </w:rPr>
        <w:t xml:space="preserve">Directive </w:t>
      </w:r>
      <w:r w:rsidR="001E50F2">
        <w:rPr>
          <w:rFonts w:ascii="Verdana" w:hAnsi="Verdana"/>
          <w:sz w:val="18"/>
          <w:szCs w:val="18"/>
          <w:lang w:val="en-GB"/>
        </w:rPr>
        <w:t>(</w:t>
      </w:r>
      <w:r w:rsidRPr="0016270D" w:rsidR="00C170AC">
        <w:rPr>
          <w:rFonts w:ascii="Verdana" w:hAnsi="Verdana"/>
          <w:sz w:val="18"/>
          <w:szCs w:val="18"/>
          <w:lang w:val="en-GB"/>
        </w:rPr>
        <w:t>AM</w:t>
      </w:r>
      <w:r w:rsidR="008F1DFC">
        <w:rPr>
          <w:rFonts w:ascii="Verdana" w:hAnsi="Verdana"/>
          <w:sz w:val="18"/>
          <w:szCs w:val="18"/>
          <w:lang w:val="en-GB"/>
        </w:rPr>
        <w:t>D</w:t>
      </w:r>
      <w:r w:rsidR="001E50F2">
        <w:rPr>
          <w:rFonts w:ascii="Verdana" w:hAnsi="Verdana"/>
          <w:sz w:val="18"/>
          <w:szCs w:val="18"/>
          <w:lang w:val="en-GB"/>
        </w:rPr>
        <w:t>)</w:t>
      </w:r>
      <w:r w:rsidR="008F1DFC">
        <w:rPr>
          <w:rFonts w:ascii="Verdana" w:hAnsi="Verdana"/>
          <w:sz w:val="18"/>
          <w:szCs w:val="18"/>
          <w:lang w:val="en-GB"/>
        </w:rPr>
        <w:t xml:space="preserve"> and its national implementation.</w:t>
      </w:r>
      <w:r w:rsidRPr="0016270D" w:rsidR="00C86717">
        <w:rPr>
          <w:rFonts w:ascii="Verdana" w:hAnsi="Verdana"/>
          <w:sz w:val="18"/>
          <w:szCs w:val="18"/>
          <w:lang w:val="en-GB"/>
        </w:rPr>
        <w:t xml:space="preserve"> </w:t>
      </w:r>
      <w:r w:rsidR="008F1DFC">
        <w:rPr>
          <w:rFonts w:ascii="Verdana" w:hAnsi="Verdana"/>
          <w:sz w:val="18"/>
          <w:szCs w:val="18"/>
          <w:lang w:val="en-GB"/>
        </w:rPr>
        <w:t>B</w:t>
      </w:r>
      <w:r w:rsidR="00C86717">
        <w:rPr>
          <w:rFonts w:ascii="Verdana" w:hAnsi="Verdana"/>
          <w:sz w:val="18"/>
          <w:szCs w:val="18"/>
          <w:lang w:val="en-GB"/>
        </w:rPr>
        <w:t xml:space="preserve">usiness </w:t>
      </w:r>
      <w:r w:rsidRPr="0016270D" w:rsidR="00C86717">
        <w:rPr>
          <w:rFonts w:ascii="Verdana" w:hAnsi="Verdana"/>
          <w:sz w:val="18"/>
          <w:szCs w:val="18"/>
          <w:lang w:val="en-GB"/>
        </w:rPr>
        <w:t xml:space="preserve">customer </w:t>
      </w:r>
      <w:r w:rsidR="00C86717">
        <w:rPr>
          <w:rFonts w:ascii="Verdana" w:hAnsi="Verdana"/>
          <w:sz w:val="18"/>
          <w:szCs w:val="18"/>
          <w:lang w:val="en-GB"/>
        </w:rPr>
        <w:t>group</w:t>
      </w:r>
      <w:r w:rsidRPr="0016270D" w:rsidR="00C86717">
        <w:rPr>
          <w:rFonts w:ascii="Verdana" w:hAnsi="Verdana"/>
          <w:sz w:val="18"/>
          <w:szCs w:val="18"/>
          <w:lang w:val="en-GB"/>
        </w:rPr>
        <w:t xml:space="preserve"> </w:t>
      </w:r>
      <w:r w:rsidR="00C86717">
        <w:rPr>
          <w:rFonts w:ascii="Verdana" w:hAnsi="Verdana"/>
          <w:sz w:val="18"/>
          <w:szCs w:val="18"/>
          <w:lang w:val="en-GB"/>
        </w:rPr>
        <w:t xml:space="preserve">may be </w:t>
      </w:r>
      <w:r w:rsidR="003534D4">
        <w:rPr>
          <w:rFonts w:ascii="Verdana" w:hAnsi="Verdana"/>
          <w:sz w:val="18"/>
          <w:szCs w:val="18"/>
          <w:lang w:val="en-GB"/>
        </w:rPr>
        <w:t>classified</w:t>
      </w:r>
      <w:r w:rsidR="00C86717">
        <w:rPr>
          <w:rFonts w:ascii="Verdana" w:hAnsi="Verdana"/>
          <w:sz w:val="18"/>
          <w:szCs w:val="18"/>
          <w:lang w:val="en-GB"/>
        </w:rPr>
        <w:t xml:space="preserve"> as </w:t>
      </w:r>
      <w:r w:rsidRPr="0016270D" w:rsidR="00C86717">
        <w:rPr>
          <w:rFonts w:ascii="Verdana" w:hAnsi="Verdana"/>
          <w:sz w:val="18"/>
          <w:szCs w:val="18"/>
          <w:lang w:val="en-GB"/>
        </w:rPr>
        <w:t>high</w:t>
      </w:r>
      <w:r w:rsidR="00C86717">
        <w:rPr>
          <w:rFonts w:ascii="Verdana" w:hAnsi="Verdana"/>
          <w:sz w:val="18"/>
          <w:szCs w:val="18"/>
          <w:lang w:val="en-GB"/>
        </w:rPr>
        <w:t>er</w:t>
      </w:r>
      <w:r w:rsidRPr="0016270D" w:rsidR="00C86717">
        <w:rPr>
          <w:rFonts w:ascii="Verdana" w:hAnsi="Verdana"/>
          <w:sz w:val="18"/>
          <w:szCs w:val="18"/>
          <w:lang w:val="en-GB"/>
        </w:rPr>
        <w:t xml:space="preserve"> risk</w:t>
      </w:r>
      <w:r w:rsidR="008F1DFC">
        <w:rPr>
          <w:rFonts w:ascii="Verdana" w:hAnsi="Verdana"/>
          <w:sz w:val="18"/>
          <w:szCs w:val="18"/>
          <w:lang w:val="en-GB"/>
        </w:rPr>
        <w:t xml:space="preserve"> under AMLD</w:t>
      </w:r>
      <w:r w:rsidR="003534D4">
        <w:rPr>
          <w:rFonts w:ascii="Verdana" w:hAnsi="Verdana"/>
          <w:sz w:val="18"/>
          <w:szCs w:val="18"/>
          <w:lang w:val="en-GB"/>
        </w:rPr>
        <w:t>; however,</w:t>
      </w:r>
      <w:r w:rsidRPr="0016270D" w:rsidR="00C86717">
        <w:rPr>
          <w:rFonts w:ascii="Verdana" w:hAnsi="Verdana"/>
          <w:sz w:val="18"/>
          <w:szCs w:val="18"/>
          <w:lang w:val="en-GB"/>
        </w:rPr>
        <w:t xml:space="preserve"> </w:t>
      </w:r>
      <w:r w:rsidR="008F1DFC">
        <w:rPr>
          <w:rFonts w:ascii="Verdana" w:hAnsi="Verdana"/>
          <w:sz w:val="18"/>
          <w:szCs w:val="18"/>
          <w:lang w:val="en-GB"/>
        </w:rPr>
        <w:t>not every</w:t>
      </w:r>
      <w:r w:rsidRPr="0016270D" w:rsidR="008F1DFC">
        <w:rPr>
          <w:rFonts w:ascii="Verdana" w:hAnsi="Verdana"/>
          <w:sz w:val="18"/>
          <w:szCs w:val="18"/>
          <w:lang w:val="en-GB"/>
        </w:rPr>
        <w:t xml:space="preserve"> </w:t>
      </w:r>
      <w:r w:rsidRPr="0016270D" w:rsidR="00C86717">
        <w:rPr>
          <w:rFonts w:ascii="Verdana" w:hAnsi="Verdana"/>
          <w:sz w:val="18"/>
          <w:szCs w:val="18"/>
          <w:lang w:val="en-GB"/>
        </w:rPr>
        <w:t xml:space="preserve">individual </w:t>
      </w:r>
      <w:r w:rsidR="00C86717">
        <w:rPr>
          <w:rFonts w:ascii="Verdana" w:hAnsi="Verdana"/>
          <w:sz w:val="18"/>
          <w:szCs w:val="18"/>
          <w:lang w:val="en-GB"/>
        </w:rPr>
        <w:t>business customer</w:t>
      </w:r>
      <w:r w:rsidRPr="0016270D" w:rsidR="00C86717">
        <w:rPr>
          <w:rFonts w:ascii="Verdana" w:hAnsi="Verdana"/>
          <w:sz w:val="18"/>
          <w:szCs w:val="18"/>
          <w:lang w:val="en-GB"/>
        </w:rPr>
        <w:t xml:space="preserve"> </w:t>
      </w:r>
      <w:r w:rsidR="00C86717">
        <w:rPr>
          <w:rFonts w:ascii="Verdana" w:hAnsi="Verdana"/>
          <w:sz w:val="18"/>
          <w:szCs w:val="18"/>
          <w:lang w:val="en-GB"/>
        </w:rPr>
        <w:t>pose</w:t>
      </w:r>
      <w:r w:rsidR="008F1DFC">
        <w:rPr>
          <w:rFonts w:ascii="Verdana" w:hAnsi="Verdana"/>
          <w:sz w:val="18"/>
          <w:szCs w:val="18"/>
          <w:lang w:val="en-GB"/>
        </w:rPr>
        <w:t>s</w:t>
      </w:r>
      <w:r w:rsidR="00C86717">
        <w:rPr>
          <w:rFonts w:ascii="Verdana" w:hAnsi="Verdana"/>
          <w:sz w:val="18"/>
          <w:szCs w:val="18"/>
          <w:lang w:val="en-GB"/>
        </w:rPr>
        <w:t xml:space="preserve"> a ML/TF risk</w:t>
      </w:r>
      <w:r w:rsidR="003534D4">
        <w:rPr>
          <w:rFonts w:ascii="Verdana" w:hAnsi="Verdana"/>
          <w:sz w:val="18"/>
          <w:szCs w:val="18"/>
          <w:lang w:val="en-GB"/>
        </w:rPr>
        <w:t>. Despite this, some customers are</w:t>
      </w:r>
      <w:r w:rsidR="008F1DFC">
        <w:rPr>
          <w:rFonts w:ascii="Verdana" w:hAnsi="Verdana"/>
          <w:sz w:val="18"/>
          <w:szCs w:val="18"/>
          <w:lang w:val="en-GB"/>
        </w:rPr>
        <w:t xml:space="preserve"> </w:t>
      </w:r>
      <w:r w:rsidR="00C86717">
        <w:rPr>
          <w:rFonts w:ascii="Verdana" w:hAnsi="Verdana"/>
          <w:sz w:val="18"/>
          <w:szCs w:val="18"/>
          <w:lang w:val="en-GB"/>
        </w:rPr>
        <w:t xml:space="preserve">still declined solely </w:t>
      </w:r>
      <w:r w:rsidR="003534D4">
        <w:rPr>
          <w:rFonts w:ascii="Verdana" w:hAnsi="Verdana"/>
          <w:sz w:val="18"/>
          <w:szCs w:val="18"/>
          <w:lang w:val="en-GB"/>
        </w:rPr>
        <w:t>due to</w:t>
      </w:r>
      <w:r w:rsidR="00C86717">
        <w:rPr>
          <w:rFonts w:ascii="Verdana" w:hAnsi="Verdana"/>
          <w:sz w:val="18"/>
          <w:szCs w:val="18"/>
          <w:lang w:val="en-GB"/>
        </w:rPr>
        <w:t xml:space="preserve"> the group’s classification</w:t>
      </w:r>
      <w:r w:rsidR="008F1DFC">
        <w:rPr>
          <w:rFonts w:ascii="Verdana" w:hAnsi="Verdana"/>
          <w:sz w:val="18"/>
          <w:szCs w:val="18"/>
          <w:lang w:val="en-GB"/>
        </w:rPr>
        <w:t xml:space="preserve"> (i.e. </w:t>
      </w:r>
      <w:r w:rsidRPr="001E50F2" w:rsidR="008F1DFC">
        <w:rPr>
          <w:rFonts w:ascii="Verdana" w:hAnsi="Verdana"/>
          <w:sz w:val="18"/>
          <w:szCs w:val="18"/>
          <w:lang w:val="en-GB"/>
        </w:rPr>
        <w:t>certain groups of business customers are unable to access financial services based on a generalised group-based risk approach</w:t>
      </w:r>
      <w:r w:rsidR="00207BAB">
        <w:rPr>
          <w:rFonts w:ascii="Verdana" w:hAnsi="Verdana"/>
          <w:sz w:val="18"/>
          <w:szCs w:val="18"/>
          <w:lang w:val="en-GB"/>
        </w:rPr>
        <w:t>)</w:t>
      </w:r>
      <w:r w:rsidR="00C86717">
        <w:rPr>
          <w:rFonts w:ascii="Verdana" w:hAnsi="Verdana"/>
          <w:sz w:val="18"/>
          <w:szCs w:val="18"/>
          <w:lang w:val="en-GB"/>
        </w:rPr>
        <w:t>.</w:t>
      </w:r>
      <w:r w:rsidR="00207BAB">
        <w:rPr>
          <w:rFonts w:ascii="Verdana" w:hAnsi="Verdana"/>
          <w:sz w:val="18"/>
          <w:szCs w:val="18"/>
          <w:lang w:val="en-GB"/>
        </w:rPr>
        <w:t xml:space="preserve"> </w:t>
      </w:r>
      <w:r w:rsidR="003534D4">
        <w:rPr>
          <w:rFonts w:ascii="Verdana" w:hAnsi="Verdana"/>
          <w:sz w:val="18"/>
          <w:szCs w:val="18"/>
          <w:lang w:val="en-GB"/>
        </w:rPr>
        <w:t>Research by the Dutch National Bank</w:t>
      </w:r>
      <w:r w:rsidR="00207BAB">
        <w:rPr>
          <w:rFonts w:ascii="Verdana" w:hAnsi="Verdana"/>
          <w:sz w:val="18"/>
          <w:szCs w:val="18"/>
          <w:lang w:val="en-GB"/>
        </w:rPr>
        <w:t xml:space="preserve"> </w:t>
      </w:r>
      <w:r w:rsidR="003534D4">
        <w:rPr>
          <w:rFonts w:ascii="Verdana" w:hAnsi="Verdana"/>
          <w:sz w:val="18"/>
          <w:szCs w:val="18"/>
          <w:lang w:val="en-GB"/>
        </w:rPr>
        <w:t>(</w:t>
      </w:r>
      <w:r w:rsidR="00207BAB">
        <w:rPr>
          <w:rFonts w:ascii="Verdana" w:hAnsi="Verdana"/>
          <w:sz w:val="18"/>
          <w:szCs w:val="18"/>
          <w:lang w:val="en-GB"/>
        </w:rPr>
        <w:t>DNB</w:t>
      </w:r>
      <w:r w:rsidR="003534D4">
        <w:rPr>
          <w:rFonts w:ascii="Verdana" w:hAnsi="Verdana"/>
          <w:sz w:val="18"/>
          <w:szCs w:val="18"/>
          <w:lang w:val="en-GB"/>
        </w:rPr>
        <w:t>)</w:t>
      </w:r>
      <w:r w:rsidR="00207BAB">
        <w:rPr>
          <w:rFonts w:ascii="Verdana" w:hAnsi="Verdana"/>
          <w:sz w:val="18"/>
          <w:szCs w:val="18"/>
          <w:lang w:val="en-GB"/>
        </w:rPr>
        <w:t xml:space="preserve"> </w:t>
      </w:r>
      <w:r w:rsidR="00742CCF">
        <w:rPr>
          <w:rFonts w:ascii="Verdana" w:hAnsi="Verdana"/>
          <w:sz w:val="18"/>
          <w:szCs w:val="18"/>
          <w:lang w:val="en-GB"/>
        </w:rPr>
        <w:t>indicated</w:t>
      </w:r>
      <w:r w:rsidR="00207BAB">
        <w:rPr>
          <w:rFonts w:ascii="Verdana" w:hAnsi="Verdana"/>
          <w:sz w:val="18"/>
          <w:szCs w:val="18"/>
          <w:lang w:val="en-GB"/>
        </w:rPr>
        <w:t xml:space="preserve"> that </w:t>
      </w:r>
      <w:r w:rsidR="007A2966">
        <w:rPr>
          <w:rFonts w:ascii="Verdana" w:hAnsi="Verdana"/>
          <w:sz w:val="18"/>
          <w:szCs w:val="18"/>
          <w:lang w:val="en-GB"/>
        </w:rPr>
        <w:t xml:space="preserve">Dutch </w:t>
      </w:r>
      <w:r w:rsidR="00207BAB">
        <w:rPr>
          <w:rFonts w:ascii="Verdana" w:hAnsi="Verdana"/>
          <w:sz w:val="18"/>
          <w:szCs w:val="18"/>
          <w:lang w:val="en-GB"/>
        </w:rPr>
        <w:t>financial institutions, i.e. banks</w:t>
      </w:r>
      <w:r w:rsidR="003534D4">
        <w:rPr>
          <w:rFonts w:ascii="Verdana" w:hAnsi="Verdana"/>
          <w:sz w:val="18"/>
          <w:szCs w:val="18"/>
          <w:lang w:val="en-GB"/>
        </w:rPr>
        <w:t>,</w:t>
      </w:r>
      <w:r w:rsidR="00207BAB">
        <w:rPr>
          <w:rFonts w:ascii="Verdana" w:hAnsi="Verdana"/>
          <w:sz w:val="18"/>
          <w:szCs w:val="18"/>
          <w:lang w:val="en-GB"/>
        </w:rPr>
        <w:t xml:space="preserve"> do not apply a proper risk-based approach, </w:t>
      </w:r>
      <w:r w:rsidR="00742CCF">
        <w:rPr>
          <w:rFonts w:ascii="Verdana" w:hAnsi="Verdana"/>
          <w:sz w:val="18"/>
          <w:szCs w:val="18"/>
          <w:lang w:val="en-GB"/>
        </w:rPr>
        <w:t xml:space="preserve">as a result, terminated </w:t>
      </w:r>
      <w:r w:rsidR="00207BAB">
        <w:rPr>
          <w:rFonts w:ascii="Verdana" w:hAnsi="Verdana"/>
          <w:sz w:val="18"/>
          <w:szCs w:val="18"/>
          <w:lang w:val="en-GB"/>
        </w:rPr>
        <w:t>relationships with 3600 business customers (including financial institutions) for “</w:t>
      </w:r>
      <w:proofErr w:type="spellStart"/>
      <w:r w:rsidR="00207BAB">
        <w:rPr>
          <w:rFonts w:ascii="Verdana" w:hAnsi="Verdana"/>
          <w:sz w:val="18"/>
          <w:szCs w:val="18"/>
          <w:lang w:val="en-GB"/>
        </w:rPr>
        <w:t>Wwft</w:t>
      </w:r>
      <w:proofErr w:type="spellEnd"/>
      <w:r w:rsidR="00207BAB">
        <w:rPr>
          <w:rFonts w:ascii="Verdana" w:hAnsi="Verdana"/>
          <w:sz w:val="18"/>
          <w:szCs w:val="18"/>
          <w:lang w:val="en-GB"/>
        </w:rPr>
        <w:t xml:space="preserve"> reasons” in 2021. </w:t>
      </w:r>
      <w:r w:rsidRPr="00D25C95" w:rsidR="00207BAB">
        <w:rPr>
          <w:rFonts w:ascii="Verdana" w:hAnsi="Verdana"/>
          <w:sz w:val="18"/>
          <w:szCs w:val="18"/>
          <w:lang w:val="en-GB"/>
        </w:rPr>
        <w:t xml:space="preserve">The DNB </w:t>
      </w:r>
      <w:r w:rsidR="003534D4">
        <w:rPr>
          <w:rFonts w:ascii="Verdana" w:hAnsi="Verdana"/>
          <w:sz w:val="18"/>
          <w:szCs w:val="18"/>
          <w:lang w:val="en-GB"/>
        </w:rPr>
        <w:t>report indicates</w:t>
      </w:r>
      <w:r w:rsidRPr="00D25C95" w:rsidR="00207BAB">
        <w:rPr>
          <w:rFonts w:ascii="Verdana" w:hAnsi="Verdana"/>
          <w:sz w:val="18"/>
          <w:szCs w:val="18"/>
          <w:lang w:val="en-GB"/>
        </w:rPr>
        <w:t xml:space="preserve"> that </w:t>
      </w:r>
      <w:r w:rsidR="003534D4">
        <w:rPr>
          <w:rFonts w:ascii="Verdana" w:hAnsi="Verdana"/>
          <w:sz w:val="18"/>
          <w:szCs w:val="18"/>
          <w:lang w:val="en-GB"/>
        </w:rPr>
        <w:t>approximately</w:t>
      </w:r>
      <w:r w:rsidRPr="00D25C95" w:rsidR="00207BAB">
        <w:rPr>
          <w:rFonts w:ascii="Verdana" w:hAnsi="Verdana"/>
          <w:sz w:val="18"/>
          <w:szCs w:val="18"/>
          <w:lang w:val="en-GB"/>
        </w:rPr>
        <w:t xml:space="preserve"> 80% of business customer</w:t>
      </w:r>
      <w:r w:rsidR="003534D4">
        <w:rPr>
          <w:rFonts w:ascii="Verdana" w:hAnsi="Verdana"/>
          <w:sz w:val="18"/>
          <w:szCs w:val="18"/>
          <w:lang w:val="en-GB"/>
        </w:rPr>
        <w:t xml:space="preserve"> </w:t>
      </w:r>
      <w:r w:rsidRPr="00D25C95" w:rsidR="00207BAB">
        <w:rPr>
          <w:rFonts w:ascii="Verdana" w:hAnsi="Verdana"/>
          <w:sz w:val="18"/>
          <w:szCs w:val="18"/>
          <w:lang w:val="en-GB"/>
        </w:rPr>
        <w:t>relationships</w:t>
      </w:r>
      <w:r w:rsidR="003534D4">
        <w:rPr>
          <w:rFonts w:ascii="Verdana" w:hAnsi="Verdana"/>
          <w:sz w:val="18"/>
          <w:szCs w:val="18"/>
          <w:lang w:val="en-GB"/>
        </w:rPr>
        <w:t xml:space="preserve"> terminated</w:t>
      </w:r>
      <w:r w:rsidRPr="00D25C95" w:rsidR="00207BAB">
        <w:rPr>
          <w:rFonts w:ascii="Verdana" w:hAnsi="Verdana"/>
          <w:sz w:val="18"/>
          <w:szCs w:val="18"/>
          <w:lang w:val="en-GB"/>
        </w:rPr>
        <w:t xml:space="preserve"> with the bank in 2021 for </w:t>
      </w:r>
      <w:proofErr w:type="spellStart"/>
      <w:r w:rsidRPr="00D25C95" w:rsidR="00207BAB">
        <w:rPr>
          <w:rFonts w:ascii="Verdana" w:hAnsi="Verdana"/>
          <w:sz w:val="18"/>
          <w:szCs w:val="18"/>
          <w:lang w:val="en-GB"/>
        </w:rPr>
        <w:t>Wwft</w:t>
      </w:r>
      <w:proofErr w:type="spellEnd"/>
      <w:r w:rsidRPr="00D25C95" w:rsidR="00207BAB">
        <w:rPr>
          <w:rFonts w:ascii="Verdana" w:hAnsi="Verdana"/>
          <w:sz w:val="18"/>
          <w:szCs w:val="18"/>
          <w:lang w:val="en-GB"/>
        </w:rPr>
        <w:t xml:space="preserve"> reasons were assessed as low to moderate </w:t>
      </w:r>
      <w:r w:rsidR="00207BAB">
        <w:rPr>
          <w:rFonts w:ascii="Verdana" w:hAnsi="Verdana"/>
          <w:sz w:val="18"/>
          <w:szCs w:val="18"/>
          <w:lang w:val="en-GB"/>
        </w:rPr>
        <w:t>M</w:t>
      </w:r>
      <w:r w:rsidRPr="00D25C95" w:rsidR="00207BAB">
        <w:rPr>
          <w:rFonts w:ascii="Verdana" w:hAnsi="Verdana"/>
          <w:sz w:val="18"/>
          <w:szCs w:val="18"/>
          <w:lang w:val="en-GB"/>
        </w:rPr>
        <w:t>L/TF risk</w:t>
      </w:r>
      <w:r w:rsidR="00207BAB">
        <w:rPr>
          <w:rFonts w:ascii="Verdana" w:hAnsi="Verdana"/>
          <w:sz w:val="18"/>
          <w:szCs w:val="18"/>
          <w:lang w:val="en-GB"/>
        </w:rPr>
        <w:t>, signifying inaccuracy in AML-regulation application.</w:t>
      </w:r>
      <w:r w:rsidR="003534D4">
        <w:rPr>
          <w:rFonts w:ascii="Verdana" w:hAnsi="Verdana"/>
          <w:sz w:val="18"/>
          <w:szCs w:val="18"/>
          <w:lang w:val="en-GB"/>
        </w:rPr>
        <w:t xml:space="preserve"> </w:t>
      </w:r>
      <w:r w:rsidRPr="00476F5F" w:rsidR="00476F5F">
        <w:rPr>
          <w:rFonts w:ascii="Verdana" w:hAnsi="Verdana"/>
          <w:sz w:val="18"/>
          <w:szCs w:val="18"/>
          <w:lang w:val="en-GB"/>
        </w:rPr>
        <w:t>AML</w:t>
      </w:r>
      <w:r w:rsidR="008F1DFC">
        <w:rPr>
          <w:rFonts w:ascii="Verdana" w:hAnsi="Verdana"/>
          <w:sz w:val="18"/>
          <w:szCs w:val="18"/>
          <w:lang w:val="en-GB"/>
        </w:rPr>
        <w:t>D</w:t>
      </w:r>
      <w:r w:rsidRPr="00476F5F" w:rsidR="00476F5F">
        <w:rPr>
          <w:rFonts w:ascii="Verdana" w:hAnsi="Verdana"/>
          <w:sz w:val="18"/>
          <w:szCs w:val="18"/>
          <w:lang w:val="en-GB"/>
        </w:rPr>
        <w:t xml:space="preserve"> is </w:t>
      </w:r>
      <w:r w:rsidR="003534D4">
        <w:rPr>
          <w:rFonts w:ascii="Verdana" w:hAnsi="Verdana"/>
          <w:sz w:val="18"/>
          <w:szCs w:val="18"/>
          <w:lang w:val="en-GB"/>
        </w:rPr>
        <w:t xml:space="preserve">often </w:t>
      </w:r>
      <w:r w:rsidRPr="00476F5F" w:rsidR="00476F5F">
        <w:rPr>
          <w:rFonts w:ascii="Verdana" w:hAnsi="Verdana"/>
          <w:sz w:val="18"/>
          <w:szCs w:val="18"/>
          <w:lang w:val="en-GB"/>
        </w:rPr>
        <w:t xml:space="preserve">used as a justification to refuse </w:t>
      </w:r>
      <w:r w:rsidR="008F1DFC">
        <w:rPr>
          <w:rFonts w:ascii="Verdana" w:hAnsi="Verdana"/>
          <w:sz w:val="18"/>
          <w:szCs w:val="18"/>
          <w:lang w:val="en-GB"/>
        </w:rPr>
        <w:t xml:space="preserve">business </w:t>
      </w:r>
      <w:r w:rsidRPr="00476F5F" w:rsidR="00476F5F">
        <w:rPr>
          <w:rFonts w:ascii="Verdana" w:hAnsi="Verdana"/>
          <w:sz w:val="18"/>
          <w:szCs w:val="18"/>
          <w:lang w:val="en-GB"/>
        </w:rPr>
        <w:t>customers (18%</w:t>
      </w:r>
      <w:r w:rsidR="008F1DFC">
        <w:rPr>
          <w:rFonts w:ascii="Verdana" w:hAnsi="Verdana"/>
          <w:sz w:val="18"/>
          <w:szCs w:val="18"/>
          <w:lang w:val="en-GB"/>
        </w:rPr>
        <w:t xml:space="preserve"> in the Netherlands</w:t>
      </w:r>
      <w:r w:rsidRPr="00476F5F" w:rsidR="00476F5F">
        <w:rPr>
          <w:rFonts w:ascii="Verdana" w:hAnsi="Verdana"/>
          <w:sz w:val="18"/>
          <w:szCs w:val="18"/>
          <w:lang w:val="en-GB"/>
        </w:rPr>
        <w:t xml:space="preserve">) when the due diligence process is considered too burdensome </w:t>
      </w:r>
      <w:r w:rsidR="008F1DFC">
        <w:rPr>
          <w:rFonts w:ascii="Verdana" w:hAnsi="Verdana"/>
          <w:sz w:val="18"/>
          <w:szCs w:val="18"/>
          <w:lang w:val="en-GB"/>
        </w:rPr>
        <w:t xml:space="preserve">or cost-intensive </w:t>
      </w:r>
      <w:r w:rsidRPr="00476F5F" w:rsidR="00476F5F">
        <w:rPr>
          <w:rFonts w:ascii="Verdana" w:hAnsi="Verdana"/>
          <w:sz w:val="18"/>
          <w:szCs w:val="18"/>
          <w:lang w:val="en-GB"/>
        </w:rPr>
        <w:t xml:space="preserve">for financial institutions. </w:t>
      </w:r>
      <w:r w:rsidR="003534D4">
        <w:rPr>
          <w:rFonts w:ascii="Verdana" w:hAnsi="Verdana"/>
          <w:sz w:val="18"/>
          <w:szCs w:val="18"/>
          <w:lang w:val="en-GB"/>
        </w:rPr>
        <w:t>Thus</w:t>
      </w:r>
      <w:r w:rsidRPr="00476F5F" w:rsidR="00476F5F">
        <w:rPr>
          <w:rFonts w:ascii="Verdana" w:hAnsi="Verdana"/>
          <w:sz w:val="18"/>
          <w:szCs w:val="18"/>
          <w:lang w:val="en-GB"/>
        </w:rPr>
        <w:t xml:space="preserve">, the remaining 82% of refusals are </w:t>
      </w:r>
      <w:r w:rsidR="003534D4">
        <w:rPr>
          <w:rFonts w:ascii="Verdana" w:hAnsi="Verdana"/>
          <w:sz w:val="18"/>
          <w:szCs w:val="18"/>
          <w:lang w:val="en-GB"/>
        </w:rPr>
        <w:t>unrelated</w:t>
      </w:r>
      <w:r w:rsidRPr="00476F5F" w:rsidR="00476F5F">
        <w:rPr>
          <w:rFonts w:ascii="Verdana" w:hAnsi="Verdana"/>
          <w:sz w:val="18"/>
          <w:szCs w:val="18"/>
          <w:lang w:val="en-GB"/>
        </w:rPr>
        <w:t xml:space="preserve"> to AML regulations.</w:t>
      </w:r>
      <w:bookmarkEnd w:id="3"/>
      <w:r w:rsidR="00476F5F">
        <w:rPr>
          <w:rFonts w:ascii="Verdana" w:hAnsi="Verdana"/>
          <w:sz w:val="18"/>
          <w:szCs w:val="18"/>
          <w:lang w:val="en-GB"/>
        </w:rPr>
        <w:t xml:space="preserve"> </w:t>
      </w:r>
    </w:p>
    <w:p w:rsidRPr="0016270D" w:rsidR="009C7659" w:rsidP="0016270D" w:rsidRDefault="00742CCF" w14:paraId="2A2B729B" w14:textId="1EA1733C">
      <w:pPr>
        <w:rPr>
          <w:rFonts w:ascii="Verdana" w:hAnsi="Verdana"/>
          <w:sz w:val="18"/>
          <w:szCs w:val="18"/>
          <w:lang w:val="en-GB"/>
        </w:rPr>
      </w:pPr>
      <w:r>
        <w:rPr>
          <w:rFonts w:ascii="Verdana" w:hAnsi="Verdana"/>
          <w:b/>
          <w:bCs/>
          <w:sz w:val="18"/>
          <w:szCs w:val="18"/>
          <w:lang w:val="en-GB"/>
        </w:rPr>
        <w:t>A</w:t>
      </w:r>
      <w:r w:rsidRPr="001E50F2" w:rsidR="009C7659">
        <w:rPr>
          <w:rFonts w:ascii="Verdana" w:hAnsi="Verdana"/>
          <w:b/>
          <w:bCs/>
          <w:sz w:val="18"/>
          <w:szCs w:val="18"/>
          <w:lang w:val="en-GB"/>
        </w:rPr>
        <w:t xml:space="preserve"> lack of information </w:t>
      </w:r>
      <w:r>
        <w:rPr>
          <w:rFonts w:ascii="Verdana" w:hAnsi="Verdana"/>
          <w:b/>
          <w:bCs/>
          <w:sz w:val="18"/>
          <w:szCs w:val="18"/>
          <w:lang w:val="en-GB"/>
        </w:rPr>
        <w:t>exists making it</w:t>
      </w:r>
      <w:r w:rsidRPr="001E50F2" w:rsidR="009C7659">
        <w:rPr>
          <w:rFonts w:ascii="Verdana" w:hAnsi="Verdana"/>
          <w:b/>
          <w:bCs/>
          <w:sz w:val="18"/>
          <w:szCs w:val="18"/>
          <w:lang w:val="en-GB"/>
        </w:rPr>
        <w:t xml:space="preserve"> </w:t>
      </w:r>
      <w:r>
        <w:rPr>
          <w:rFonts w:ascii="Verdana" w:hAnsi="Verdana"/>
          <w:b/>
          <w:bCs/>
          <w:sz w:val="18"/>
          <w:szCs w:val="18"/>
          <w:lang w:val="en-GB"/>
        </w:rPr>
        <w:t>difficult</w:t>
      </w:r>
      <w:r w:rsidRPr="001E50F2" w:rsidR="00B30E2C">
        <w:rPr>
          <w:rFonts w:ascii="Verdana" w:hAnsi="Verdana"/>
          <w:b/>
          <w:bCs/>
          <w:sz w:val="18"/>
          <w:szCs w:val="18"/>
          <w:lang w:val="en-GB"/>
        </w:rPr>
        <w:t xml:space="preserve"> </w:t>
      </w:r>
      <w:r>
        <w:rPr>
          <w:rFonts w:ascii="Verdana" w:hAnsi="Verdana"/>
          <w:b/>
          <w:bCs/>
          <w:sz w:val="18"/>
          <w:szCs w:val="18"/>
          <w:lang w:val="en-GB"/>
        </w:rPr>
        <w:t>to determine</w:t>
      </w:r>
      <w:r w:rsidRPr="001E50F2" w:rsidR="009C7659">
        <w:rPr>
          <w:rFonts w:ascii="Verdana" w:hAnsi="Verdana"/>
          <w:b/>
          <w:bCs/>
          <w:sz w:val="18"/>
          <w:szCs w:val="18"/>
          <w:lang w:val="en-GB"/>
        </w:rPr>
        <w:t xml:space="preserve"> the scale of the issue</w:t>
      </w:r>
      <w:r w:rsidRPr="001E50F2" w:rsidR="009C7659">
        <w:rPr>
          <w:rFonts w:ascii="Verdana" w:hAnsi="Verdana"/>
          <w:sz w:val="18"/>
          <w:szCs w:val="18"/>
          <w:lang w:val="en-GB"/>
        </w:rPr>
        <w:t>. It is</w:t>
      </w:r>
      <w:r w:rsidRPr="0016270D" w:rsidR="009C7659">
        <w:rPr>
          <w:rFonts w:ascii="Verdana" w:hAnsi="Verdana"/>
          <w:sz w:val="18"/>
          <w:szCs w:val="18"/>
          <w:lang w:val="en-GB"/>
        </w:rPr>
        <w:t xml:space="preserve"> important to facilitate business customers to participate in economic traffic, whilst at the same time </w:t>
      </w:r>
      <w:r w:rsidRPr="0016270D" w:rsidR="0067442F">
        <w:rPr>
          <w:rFonts w:ascii="Verdana" w:hAnsi="Verdana"/>
          <w:sz w:val="18"/>
          <w:szCs w:val="18"/>
          <w:lang w:val="en-GB"/>
        </w:rPr>
        <w:t>ensuring that institutions do not experience disproportionate regulatory pressure. Because access to financial services</w:t>
      </w:r>
      <w:r w:rsidR="00312661">
        <w:rPr>
          <w:rFonts w:ascii="Verdana" w:hAnsi="Verdana"/>
          <w:sz w:val="18"/>
          <w:szCs w:val="18"/>
          <w:lang w:val="en-GB"/>
        </w:rPr>
        <w:t xml:space="preserve"> for business customers</w:t>
      </w:r>
      <w:r w:rsidRPr="0016270D" w:rsidR="0067442F">
        <w:rPr>
          <w:rFonts w:ascii="Verdana" w:hAnsi="Verdana"/>
          <w:sz w:val="18"/>
          <w:szCs w:val="18"/>
          <w:lang w:val="en-GB"/>
        </w:rPr>
        <w:t xml:space="preserve"> is mostly unregulated in the EU, it </w:t>
      </w:r>
      <w:r w:rsidR="00D9124A">
        <w:rPr>
          <w:rFonts w:ascii="Verdana" w:hAnsi="Verdana"/>
          <w:sz w:val="18"/>
          <w:szCs w:val="18"/>
          <w:lang w:val="en-GB"/>
        </w:rPr>
        <w:t>remains</w:t>
      </w:r>
      <w:r w:rsidRPr="0016270D" w:rsidR="00D9124A">
        <w:rPr>
          <w:rFonts w:ascii="Verdana" w:hAnsi="Verdana"/>
          <w:sz w:val="18"/>
          <w:szCs w:val="18"/>
          <w:lang w:val="en-GB"/>
        </w:rPr>
        <w:t xml:space="preserve"> </w:t>
      </w:r>
      <w:r w:rsidRPr="0016270D" w:rsidR="0067442F">
        <w:rPr>
          <w:rFonts w:ascii="Verdana" w:hAnsi="Verdana"/>
          <w:sz w:val="18"/>
          <w:szCs w:val="18"/>
          <w:lang w:val="en-GB"/>
        </w:rPr>
        <w:t>difficult to obtain more figures of rejections and their substantiation. We receive</w:t>
      </w:r>
      <w:r w:rsidR="001E50F2">
        <w:rPr>
          <w:rFonts w:ascii="Verdana" w:hAnsi="Verdana"/>
          <w:sz w:val="18"/>
          <w:szCs w:val="18"/>
          <w:lang w:val="en-GB"/>
        </w:rPr>
        <w:t>d</w:t>
      </w:r>
      <w:r w:rsidRPr="0016270D" w:rsidR="0067442F">
        <w:rPr>
          <w:rFonts w:ascii="Verdana" w:hAnsi="Verdana"/>
          <w:sz w:val="18"/>
          <w:szCs w:val="18"/>
          <w:lang w:val="en-GB"/>
        </w:rPr>
        <w:t xml:space="preserve"> signals that financial institutions do not </w:t>
      </w:r>
      <w:r w:rsidR="00312661">
        <w:rPr>
          <w:rFonts w:ascii="Verdana" w:hAnsi="Verdana"/>
          <w:sz w:val="18"/>
          <w:szCs w:val="18"/>
          <w:lang w:val="en-GB"/>
        </w:rPr>
        <w:t xml:space="preserve">fully </w:t>
      </w:r>
      <w:r w:rsidRPr="0016270D" w:rsidR="0067442F">
        <w:rPr>
          <w:rFonts w:ascii="Verdana" w:hAnsi="Verdana"/>
          <w:sz w:val="18"/>
          <w:szCs w:val="18"/>
          <w:lang w:val="en-GB"/>
        </w:rPr>
        <w:t xml:space="preserve">disclose the </w:t>
      </w:r>
      <w:r w:rsidR="00312661">
        <w:rPr>
          <w:rFonts w:ascii="Verdana" w:hAnsi="Verdana"/>
          <w:sz w:val="18"/>
          <w:szCs w:val="18"/>
          <w:lang w:val="en-GB"/>
        </w:rPr>
        <w:t xml:space="preserve">details on the </w:t>
      </w:r>
      <w:r w:rsidRPr="0016270D" w:rsidR="0067442F">
        <w:rPr>
          <w:rFonts w:ascii="Verdana" w:hAnsi="Verdana"/>
          <w:sz w:val="18"/>
          <w:szCs w:val="18"/>
          <w:lang w:val="en-GB"/>
        </w:rPr>
        <w:t>reason</w:t>
      </w:r>
      <w:r w:rsidR="00D9124A">
        <w:rPr>
          <w:rFonts w:ascii="Verdana" w:hAnsi="Verdana"/>
          <w:sz w:val="18"/>
          <w:szCs w:val="18"/>
          <w:lang w:val="en-GB"/>
        </w:rPr>
        <w:t>(s)</w:t>
      </w:r>
      <w:r w:rsidRPr="0016270D" w:rsidR="0067442F">
        <w:rPr>
          <w:rFonts w:ascii="Verdana" w:hAnsi="Verdana"/>
          <w:sz w:val="18"/>
          <w:szCs w:val="18"/>
          <w:lang w:val="en-GB"/>
        </w:rPr>
        <w:t xml:space="preserve"> of refusal to the </w:t>
      </w:r>
      <w:r w:rsidR="00D9124A">
        <w:rPr>
          <w:rFonts w:ascii="Verdana" w:hAnsi="Verdana"/>
          <w:sz w:val="18"/>
          <w:szCs w:val="18"/>
          <w:lang w:val="en-GB"/>
        </w:rPr>
        <w:t>business customer</w:t>
      </w:r>
      <w:r w:rsidRPr="0016270D" w:rsidR="0067442F">
        <w:rPr>
          <w:rFonts w:ascii="Verdana" w:hAnsi="Verdana"/>
          <w:sz w:val="18"/>
          <w:szCs w:val="18"/>
          <w:lang w:val="en-GB"/>
        </w:rPr>
        <w:t xml:space="preserve">. </w:t>
      </w:r>
      <w:r w:rsidR="00D9124A">
        <w:rPr>
          <w:rFonts w:ascii="Verdana" w:hAnsi="Verdana"/>
          <w:sz w:val="18"/>
          <w:szCs w:val="18"/>
          <w:lang w:val="en-GB"/>
        </w:rPr>
        <w:t>In addition</w:t>
      </w:r>
      <w:r w:rsidRPr="0016270D" w:rsidR="0067442F">
        <w:rPr>
          <w:rFonts w:ascii="Verdana" w:hAnsi="Verdana"/>
          <w:sz w:val="18"/>
          <w:szCs w:val="18"/>
          <w:lang w:val="en-GB"/>
        </w:rPr>
        <w:t xml:space="preserve">, </w:t>
      </w:r>
      <w:r w:rsidR="00D9124A">
        <w:rPr>
          <w:rFonts w:ascii="Verdana" w:hAnsi="Verdana"/>
          <w:sz w:val="18"/>
          <w:szCs w:val="18"/>
          <w:lang w:val="en-GB"/>
        </w:rPr>
        <w:t>opening a payment account can take</w:t>
      </w:r>
      <w:r w:rsidRPr="0016270D" w:rsidR="00D9124A">
        <w:rPr>
          <w:rFonts w:ascii="Verdana" w:hAnsi="Verdana"/>
          <w:sz w:val="18"/>
          <w:szCs w:val="18"/>
          <w:lang w:val="en-GB"/>
        </w:rPr>
        <w:t xml:space="preserve"> </w:t>
      </w:r>
      <w:r w:rsidRPr="0016270D" w:rsidR="0067442F">
        <w:rPr>
          <w:rFonts w:ascii="Verdana" w:hAnsi="Verdana"/>
          <w:sz w:val="18"/>
          <w:szCs w:val="18"/>
          <w:lang w:val="en-GB"/>
        </w:rPr>
        <w:t xml:space="preserve">months </w:t>
      </w:r>
      <w:r w:rsidR="00D9124A">
        <w:rPr>
          <w:rFonts w:ascii="Verdana" w:hAnsi="Verdana"/>
          <w:sz w:val="18"/>
          <w:szCs w:val="18"/>
          <w:lang w:val="en-GB"/>
        </w:rPr>
        <w:t>due to the absence of a defined</w:t>
      </w:r>
      <w:r w:rsidRPr="0016270D" w:rsidR="0067442F">
        <w:rPr>
          <w:rFonts w:ascii="Verdana" w:hAnsi="Verdana"/>
          <w:sz w:val="18"/>
          <w:szCs w:val="18"/>
          <w:lang w:val="en-GB"/>
        </w:rPr>
        <w:t xml:space="preserve"> maximum processing time for opening </w:t>
      </w:r>
      <w:proofErr w:type="gramStart"/>
      <w:r w:rsidRPr="0016270D" w:rsidR="0067442F">
        <w:rPr>
          <w:rFonts w:ascii="Verdana" w:hAnsi="Verdana"/>
          <w:sz w:val="18"/>
          <w:szCs w:val="18"/>
          <w:lang w:val="en-GB"/>
        </w:rPr>
        <w:t>an</w:t>
      </w:r>
      <w:proofErr w:type="gramEnd"/>
      <w:r w:rsidRPr="0016270D" w:rsidR="0067442F">
        <w:rPr>
          <w:rFonts w:ascii="Verdana" w:hAnsi="Verdana"/>
          <w:sz w:val="18"/>
          <w:szCs w:val="18"/>
          <w:lang w:val="en-GB"/>
        </w:rPr>
        <w:t xml:space="preserve"> payment account. </w:t>
      </w:r>
      <w:r w:rsidR="00C86717">
        <w:rPr>
          <w:rFonts w:ascii="Verdana" w:hAnsi="Verdana"/>
          <w:sz w:val="18"/>
          <w:szCs w:val="18"/>
          <w:lang w:val="en-GB"/>
        </w:rPr>
        <w:t>Therefore</w:t>
      </w:r>
      <w:r w:rsidRPr="0016270D" w:rsidR="009C7659">
        <w:rPr>
          <w:rFonts w:ascii="Verdana" w:hAnsi="Verdana"/>
          <w:sz w:val="18"/>
          <w:szCs w:val="18"/>
          <w:lang w:val="en-GB"/>
        </w:rPr>
        <w:t xml:space="preserve">, it </w:t>
      </w:r>
      <w:r w:rsidR="001E50F2">
        <w:rPr>
          <w:rFonts w:ascii="Verdana" w:hAnsi="Verdana"/>
          <w:sz w:val="18"/>
          <w:szCs w:val="18"/>
          <w:lang w:val="en-GB"/>
        </w:rPr>
        <w:t xml:space="preserve">often </w:t>
      </w:r>
      <w:r w:rsidRPr="0016270D" w:rsidR="00DB4229">
        <w:rPr>
          <w:rFonts w:ascii="Verdana" w:hAnsi="Verdana"/>
          <w:sz w:val="18"/>
          <w:szCs w:val="18"/>
          <w:lang w:val="en-GB"/>
        </w:rPr>
        <w:t xml:space="preserve">remains unclear </w:t>
      </w:r>
      <w:r w:rsidRPr="0016270D" w:rsidR="009C7659">
        <w:rPr>
          <w:rFonts w:ascii="Verdana" w:hAnsi="Verdana"/>
          <w:sz w:val="18"/>
          <w:szCs w:val="18"/>
          <w:lang w:val="en-GB"/>
        </w:rPr>
        <w:t xml:space="preserve">if rejections relate to AML concerns (including costs of client due diligence), driven by commercial </w:t>
      </w:r>
      <w:r w:rsidRPr="0016270D" w:rsidR="00DB4229">
        <w:rPr>
          <w:rFonts w:ascii="Verdana" w:hAnsi="Verdana"/>
          <w:sz w:val="18"/>
          <w:szCs w:val="18"/>
          <w:lang w:val="en-GB"/>
        </w:rPr>
        <w:t>interests</w:t>
      </w:r>
      <w:r w:rsidRPr="0016270D" w:rsidR="009C7659">
        <w:rPr>
          <w:rFonts w:ascii="Verdana" w:hAnsi="Verdana"/>
          <w:sz w:val="18"/>
          <w:szCs w:val="18"/>
          <w:lang w:val="en-GB"/>
        </w:rPr>
        <w:t xml:space="preserve">, </w:t>
      </w:r>
      <w:r w:rsidR="001E50F2">
        <w:rPr>
          <w:rFonts w:ascii="Verdana" w:hAnsi="Verdana"/>
          <w:sz w:val="18"/>
          <w:szCs w:val="18"/>
          <w:lang w:val="en-GB"/>
        </w:rPr>
        <w:t xml:space="preserve">shaped by </w:t>
      </w:r>
      <w:r w:rsidRPr="0016270D" w:rsidR="009C7659">
        <w:rPr>
          <w:rFonts w:ascii="Verdana" w:hAnsi="Verdana"/>
          <w:sz w:val="18"/>
          <w:szCs w:val="18"/>
          <w:lang w:val="en-GB"/>
        </w:rPr>
        <w:t>general risk appetite</w:t>
      </w:r>
      <w:r w:rsidRPr="0016270D" w:rsidR="00DB4229">
        <w:rPr>
          <w:rFonts w:ascii="Verdana" w:hAnsi="Verdana"/>
          <w:sz w:val="18"/>
          <w:szCs w:val="18"/>
          <w:lang w:val="en-GB"/>
        </w:rPr>
        <w:t>,</w:t>
      </w:r>
      <w:r w:rsidRPr="0016270D" w:rsidR="009C7659">
        <w:rPr>
          <w:rFonts w:ascii="Verdana" w:hAnsi="Verdana"/>
          <w:sz w:val="18"/>
          <w:szCs w:val="18"/>
          <w:lang w:val="en-GB"/>
        </w:rPr>
        <w:t xml:space="preserve"> or </w:t>
      </w:r>
      <w:r w:rsidRPr="0016270D" w:rsidR="00DB4229">
        <w:rPr>
          <w:rFonts w:ascii="Verdana" w:hAnsi="Verdana"/>
          <w:sz w:val="18"/>
          <w:szCs w:val="18"/>
          <w:lang w:val="en-GB"/>
        </w:rPr>
        <w:t xml:space="preserve">attributable to </w:t>
      </w:r>
      <w:r w:rsidRPr="0016270D" w:rsidR="009C7659">
        <w:rPr>
          <w:rFonts w:ascii="Verdana" w:hAnsi="Verdana"/>
          <w:sz w:val="18"/>
          <w:szCs w:val="18"/>
          <w:lang w:val="en-GB"/>
        </w:rPr>
        <w:t xml:space="preserve">other reasons. </w:t>
      </w:r>
      <w:r w:rsidR="001E50F2">
        <w:rPr>
          <w:rFonts w:ascii="Verdana" w:hAnsi="Verdana"/>
          <w:sz w:val="18"/>
          <w:szCs w:val="18"/>
          <w:lang w:val="en-GB"/>
        </w:rPr>
        <w:t xml:space="preserve">Due to the limited </w:t>
      </w:r>
      <w:r w:rsidRPr="0016270D" w:rsidR="009C7659">
        <w:rPr>
          <w:rFonts w:ascii="Verdana" w:hAnsi="Verdana"/>
          <w:sz w:val="18"/>
          <w:szCs w:val="18"/>
          <w:lang w:val="en-GB"/>
        </w:rPr>
        <w:t>disclos</w:t>
      </w:r>
      <w:r w:rsidR="001E50F2">
        <w:rPr>
          <w:rFonts w:ascii="Verdana" w:hAnsi="Verdana"/>
          <w:sz w:val="18"/>
          <w:szCs w:val="18"/>
          <w:lang w:val="en-GB"/>
        </w:rPr>
        <w:t>ure provided by financial institutions</w:t>
      </w:r>
      <w:r w:rsidRPr="0016270D" w:rsidR="009C7659">
        <w:rPr>
          <w:rFonts w:ascii="Verdana" w:hAnsi="Verdana"/>
          <w:sz w:val="18"/>
          <w:szCs w:val="18"/>
          <w:lang w:val="en-GB"/>
        </w:rPr>
        <w:t xml:space="preserve"> </w:t>
      </w:r>
      <w:r w:rsidR="00D9124A">
        <w:rPr>
          <w:rFonts w:ascii="Verdana" w:hAnsi="Verdana"/>
          <w:sz w:val="18"/>
          <w:szCs w:val="18"/>
          <w:lang w:val="en-GB"/>
        </w:rPr>
        <w:t>to both</w:t>
      </w:r>
      <w:r w:rsidR="00355FD5">
        <w:rPr>
          <w:rFonts w:ascii="Verdana" w:hAnsi="Verdana"/>
          <w:sz w:val="18"/>
          <w:szCs w:val="18"/>
          <w:lang w:val="en-GB"/>
        </w:rPr>
        <w:t xml:space="preserve"> business customers </w:t>
      </w:r>
      <w:r w:rsidR="00D9124A">
        <w:rPr>
          <w:rFonts w:ascii="Verdana" w:hAnsi="Verdana"/>
          <w:sz w:val="18"/>
          <w:szCs w:val="18"/>
          <w:lang w:val="en-GB"/>
        </w:rPr>
        <w:t>and</w:t>
      </w:r>
      <w:r w:rsidR="00355FD5">
        <w:rPr>
          <w:rFonts w:ascii="Verdana" w:hAnsi="Verdana"/>
          <w:sz w:val="18"/>
          <w:szCs w:val="18"/>
          <w:lang w:val="en-GB"/>
        </w:rPr>
        <w:t xml:space="preserve"> supervisory bodies</w:t>
      </w:r>
      <w:r w:rsidR="00D9124A">
        <w:rPr>
          <w:rFonts w:ascii="Verdana" w:hAnsi="Verdana"/>
          <w:sz w:val="18"/>
          <w:szCs w:val="18"/>
          <w:lang w:val="en-GB"/>
        </w:rPr>
        <w:t xml:space="preserve">, </w:t>
      </w:r>
      <w:r w:rsidR="001E50F2">
        <w:rPr>
          <w:rFonts w:ascii="Verdana" w:hAnsi="Verdana"/>
          <w:sz w:val="18"/>
          <w:szCs w:val="18"/>
          <w:lang w:val="en-GB"/>
        </w:rPr>
        <w:t>neither party has</w:t>
      </w:r>
      <w:r w:rsidR="00D9124A">
        <w:rPr>
          <w:rFonts w:ascii="Verdana" w:hAnsi="Verdana"/>
          <w:sz w:val="18"/>
          <w:szCs w:val="18"/>
          <w:lang w:val="en-GB"/>
        </w:rPr>
        <w:t xml:space="preserve"> </w:t>
      </w:r>
      <w:r w:rsidR="001E50F2">
        <w:rPr>
          <w:rFonts w:ascii="Verdana" w:hAnsi="Verdana"/>
          <w:sz w:val="18"/>
          <w:szCs w:val="18"/>
          <w:lang w:val="en-GB"/>
        </w:rPr>
        <w:t xml:space="preserve">sufficient </w:t>
      </w:r>
      <w:r w:rsidR="00D9124A">
        <w:rPr>
          <w:rFonts w:ascii="Verdana" w:hAnsi="Verdana"/>
          <w:sz w:val="18"/>
          <w:szCs w:val="18"/>
          <w:lang w:val="en-GB"/>
        </w:rPr>
        <w:t xml:space="preserve">insight into the </w:t>
      </w:r>
      <w:r w:rsidR="001E50F2">
        <w:rPr>
          <w:rFonts w:ascii="Verdana" w:hAnsi="Verdana"/>
          <w:sz w:val="18"/>
          <w:szCs w:val="18"/>
          <w:lang w:val="en-GB"/>
        </w:rPr>
        <w:t xml:space="preserve">detailed </w:t>
      </w:r>
      <w:r w:rsidR="00D9124A">
        <w:rPr>
          <w:rFonts w:ascii="Verdana" w:hAnsi="Verdana"/>
          <w:sz w:val="18"/>
          <w:szCs w:val="18"/>
          <w:lang w:val="en-GB"/>
        </w:rPr>
        <w:t xml:space="preserve">reasons for refusal. </w:t>
      </w:r>
      <w:proofErr w:type="gramStart"/>
      <w:r w:rsidR="00D9124A">
        <w:rPr>
          <w:rFonts w:ascii="Verdana" w:hAnsi="Verdana"/>
          <w:sz w:val="18"/>
          <w:szCs w:val="18"/>
          <w:lang w:val="en-GB"/>
        </w:rPr>
        <w:t>In order to</w:t>
      </w:r>
      <w:proofErr w:type="gramEnd"/>
      <w:r w:rsidR="00D9124A">
        <w:rPr>
          <w:rFonts w:ascii="Verdana" w:hAnsi="Verdana"/>
          <w:sz w:val="18"/>
          <w:szCs w:val="18"/>
          <w:lang w:val="en-GB"/>
        </w:rPr>
        <w:t xml:space="preserve"> effectively monitor activities</w:t>
      </w:r>
      <w:r w:rsidR="00103836">
        <w:rPr>
          <w:rFonts w:ascii="Verdana" w:hAnsi="Verdana"/>
          <w:sz w:val="18"/>
          <w:szCs w:val="18"/>
          <w:lang w:val="en-GB"/>
        </w:rPr>
        <w:t xml:space="preserve"> and establish accurate legislation, </w:t>
      </w:r>
      <w:r w:rsidR="001E50F2">
        <w:rPr>
          <w:rFonts w:ascii="Verdana" w:hAnsi="Verdana"/>
          <w:sz w:val="18"/>
          <w:szCs w:val="18"/>
          <w:lang w:val="en-GB"/>
        </w:rPr>
        <w:t>access to this detailed information is crucial</w:t>
      </w:r>
      <w:r w:rsidR="00103836">
        <w:rPr>
          <w:rFonts w:ascii="Verdana" w:hAnsi="Verdana"/>
          <w:sz w:val="18"/>
          <w:szCs w:val="18"/>
          <w:lang w:val="en-GB"/>
        </w:rPr>
        <w:t>.</w:t>
      </w:r>
      <w:r w:rsidR="00D9124A">
        <w:rPr>
          <w:rFonts w:ascii="Verdana" w:hAnsi="Verdana"/>
          <w:sz w:val="18"/>
          <w:szCs w:val="18"/>
          <w:lang w:val="en-GB"/>
        </w:rPr>
        <w:t xml:space="preserve"> </w:t>
      </w:r>
    </w:p>
    <w:p w:rsidRPr="0016270D" w:rsidR="009C7659" w:rsidP="0016270D" w:rsidRDefault="009C7659" w14:paraId="782C4610" w14:textId="77820FD0">
      <w:pPr>
        <w:rPr>
          <w:rFonts w:ascii="Verdana" w:hAnsi="Verdana"/>
          <w:sz w:val="18"/>
          <w:szCs w:val="18"/>
          <w:lang w:val="en-GB"/>
        </w:rPr>
      </w:pPr>
      <w:r w:rsidRPr="0016270D">
        <w:rPr>
          <w:rFonts w:ascii="Verdana" w:hAnsi="Verdana"/>
          <w:b/>
          <w:bCs/>
          <w:sz w:val="18"/>
          <w:szCs w:val="18"/>
          <w:lang w:val="en-GB"/>
        </w:rPr>
        <w:t>Business customers that experience difficulties may see no other option than to resort to using their private payment accounts (often against company rules)</w:t>
      </w:r>
      <w:r w:rsidR="00207BAB">
        <w:rPr>
          <w:rFonts w:ascii="Verdana" w:hAnsi="Verdana"/>
          <w:b/>
          <w:bCs/>
          <w:sz w:val="18"/>
          <w:szCs w:val="18"/>
          <w:lang w:val="en-GB"/>
        </w:rPr>
        <w:t>, to cash money,</w:t>
      </w:r>
      <w:r w:rsidRPr="0016270D">
        <w:rPr>
          <w:rFonts w:ascii="Verdana" w:hAnsi="Verdana"/>
          <w:b/>
          <w:bCs/>
          <w:sz w:val="18"/>
          <w:szCs w:val="18"/>
          <w:lang w:val="en-GB"/>
        </w:rPr>
        <w:t xml:space="preserve"> or unregulated (underground) alternatives for payments.</w:t>
      </w:r>
      <w:r w:rsidRPr="0016270D">
        <w:rPr>
          <w:rFonts w:ascii="Verdana" w:hAnsi="Verdana"/>
          <w:sz w:val="18"/>
          <w:szCs w:val="18"/>
          <w:lang w:val="en-GB"/>
        </w:rPr>
        <w:t xml:space="preserve"> Besides access issues experiences by business customers, this also hampers the transaction monitoring performed by banks with the aim to fight money-laundering and terrorist financing. Therefore, it is of the utmost importance to facilitate access to payment accounts. This ensures that gatekeepers can effectively monitor their clients, safeguarding the trustworthiness of EU financial markets.</w:t>
      </w:r>
    </w:p>
    <w:p w:rsidRPr="0016270D" w:rsidR="00155180" w:rsidP="0016270D" w:rsidRDefault="00004550" w14:paraId="01EDB6F8" w14:textId="03CAFEC4">
      <w:pPr>
        <w:rPr>
          <w:rFonts w:ascii="Verdana" w:hAnsi="Verdana"/>
          <w:sz w:val="18"/>
          <w:szCs w:val="18"/>
          <w:lang w:val="en-GB"/>
        </w:rPr>
      </w:pPr>
      <w:r w:rsidRPr="0016270D">
        <w:rPr>
          <w:rFonts w:ascii="Verdana" w:hAnsi="Verdana"/>
          <w:b/>
          <w:bCs/>
          <w:sz w:val="18"/>
          <w:szCs w:val="18"/>
          <w:lang w:val="en-GB"/>
        </w:rPr>
        <w:t xml:space="preserve">Different regulations across the EU </w:t>
      </w:r>
      <w:r w:rsidRPr="0016270D" w:rsidR="000965B4">
        <w:rPr>
          <w:rFonts w:ascii="Verdana" w:hAnsi="Verdana"/>
          <w:b/>
          <w:bCs/>
          <w:sz w:val="18"/>
          <w:szCs w:val="18"/>
          <w:lang w:val="en-GB"/>
        </w:rPr>
        <w:t xml:space="preserve">may </w:t>
      </w:r>
      <w:r w:rsidRPr="0016270D">
        <w:rPr>
          <w:rFonts w:ascii="Verdana" w:hAnsi="Verdana"/>
          <w:b/>
          <w:bCs/>
          <w:sz w:val="18"/>
          <w:szCs w:val="18"/>
          <w:lang w:val="en-GB"/>
        </w:rPr>
        <w:t xml:space="preserve">lead to </w:t>
      </w:r>
      <w:proofErr w:type="gramStart"/>
      <w:r w:rsidRPr="0016270D">
        <w:rPr>
          <w:rFonts w:ascii="Verdana" w:hAnsi="Verdana"/>
          <w:b/>
          <w:bCs/>
          <w:sz w:val="18"/>
          <w:szCs w:val="18"/>
          <w:lang w:val="en-GB"/>
        </w:rPr>
        <w:t>a</w:t>
      </w:r>
      <w:proofErr w:type="gramEnd"/>
      <w:r w:rsidRPr="0016270D">
        <w:rPr>
          <w:rFonts w:ascii="Verdana" w:hAnsi="Verdana"/>
          <w:b/>
          <w:bCs/>
          <w:sz w:val="18"/>
          <w:szCs w:val="18"/>
          <w:lang w:val="en-GB"/>
        </w:rPr>
        <w:t xml:space="preserve"> uneven playing field</w:t>
      </w:r>
      <w:r w:rsidRPr="0016270D" w:rsidR="00383301">
        <w:rPr>
          <w:rFonts w:ascii="Verdana" w:hAnsi="Verdana"/>
          <w:b/>
          <w:bCs/>
          <w:sz w:val="18"/>
          <w:szCs w:val="18"/>
          <w:lang w:val="en-GB"/>
        </w:rPr>
        <w:t xml:space="preserve"> and a concentration of financial activities in some member states</w:t>
      </w:r>
      <w:r w:rsidRPr="0016270D">
        <w:rPr>
          <w:rFonts w:ascii="Verdana" w:hAnsi="Verdana"/>
          <w:b/>
          <w:bCs/>
          <w:sz w:val="18"/>
          <w:szCs w:val="18"/>
          <w:lang w:val="en-GB"/>
        </w:rPr>
        <w:t>.</w:t>
      </w:r>
      <w:r w:rsidRPr="0016270D">
        <w:rPr>
          <w:rFonts w:ascii="Verdana" w:hAnsi="Verdana"/>
          <w:sz w:val="18"/>
          <w:szCs w:val="18"/>
          <w:lang w:val="en-GB"/>
        </w:rPr>
        <w:t xml:space="preserve"> </w:t>
      </w:r>
      <w:r w:rsidRPr="0016270D" w:rsidR="00002404">
        <w:rPr>
          <w:rFonts w:ascii="Verdana" w:hAnsi="Verdana"/>
          <w:sz w:val="18"/>
          <w:szCs w:val="18"/>
          <w:lang w:val="en-GB"/>
        </w:rPr>
        <w:t>Some</w:t>
      </w:r>
      <w:r w:rsidRPr="0016270D" w:rsidR="000965B4">
        <w:rPr>
          <w:rFonts w:ascii="Verdana" w:hAnsi="Verdana"/>
          <w:sz w:val="18"/>
          <w:szCs w:val="18"/>
          <w:lang w:val="en-GB"/>
        </w:rPr>
        <w:t xml:space="preserve"> </w:t>
      </w:r>
      <w:r w:rsidRPr="0016270D" w:rsidR="00816EC9">
        <w:rPr>
          <w:rFonts w:ascii="Verdana" w:hAnsi="Verdana"/>
          <w:sz w:val="18"/>
          <w:szCs w:val="18"/>
          <w:lang w:val="en-GB"/>
        </w:rPr>
        <w:t xml:space="preserve">member states </w:t>
      </w:r>
      <w:r w:rsidRPr="0016270D" w:rsidR="00002404">
        <w:rPr>
          <w:rFonts w:ascii="Verdana" w:hAnsi="Verdana"/>
          <w:sz w:val="18"/>
          <w:szCs w:val="18"/>
          <w:lang w:val="en-GB"/>
        </w:rPr>
        <w:t>introduced certain initiatives</w:t>
      </w:r>
      <w:r w:rsidRPr="0016270D" w:rsidR="000965B4">
        <w:rPr>
          <w:rFonts w:ascii="Verdana" w:hAnsi="Verdana"/>
          <w:sz w:val="18"/>
          <w:szCs w:val="18"/>
          <w:lang w:val="en-GB"/>
        </w:rPr>
        <w:t xml:space="preserve"> to address the </w:t>
      </w:r>
      <w:r w:rsidRPr="0016270D" w:rsidR="00B96A60">
        <w:rPr>
          <w:rFonts w:ascii="Verdana" w:hAnsi="Verdana"/>
          <w:sz w:val="18"/>
          <w:szCs w:val="18"/>
          <w:lang w:val="en-GB"/>
        </w:rPr>
        <w:t xml:space="preserve">difficulties business customers face in accessing financial services. </w:t>
      </w:r>
      <w:r w:rsidRPr="0016270D" w:rsidR="00DB4229">
        <w:rPr>
          <w:rFonts w:ascii="Verdana" w:hAnsi="Verdana"/>
          <w:sz w:val="18"/>
          <w:szCs w:val="18"/>
          <w:lang w:val="en-GB"/>
        </w:rPr>
        <w:t xml:space="preserve">Consequently, business customers in a member state without a legal basis might face difficulties in accessing financial services, while business customers in a member state with a legal base </w:t>
      </w:r>
      <w:r w:rsidR="0089658A">
        <w:rPr>
          <w:rFonts w:ascii="Verdana" w:hAnsi="Verdana"/>
          <w:sz w:val="18"/>
          <w:szCs w:val="18"/>
          <w:lang w:val="en-GB"/>
        </w:rPr>
        <w:t>can</w:t>
      </w:r>
      <w:r w:rsidRPr="0016270D" w:rsidR="00DB4229">
        <w:rPr>
          <w:rFonts w:ascii="Verdana" w:hAnsi="Verdana"/>
          <w:sz w:val="18"/>
          <w:szCs w:val="18"/>
          <w:lang w:val="en-GB"/>
        </w:rPr>
        <w:t xml:space="preserve"> have easier access. Some business customers in certain countries without a legal base could experience competitive disadvantage compared to business customers operating in countries with a legal base. For instance, Belgium introduced </w:t>
      </w:r>
      <w:r w:rsidR="003534D4">
        <w:rPr>
          <w:rFonts w:ascii="Verdana" w:hAnsi="Verdana"/>
          <w:sz w:val="18"/>
          <w:szCs w:val="18"/>
          <w:lang w:val="en-GB"/>
        </w:rPr>
        <w:t xml:space="preserve">the </w:t>
      </w:r>
      <w:r w:rsidRPr="000C13FC" w:rsidR="00DB4229">
        <w:rPr>
          <w:rFonts w:ascii="Verdana" w:hAnsi="Verdana"/>
          <w:i/>
          <w:iCs/>
          <w:sz w:val="18"/>
          <w:szCs w:val="18"/>
          <w:lang w:val="en-GB"/>
        </w:rPr>
        <w:t>‘Basic bank service’</w:t>
      </w:r>
      <w:r w:rsidRPr="0016270D" w:rsidR="00DB4229">
        <w:rPr>
          <w:rFonts w:ascii="Verdana" w:hAnsi="Verdana"/>
          <w:sz w:val="18"/>
          <w:szCs w:val="18"/>
          <w:lang w:val="en-GB"/>
        </w:rPr>
        <w:t xml:space="preserve"> </w:t>
      </w:r>
      <w:r w:rsidR="003534D4">
        <w:rPr>
          <w:rFonts w:ascii="Verdana" w:hAnsi="Verdana"/>
          <w:sz w:val="18"/>
          <w:szCs w:val="18"/>
          <w:lang w:val="en-GB"/>
        </w:rPr>
        <w:t xml:space="preserve">and France has the </w:t>
      </w:r>
      <w:r w:rsidRPr="003534D4" w:rsidR="003534D4">
        <w:rPr>
          <w:rFonts w:ascii="Verdana" w:hAnsi="Verdana"/>
          <w:i/>
          <w:iCs/>
          <w:sz w:val="18"/>
          <w:szCs w:val="18"/>
          <w:lang w:val="en-GB"/>
        </w:rPr>
        <w:t xml:space="preserve">droit au </w:t>
      </w:r>
      <w:proofErr w:type="spellStart"/>
      <w:r w:rsidRPr="003534D4" w:rsidR="003534D4">
        <w:rPr>
          <w:rFonts w:ascii="Verdana" w:hAnsi="Verdana"/>
          <w:i/>
          <w:iCs/>
          <w:sz w:val="18"/>
          <w:szCs w:val="18"/>
          <w:lang w:val="en-GB"/>
        </w:rPr>
        <w:t>compte</w:t>
      </w:r>
      <w:proofErr w:type="spellEnd"/>
      <w:r w:rsidR="003534D4">
        <w:rPr>
          <w:rFonts w:ascii="Verdana" w:hAnsi="Verdana"/>
          <w:sz w:val="18"/>
          <w:szCs w:val="18"/>
          <w:lang w:val="en-GB"/>
        </w:rPr>
        <w:t xml:space="preserve"> </w:t>
      </w:r>
      <w:r w:rsidRPr="0016270D" w:rsidR="00DB4229">
        <w:rPr>
          <w:rFonts w:ascii="Verdana" w:hAnsi="Verdana"/>
          <w:sz w:val="18"/>
          <w:szCs w:val="18"/>
          <w:lang w:val="en-GB"/>
        </w:rPr>
        <w:t>that facilitate payment accounts for business customers.</w:t>
      </w:r>
      <w:r w:rsidRPr="0016270D" w:rsidR="00DB4229">
        <w:rPr>
          <w:rStyle w:val="Voetnootmarkering"/>
          <w:rFonts w:ascii="Verdana" w:hAnsi="Verdana"/>
          <w:sz w:val="18"/>
          <w:szCs w:val="18"/>
          <w:lang w:val="en-GB"/>
        </w:rPr>
        <w:footnoteReference w:id="3"/>
      </w:r>
      <w:r w:rsidRPr="0016270D" w:rsidR="00DB4229">
        <w:rPr>
          <w:rFonts w:ascii="Verdana" w:hAnsi="Verdana"/>
          <w:sz w:val="18"/>
          <w:szCs w:val="18"/>
          <w:lang w:val="en-GB"/>
        </w:rPr>
        <w:t xml:space="preserve"> In such cases</w:t>
      </w:r>
      <w:r w:rsidR="003534D4">
        <w:rPr>
          <w:rFonts w:ascii="Verdana" w:hAnsi="Verdana"/>
          <w:sz w:val="18"/>
          <w:szCs w:val="18"/>
          <w:lang w:val="en-GB"/>
        </w:rPr>
        <w:t>,</w:t>
      </w:r>
      <w:r w:rsidRPr="0016270D" w:rsidR="00DB4229">
        <w:rPr>
          <w:rFonts w:ascii="Verdana" w:hAnsi="Verdana"/>
          <w:sz w:val="18"/>
          <w:szCs w:val="18"/>
          <w:lang w:val="en-GB"/>
        </w:rPr>
        <w:t xml:space="preserve"> business customers </w:t>
      </w:r>
      <w:r w:rsidR="003534D4">
        <w:rPr>
          <w:rFonts w:ascii="Verdana" w:hAnsi="Verdana"/>
          <w:sz w:val="18"/>
          <w:szCs w:val="18"/>
          <w:lang w:val="en-GB"/>
        </w:rPr>
        <w:t xml:space="preserve">denied access elsewhere in the EU may turn to member states </w:t>
      </w:r>
      <w:r w:rsidRPr="0016270D" w:rsidR="003534D4">
        <w:rPr>
          <w:rFonts w:ascii="Verdana" w:hAnsi="Verdana"/>
          <w:sz w:val="18"/>
          <w:szCs w:val="18"/>
          <w:lang w:val="en-GB"/>
        </w:rPr>
        <w:t>that do provide (basic) payment services, such as Belgium</w:t>
      </w:r>
      <w:r w:rsidR="003534D4">
        <w:rPr>
          <w:rFonts w:ascii="Verdana" w:hAnsi="Verdana"/>
          <w:sz w:val="18"/>
          <w:szCs w:val="18"/>
          <w:lang w:val="en-GB"/>
        </w:rPr>
        <w:t xml:space="preserve"> or France.</w:t>
      </w:r>
      <w:r w:rsidR="00742CCF">
        <w:rPr>
          <w:rFonts w:ascii="Verdana" w:hAnsi="Verdana"/>
          <w:sz w:val="18"/>
          <w:szCs w:val="18"/>
          <w:lang w:val="en-GB"/>
        </w:rPr>
        <w:t xml:space="preserve"> </w:t>
      </w:r>
      <w:r w:rsidRPr="0016270D" w:rsidR="002C6BF3">
        <w:rPr>
          <w:rFonts w:ascii="Verdana" w:hAnsi="Verdana"/>
          <w:sz w:val="18"/>
          <w:szCs w:val="18"/>
          <w:lang w:val="en-GB"/>
        </w:rPr>
        <w:t>C</w:t>
      </w:r>
      <w:r w:rsidRPr="0016270D" w:rsidR="00002404">
        <w:rPr>
          <w:rFonts w:ascii="Verdana" w:hAnsi="Verdana"/>
          <w:sz w:val="18"/>
          <w:szCs w:val="18"/>
          <w:lang w:val="en-GB"/>
        </w:rPr>
        <w:t>onsequently, this</w:t>
      </w:r>
      <w:r w:rsidRPr="0016270D" w:rsidR="00B96A60">
        <w:rPr>
          <w:rFonts w:ascii="Verdana" w:hAnsi="Verdana"/>
          <w:sz w:val="18"/>
          <w:szCs w:val="18"/>
          <w:lang w:val="en-GB"/>
        </w:rPr>
        <w:t xml:space="preserve"> could lead to </w:t>
      </w:r>
      <w:r w:rsidRPr="0016270D" w:rsidR="00002404">
        <w:rPr>
          <w:rFonts w:ascii="Verdana" w:hAnsi="Verdana"/>
          <w:sz w:val="18"/>
          <w:szCs w:val="18"/>
          <w:lang w:val="en-GB"/>
        </w:rPr>
        <w:t xml:space="preserve">a </w:t>
      </w:r>
      <w:r w:rsidRPr="0016270D" w:rsidR="00B96A60">
        <w:rPr>
          <w:rFonts w:ascii="Verdana" w:hAnsi="Verdana"/>
          <w:sz w:val="18"/>
          <w:szCs w:val="18"/>
          <w:lang w:val="en-GB"/>
        </w:rPr>
        <w:t>concentration of activities</w:t>
      </w:r>
      <w:r w:rsidRPr="0016270D" w:rsidR="00002404">
        <w:rPr>
          <w:rFonts w:ascii="Verdana" w:hAnsi="Verdana"/>
          <w:sz w:val="18"/>
          <w:szCs w:val="18"/>
          <w:lang w:val="en-GB"/>
        </w:rPr>
        <w:t>,</w:t>
      </w:r>
      <w:r w:rsidR="0089658A">
        <w:rPr>
          <w:rFonts w:ascii="Verdana" w:hAnsi="Verdana"/>
          <w:sz w:val="18"/>
          <w:szCs w:val="18"/>
          <w:lang w:val="en-GB"/>
        </w:rPr>
        <w:t xml:space="preserve"> unfair competitive edges,</w:t>
      </w:r>
      <w:r w:rsidRPr="0016270D" w:rsidR="00002404">
        <w:rPr>
          <w:rFonts w:ascii="Verdana" w:hAnsi="Verdana"/>
          <w:sz w:val="18"/>
          <w:szCs w:val="18"/>
          <w:lang w:val="en-GB"/>
        </w:rPr>
        <w:t xml:space="preserve"> </w:t>
      </w:r>
      <w:r w:rsidR="00207BAB">
        <w:rPr>
          <w:rFonts w:ascii="Verdana" w:hAnsi="Verdana"/>
          <w:sz w:val="18"/>
          <w:szCs w:val="18"/>
          <w:lang w:val="en-GB"/>
        </w:rPr>
        <w:t xml:space="preserve">and administrative burdens </w:t>
      </w:r>
      <w:r w:rsidRPr="0016270D" w:rsidR="00002404">
        <w:rPr>
          <w:rFonts w:ascii="Verdana" w:hAnsi="Verdana"/>
          <w:sz w:val="18"/>
          <w:szCs w:val="18"/>
          <w:lang w:val="en-GB"/>
        </w:rPr>
        <w:t xml:space="preserve">particularly in those </w:t>
      </w:r>
      <w:r w:rsidRPr="0016270D" w:rsidR="00DB4229">
        <w:rPr>
          <w:rFonts w:ascii="Verdana" w:hAnsi="Verdana"/>
          <w:sz w:val="18"/>
          <w:szCs w:val="18"/>
          <w:lang w:val="en-GB"/>
        </w:rPr>
        <w:t xml:space="preserve">member states </w:t>
      </w:r>
      <w:r w:rsidRPr="0016270D" w:rsidR="00002404">
        <w:rPr>
          <w:rFonts w:ascii="Verdana" w:hAnsi="Verdana"/>
          <w:sz w:val="18"/>
          <w:szCs w:val="18"/>
          <w:lang w:val="en-GB"/>
        </w:rPr>
        <w:t>with specific legislation</w:t>
      </w:r>
      <w:r w:rsidRPr="0016270D" w:rsidR="007E31BE">
        <w:rPr>
          <w:rFonts w:ascii="Verdana" w:hAnsi="Verdana"/>
          <w:sz w:val="18"/>
          <w:szCs w:val="18"/>
          <w:lang w:val="en-GB"/>
        </w:rPr>
        <w:t xml:space="preserve"> or policy</w:t>
      </w:r>
      <w:r w:rsidRPr="0016270D" w:rsidR="00002404">
        <w:rPr>
          <w:rFonts w:ascii="Verdana" w:hAnsi="Verdana"/>
          <w:sz w:val="18"/>
          <w:szCs w:val="18"/>
          <w:lang w:val="en-GB"/>
        </w:rPr>
        <w:t xml:space="preserve"> addressing the issue.</w:t>
      </w:r>
      <w:r w:rsidRPr="0016270D" w:rsidR="002C6BF3">
        <w:rPr>
          <w:rFonts w:ascii="Verdana" w:hAnsi="Verdana"/>
          <w:sz w:val="18"/>
          <w:szCs w:val="18"/>
          <w:lang w:val="en-GB"/>
        </w:rPr>
        <w:t xml:space="preserve"> </w:t>
      </w:r>
    </w:p>
    <w:p w:rsidRPr="0016270D" w:rsidR="0016270D" w:rsidP="0016270D" w:rsidRDefault="00B96A60" w14:paraId="03B39928" w14:textId="07B74CAC">
      <w:pPr>
        <w:rPr>
          <w:rFonts w:ascii="Verdana" w:hAnsi="Verdana"/>
          <w:sz w:val="18"/>
          <w:szCs w:val="18"/>
          <w:lang w:val="en-GB"/>
        </w:rPr>
      </w:pPr>
      <w:r w:rsidRPr="0016270D">
        <w:rPr>
          <w:rFonts w:ascii="Verdana" w:hAnsi="Verdana"/>
          <w:b/>
          <w:bCs/>
          <w:sz w:val="18"/>
          <w:szCs w:val="18"/>
          <w:lang w:val="en-GB"/>
        </w:rPr>
        <w:t>The banking landscapes differs across the EU</w:t>
      </w:r>
      <w:r w:rsidRPr="0016270D" w:rsidR="00002404">
        <w:rPr>
          <w:rFonts w:ascii="Verdana" w:hAnsi="Verdana"/>
          <w:b/>
          <w:bCs/>
          <w:sz w:val="18"/>
          <w:szCs w:val="18"/>
          <w:lang w:val="en-GB"/>
        </w:rPr>
        <w:t xml:space="preserve">, </w:t>
      </w:r>
      <w:r w:rsidRPr="0016270D" w:rsidR="005A5196">
        <w:rPr>
          <w:rFonts w:ascii="Verdana" w:hAnsi="Verdana"/>
          <w:b/>
          <w:bCs/>
          <w:sz w:val="18"/>
          <w:szCs w:val="18"/>
          <w:lang w:val="en-GB"/>
        </w:rPr>
        <w:t>lead</w:t>
      </w:r>
      <w:r w:rsidRPr="0016270D" w:rsidR="00DB4229">
        <w:rPr>
          <w:rFonts w:ascii="Verdana" w:hAnsi="Verdana"/>
          <w:b/>
          <w:bCs/>
          <w:sz w:val="18"/>
          <w:szCs w:val="18"/>
          <w:lang w:val="en-GB"/>
        </w:rPr>
        <w:t>ing</w:t>
      </w:r>
      <w:r w:rsidRPr="0016270D" w:rsidR="005A5196">
        <w:rPr>
          <w:rFonts w:ascii="Verdana" w:hAnsi="Verdana"/>
          <w:b/>
          <w:bCs/>
          <w:sz w:val="18"/>
          <w:szCs w:val="18"/>
          <w:lang w:val="en-GB"/>
        </w:rPr>
        <w:t xml:space="preserve"> to </w:t>
      </w:r>
      <w:r w:rsidRPr="0016270D" w:rsidR="00383301">
        <w:rPr>
          <w:rFonts w:ascii="Verdana" w:hAnsi="Verdana"/>
          <w:b/>
          <w:bCs/>
          <w:sz w:val="18"/>
          <w:szCs w:val="18"/>
          <w:lang w:val="en-GB"/>
        </w:rPr>
        <w:t>a fragmented EU financial market and inconsistent access to financial services, such as payment accounts</w:t>
      </w:r>
      <w:r w:rsidRPr="0016270D" w:rsidR="005A5196">
        <w:rPr>
          <w:rFonts w:ascii="Verdana" w:hAnsi="Verdana"/>
          <w:b/>
          <w:bCs/>
          <w:sz w:val="18"/>
          <w:szCs w:val="18"/>
          <w:lang w:val="en-GB"/>
        </w:rPr>
        <w:t xml:space="preserve">. </w:t>
      </w:r>
      <w:r w:rsidRPr="0016270D" w:rsidR="005A5196">
        <w:rPr>
          <w:rFonts w:ascii="Verdana" w:hAnsi="Verdana"/>
          <w:sz w:val="18"/>
          <w:szCs w:val="18"/>
          <w:lang w:val="en-GB"/>
        </w:rPr>
        <w:t xml:space="preserve">The banking landscape in the EU is signified by </w:t>
      </w:r>
      <w:r w:rsidRPr="0016270D" w:rsidR="00002404">
        <w:rPr>
          <w:rFonts w:ascii="Verdana" w:hAnsi="Verdana"/>
          <w:sz w:val="18"/>
          <w:szCs w:val="18"/>
          <w:lang w:val="en-GB"/>
        </w:rPr>
        <w:t>s</w:t>
      </w:r>
      <w:r w:rsidRPr="0016270D">
        <w:rPr>
          <w:rFonts w:ascii="Verdana" w:hAnsi="Verdana"/>
          <w:sz w:val="18"/>
          <w:szCs w:val="18"/>
          <w:lang w:val="en-GB"/>
        </w:rPr>
        <w:t xml:space="preserve">ome </w:t>
      </w:r>
      <w:r w:rsidRPr="0016270D" w:rsidR="00816EC9">
        <w:rPr>
          <w:rFonts w:ascii="Verdana" w:hAnsi="Verdana"/>
          <w:sz w:val="18"/>
          <w:szCs w:val="18"/>
          <w:lang w:val="en-GB"/>
        </w:rPr>
        <w:t xml:space="preserve">member states </w:t>
      </w:r>
      <w:r w:rsidRPr="0016270D" w:rsidR="00002404">
        <w:rPr>
          <w:rFonts w:ascii="Verdana" w:hAnsi="Verdana"/>
          <w:sz w:val="18"/>
          <w:szCs w:val="18"/>
          <w:lang w:val="en-GB"/>
        </w:rPr>
        <w:t xml:space="preserve">hosting </w:t>
      </w:r>
      <w:r w:rsidRPr="0016270D" w:rsidR="005A5196">
        <w:rPr>
          <w:rFonts w:ascii="Verdana" w:hAnsi="Verdana"/>
          <w:sz w:val="18"/>
          <w:szCs w:val="18"/>
          <w:lang w:val="en-GB"/>
        </w:rPr>
        <w:t xml:space="preserve">a greater number of </w:t>
      </w:r>
      <w:r w:rsidRPr="0016270D">
        <w:rPr>
          <w:rFonts w:ascii="Verdana" w:hAnsi="Verdana"/>
          <w:sz w:val="18"/>
          <w:szCs w:val="18"/>
          <w:lang w:val="en-GB"/>
        </w:rPr>
        <w:t>financial institutions than other</w:t>
      </w:r>
      <w:r w:rsidRPr="0016270D" w:rsidR="005A5196">
        <w:rPr>
          <w:rFonts w:ascii="Verdana" w:hAnsi="Verdana"/>
          <w:sz w:val="18"/>
          <w:szCs w:val="18"/>
          <w:lang w:val="en-GB"/>
        </w:rPr>
        <w:t>s</w:t>
      </w:r>
      <w:r w:rsidRPr="0016270D" w:rsidR="005A5196">
        <w:rPr>
          <w:rFonts w:ascii="Verdana" w:hAnsi="Verdana"/>
          <w:b/>
          <w:bCs/>
          <w:sz w:val="18"/>
          <w:szCs w:val="18"/>
          <w:lang w:val="en-GB"/>
        </w:rPr>
        <w:t>.</w:t>
      </w:r>
      <w:r w:rsidRPr="0016270D" w:rsidR="005A5196">
        <w:rPr>
          <w:rFonts w:ascii="Verdana" w:hAnsi="Verdana"/>
          <w:sz w:val="18"/>
          <w:szCs w:val="18"/>
          <w:lang w:val="en-GB"/>
        </w:rPr>
        <w:t xml:space="preserve"> </w:t>
      </w:r>
      <w:r w:rsidRPr="0016270D" w:rsidR="00383301">
        <w:rPr>
          <w:rFonts w:ascii="Verdana" w:hAnsi="Verdana"/>
          <w:sz w:val="18"/>
          <w:szCs w:val="18"/>
          <w:lang w:val="en-GB"/>
        </w:rPr>
        <w:t xml:space="preserve">When access to financial services, such as payment accounts or </w:t>
      </w:r>
      <w:r w:rsidRPr="0016270D" w:rsidR="00383301">
        <w:rPr>
          <w:rFonts w:ascii="Verdana" w:hAnsi="Verdana"/>
          <w:sz w:val="18"/>
          <w:szCs w:val="18"/>
          <w:lang w:val="en-GB"/>
        </w:rPr>
        <w:lastRenderedPageBreak/>
        <w:t xml:space="preserve">loans, is inconsistent, it creates inefficiencies. For example, </w:t>
      </w:r>
      <w:r w:rsidR="00742CCF">
        <w:rPr>
          <w:rFonts w:ascii="Verdana" w:hAnsi="Verdana"/>
          <w:sz w:val="18"/>
          <w:szCs w:val="18"/>
          <w:lang w:val="en-GB"/>
        </w:rPr>
        <w:t>business customers</w:t>
      </w:r>
      <w:r w:rsidRPr="0016270D" w:rsidR="00383301">
        <w:rPr>
          <w:rFonts w:ascii="Verdana" w:hAnsi="Verdana"/>
          <w:sz w:val="18"/>
          <w:szCs w:val="18"/>
          <w:lang w:val="en-GB"/>
        </w:rPr>
        <w:t xml:space="preserve"> operating in multiple countries may face different requirements for opening accounts or securing financing, leading to delays, higher costs, and operational complications.</w:t>
      </w:r>
      <w:r w:rsidRPr="0016270D" w:rsidR="00383301">
        <w:rPr>
          <w:rFonts w:ascii="Verdana" w:hAnsi="Verdana"/>
          <w:b/>
          <w:bCs/>
          <w:sz w:val="18"/>
          <w:szCs w:val="18"/>
          <w:lang w:val="en-GB"/>
        </w:rPr>
        <w:t xml:space="preserve"> </w:t>
      </w:r>
      <w:r w:rsidRPr="0016270D" w:rsidR="00004550">
        <w:rPr>
          <w:rFonts w:ascii="Verdana" w:hAnsi="Verdana"/>
          <w:sz w:val="18"/>
          <w:szCs w:val="18"/>
          <w:lang w:val="en-GB"/>
        </w:rPr>
        <w:t xml:space="preserve">As a result, business customers find themselves operating in grey zones or bending the rules, causing transparency issues. </w:t>
      </w:r>
      <w:r w:rsidRPr="0016270D" w:rsidR="00D33331">
        <w:rPr>
          <w:rFonts w:ascii="Verdana" w:hAnsi="Verdana"/>
          <w:sz w:val="18"/>
          <w:szCs w:val="18"/>
          <w:lang w:val="en-GB"/>
        </w:rPr>
        <w:t xml:space="preserve">This may lead to a </w:t>
      </w:r>
      <w:r w:rsidRPr="0016270D" w:rsidR="00004550">
        <w:rPr>
          <w:rFonts w:ascii="Verdana" w:hAnsi="Verdana"/>
          <w:sz w:val="18"/>
          <w:szCs w:val="18"/>
          <w:lang w:val="en-GB"/>
        </w:rPr>
        <w:t xml:space="preserve">‘waterbed effect,’ displacing a problem from one </w:t>
      </w:r>
      <w:r w:rsidRPr="0016270D" w:rsidR="00816EC9">
        <w:rPr>
          <w:rFonts w:ascii="Verdana" w:hAnsi="Verdana"/>
          <w:sz w:val="18"/>
          <w:szCs w:val="18"/>
          <w:lang w:val="en-GB"/>
        </w:rPr>
        <w:t xml:space="preserve">member states </w:t>
      </w:r>
      <w:r w:rsidRPr="0016270D" w:rsidR="00004550">
        <w:rPr>
          <w:rFonts w:ascii="Verdana" w:hAnsi="Verdana"/>
          <w:sz w:val="18"/>
          <w:szCs w:val="18"/>
          <w:lang w:val="en-GB"/>
        </w:rPr>
        <w:t>to another</w:t>
      </w:r>
      <w:r w:rsidRPr="0016270D" w:rsidR="00D33331">
        <w:rPr>
          <w:rFonts w:ascii="Verdana" w:hAnsi="Verdana"/>
          <w:sz w:val="18"/>
          <w:szCs w:val="18"/>
          <w:lang w:val="en-GB"/>
        </w:rPr>
        <w:t>.</w:t>
      </w:r>
    </w:p>
    <w:p w:rsidRPr="0016270D" w:rsidR="004257FB" w:rsidP="0016270D" w:rsidRDefault="00843398" w14:paraId="33ADE121" w14:textId="25015746">
      <w:pPr>
        <w:pStyle w:val="Lijstalinea"/>
        <w:numPr>
          <w:ilvl w:val="0"/>
          <w:numId w:val="13"/>
        </w:numPr>
        <w:rPr>
          <w:rFonts w:ascii="Verdana" w:hAnsi="Verdana"/>
          <w:b/>
          <w:bCs/>
          <w:sz w:val="18"/>
          <w:szCs w:val="18"/>
          <w:lang w:val="en-GB"/>
        </w:rPr>
      </w:pPr>
      <w:r w:rsidRPr="0016270D">
        <w:rPr>
          <w:rFonts w:ascii="Verdana" w:hAnsi="Verdana"/>
          <w:b/>
          <w:bCs/>
          <w:sz w:val="18"/>
          <w:szCs w:val="18"/>
          <w:lang w:val="en-GB"/>
        </w:rPr>
        <w:t xml:space="preserve">Suggestions for </w:t>
      </w:r>
      <w:r w:rsidRPr="0016270D" w:rsidR="00924AD4">
        <w:rPr>
          <w:rFonts w:ascii="Verdana" w:hAnsi="Verdana"/>
          <w:b/>
          <w:bCs/>
          <w:sz w:val="18"/>
          <w:szCs w:val="18"/>
          <w:lang w:val="en-GB"/>
        </w:rPr>
        <w:t>I</w:t>
      </w:r>
      <w:r w:rsidRPr="0016270D">
        <w:rPr>
          <w:rFonts w:ascii="Verdana" w:hAnsi="Verdana"/>
          <w:b/>
          <w:bCs/>
          <w:sz w:val="18"/>
          <w:szCs w:val="18"/>
          <w:lang w:val="en-GB"/>
        </w:rPr>
        <w:t>mprovement</w:t>
      </w:r>
      <w:r w:rsidRPr="0016270D" w:rsidR="00447671">
        <w:rPr>
          <w:rFonts w:ascii="Verdana" w:hAnsi="Verdana"/>
          <w:b/>
          <w:bCs/>
          <w:sz w:val="18"/>
          <w:szCs w:val="18"/>
          <w:lang w:val="en-GB"/>
        </w:rPr>
        <w:t xml:space="preserve"> and</w:t>
      </w:r>
      <w:r w:rsidRPr="0016270D" w:rsidR="009A24E5">
        <w:rPr>
          <w:rFonts w:ascii="Verdana" w:hAnsi="Verdana"/>
          <w:b/>
          <w:bCs/>
          <w:sz w:val="18"/>
          <w:szCs w:val="18"/>
          <w:lang w:val="en-GB"/>
        </w:rPr>
        <w:t xml:space="preserve"> </w:t>
      </w:r>
      <w:r w:rsidRPr="0016270D" w:rsidR="00F34DAE">
        <w:rPr>
          <w:rFonts w:ascii="Verdana" w:hAnsi="Verdana"/>
          <w:b/>
          <w:bCs/>
          <w:sz w:val="18"/>
          <w:szCs w:val="18"/>
          <w:lang w:val="en-GB"/>
        </w:rPr>
        <w:t>T</w:t>
      </w:r>
      <w:r w:rsidRPr="0016270D" w:rsidR="009A24E5">
        <w:rPr>
          <w:rFonts w:ascii="Verdana" w:hAnsi="Verdana"/>
          <w:b/>
          <w:bCs/>
          <w:sz w:val="18"/>
          <w:szCs w:val="18"/>
          <w:lang w:val="en-GB"/>
        </w:rPr>
        <w:t xml:space="preserve">echnical </w:t>
      </w:r>
      <w:r w:rsidRPr="0016270D" w:rsidR="00F34DAE">
        <w:rPr>
          <w:rFonts w:ascii="Verdana" w:hAnsi="Verdana"/>
          <w:b/>
          <w:bCs/>
          <w:sz w:val="18"/>
          <w:szCs w:val="18"/>
          <w:lang w:val="en-GB"/>
        </w:rPr>
        <w:t>D</w:t>
      </w:r>
      <w:r w:rsidRPr="0016270D" w:rsidR="009A24E5">
        <w:rPr>
          <w:rFonts w:ascii="Verdana" w:hAnsi="Verdana"/>
          <w:b/>
          <w:bCs/>
          <w:sz w:val="18"/>
          <w:szCs w:val="18"/>
          <w:lang w:val="en-GB"/>
        </w:rPr>
        <w:t>etails</w:t>
      </w:r>
    </w:p>
    <w:p w:rsidRPr="0016270D" w:rsidR="004257FB" w:rsidP="0016270D" w:rsidRDefault="004257FB" w14:paraId="673CB51E" w14:textId="4EEFEC7A">
      <w:pPr>
        <w:rPr>
          <w:rFonts w:ascii="Verdana" w:hAnsi="Verdana"/>
          <w:b/>
          <w:bCs/>
          <w:sz w:val="18"/>
          <w:szCs w:val="18"/>
          <w:lang w:val="en-GB"/>
        </w:rPr>
      </w:pPr>
      <w:r w:rsidRPr="0016270D">
        <w:rPr>
          <w:rFonts w:ascii="Verdana" w:hAnsi="Verdana"/>
          <w:b/>
          <w:bCs/>
          <w:sz w:val="18"/>
          <w:szCs w:val="18"/>
          <w:lang w:val="en-GB"/>
        </w:rPr>
        <w:t xml:space="preserve">We </w:t>
      </w:r>
      <w:r w:rsidRPr="0016270D" w:rsidR="00164D84">
        <w:rPr>
          <w:rFonts w:ascii="Verdana" w:hAnsi="Verdana"/>
          <w:b/>
          <w:bCs/>
          <w:sz w:val="18"/>
          <w:szCs w:val="18"/>
          <w:lang w:val="en-GB"/>
        </w:rPr>
        <w:t xml:space="preserve">call on </w:t>
      </w:r>
      <w:r w:rsidRPr="0016270D">
        <w:rPr>
          <w:rFonts w:ascii="Verdana" w:hAnsi="Verdana"/>
          <w:b/>
          <w:bCs/>
          <w:sz w:val="18"/>
          <w:szCs w:val="18"/>
          <w:lang w:val="en-GB"/>
        </w:rPr>
        <w:t xml:space="preserve">the Commission to propose </w:t>
      </w:r>
      <w:r w:rsidRPr="0016270D" w:rsidR="00D33331">
        <w:rPr>
          <w:rFonts w:ascii="Verdana" w:hAnsi="Verdana"/>
          <w:b/>
          <w:bCs/>
          <w:sz w:val="18"/>
          <w:szCs w:val="18"/>
          <w:lang w:val="en-GB"/>
        </w:rPr>
        <w:t>legislation</w:t>
      </w:r>
      <w:r w:rsidRPr="0016270D">
        <w:rPr>
          <w:rFonts w:ascii="Verdana" w:hAnsi="Verdana"/>
          <w:b/>
          <w:bCs/>
          <w:sz w:val="18"/>
          <w:szCs w:val="18"/>
          <w:lang w:val="en-GB"/>
        </w:rPr>
        <w:t xml:space="preserve"> for facilitating opening payment accounts for </w:t>
      </w:r>
      <w:r w:rsidRPr="0016270D" w:rsidR="003A495E">
        <w:rPr>
          <w:rFonts w:ascii="Verdana" w:hAnsi="Verdana"/>
          <w:b/>
          <w:bCs/>
          <w:sz w:val="18"/>
          <w:szCs w:val="18"/>
          <w:lang w:val="en-GB"/>
        </w:rPr>
        <w:t>business customers</w:t>
      </w:r>
      <w:r w:rsidRPr="0016270D" w:rsidR="00D33331">
        <w:rPr>
          <w:rFonts w:ascii="Verdana" w:hAnsi="Verdana"/>
          <w:b/>
          <w:bCs/>
          <w:sz w:val="18"/>
          <w:szCs w:val="18"/>
          <w:lang w:val="en-GB"/>
        </w:rPr>
        <w:t>, extend</w:t>
      </w:r>
      <w:r w:rsidRPr="0016270D" w:rsidR="00BA3CD1">
        <w:rPr>
          <w:rFonts w:ascii="Verdana" w:hAnsi="Verdana"/>
          <w:b/>
          <w:bCs/>
          <w:sz w:val="18"/>
          <w:szCs w:val="18"/>
          <w:lang w:val="en-GB"/>
        </w:rPr>
        <w:t>ing</w:t>
      </w:r>
      <w:r w:rsidRPr="0016270D" w:rsidR="00D33331">
        <w:rPr>
          <w:rFonts w:ascii="Verdana" w:hAnsi="Verdana"/>
          <w:b/>
          <w:bCs/>
          <w:sz w:val="18"/>
          <w:szCs w:val="18"/>
          <w:lang w:val="en-GB"/>
        </w:rPr>
        <w:t xml:space="preserve"> the scope of the </w:t>
      </w:r>
      <w:r w:rsidRPr="0016270D" w:rsidR="000211B0">
        <w:rPr>
          <w:rFonts w:ascii="Verdana" w:hAnsi="Verdana"/>
          <w:b/>
          <w:bCs/>
          <w:sz w:val="18"/>
          <w:szCs w:val="18"/>
          <w:lang w:val="en-GB"/>
        </w:rPr>
        <w:t xml:space="preserve">existing </w:t>
      </w:r>
      <w:r w:rsidRPr="0016270D" w:rsidR="00D33331">
        <w:rPr>
          <w:rFonts w:ascii="Verdana" w:hAnsi="Verdana"/>
          <w:b/>
          <w:bCs/>
          <w:sz w:val="18"/>
          <w:szCs w:val="18"/>
          <w:lang w:val="en-GB"/>
        </w:rPr>
        <w:t xml:space="preserve">PAD </w:t>
      </w:r>
      <w:r w:rsidRPr="0016270D" w:rsidR="000211B0">
        <w:rPr>
          <w:rFonts w:ascii="Verdana" w:hAnsi="Verdana"/>
          <w:b/>
          <w:bCs/>
          <w:sz w:val="18"/>
          <w:szCs w:val="18"/>
          <w:lang w:val="en-GB"/>
        </w:rPr>
        <w:t xml:space="preserve">to business customers, </w:t>
      </w:r>
      <w:r w:rsidR="00EA26DA">
        <w:rPr>
          <w:rFonts w:ascii="Verdana" w:hAnsi="Verdana"/>
          <w:b/>
          <w:bCs/>
          <w:sz w:val="18"/>
          <w:szCs w:val="18"/>
          <w:lang w:val="en-GB"/>
        </w:rPr>
        <w:t xml:space="preserve">reviewing the modalities of the PAD </w:t>
      </w:r>
      <w:proofErr w:type="gramStart"/>
      <w:r w:rsidR="00EA26DA">
        <w:rPr>
          <w:rFonts w:ascii="Verdana" w:hAnsi="Verdana"/>
          <w:b/>
          <w:bCs/>
          <w:sz w:val="18"/>
          <w:szCs w:val="18"/>
          <w:lang w:val="en-GB"/>
        </w:rPr>
        <w:t>in order to</w:t>
      </w:r>
      <w:proofErr w:type="gramEnd"/>
      <w:r w:rsidR="00EA26DA">
        <w:rPr>
          <w:rFonts w:ascii="Verdana" w:hAnsi="Verdana"/>
          <w:b/>
          <w:bCs/>
          <w:sz w:val="18"/>
          <w:szCs w:val="18"/>
          <w:lang w:val="en-GB"/>
        </w:rPr>
        <w:t xml:space="preserve"> ensure they meet the needs of businesses </w:t>
      </w:r>
      <w:r w:rsidRPr="0016270D" w:rsidR="00D33331">
        <w:rPr>
          <w:rFonts w:ascii="Verdana" w:hAnsi="Verdana"/>
          <w:b/>
          <w:bCs/>
          <w:sz w:val="18"/>
          <w:szCs w:val="18"/>
          <w:lang w:val="en-GB"/>
        </w:rPr>
        <w:t xml:space="preserve">and including </w:t>
      </w:r>
      <w:r w:rsidRPr="0016270D">
        <w:rPr>
          <w:rFonts w:ascii="Verdana" w:hAnsi="Verdana"/>
          <w:b/>
          <w:bCs/>
          <w:sz w:val="18"/>
          <w:szCs w:val="18"/>
          <w:lang w:val="en-GB"/>
        </w:rPr>
        <w:t xml:space="preserve">best practices of </w:t>
      </w:r>
      <w:r w:rsidRPr="0016270D" w:rsidR="00816EC9">
        <w:rPr>
          <w:rFonts w:ascii="Verdana" w:hAnsi="Verdana"/>
          <w:b/>
          <w:bCs/>
          <w:sz w:val="18"/>
          <w:szCs w:val="18"/>
          <w:lang w:val="en-GB"/>
        </w:rPr>
        <w:t>member states</w:t>
      </w:r>
      <w:r w:rsidRPr="0016270D">
        <w:rPr>
          <w:rFonts w:ascii="Verdana" w:hAnsi="Verdana"/>
          <w:b/>
          <w:bCs/>
          <w:sz w:val="18"/>
          <w:szCs w:val="18"/>
          <w:lang w:val="en-GB"/>
        </w:rPr>
        <w:t xml:space="preserve">. </w:t>
      </w:r>
    </w:p>
    <w:p w:rsidRPr="0016270D" w:rsidR="007E31BE" w:rsidP="0016270D" w:rsidRDefault="007E31BE" w14:paraId="03CE32C6" w14:textId="6E0CE90E">
      <w:pPr>
        <w:rPr>
          <w:rFonts w:ascii="Verdana" w:hAnsi="Verdana"/>
          <w:sz w:val="18"/>
          <w:szCs w:val="18"/>
          <w:lang w:val="en-GB"/>
        </w:rPr>
      </w:pPr>
      <w:r w:rsidRPr="0016270D">
        <w:rPr>
          <w:rFonts w:ascii="Verdana" w:hAnsi="Verdana"/>
          <w:b/>
          <w:bCs/>
          <w:sz w:val="18"/>
          <w:szCs w:val="18"/>
          <w:lang w:val="en-GB"/>
        </w:rPr>
        <w:t xml:space="preserve">An individual ML or </w:t>
      </w:r>
      <w:r w:rsidR="001E50F2">
        <w:rPr>
          <w:rFonts w:ascii="Verdana" w:hAnsi="Verdana"/>
          <w:b/>
          <w:bCs/>
          <w:sz w:val="18"/>
          <w:szCs w:val="18"/>
          <w:lang w:val="en-GB"/>
        </w:rPr>
        <w:t>terrorist financing (</w:t>
      </w:r>
      <w:r w:rsidRPr="0016270D">
        <w:rPr>
          <w:rFonts w:ascii="Verdana" w:hAnsi="Verdana"/>
          <w:b/>
          <w:bCs/>
          <w:sz w:val="18"/>
          <w:szCs w:val="18"/>
          <w:lang w:val="en-GB"/>
        </w:rPr>
        <w:t>TF</w:t>
      </w:r>
      <w:r w:rsidR="001E50F2">
        <w:rPr>
          <w:rFonts w:ascii="Verdana" w:hAnsi="Verdana"/>
          <w:b/>
          <w:bCs/>
          <w:sz w:val="18"/>
          <w:szCs w:val="18"/>
          <w:lang w:val="en-GB"/>
        </w:rPr>
        <w:t>)</w:t>
      </w:r>
      <w:r w:rsidRPr="0016270D">
        <w:rPr>
          <w:rFonts w:ascii="Verdana" w:hAnsi="Verdana"/>
          <w:b/>
          <w:bCs/>
          <w:sz w:val="18"/>
          <w:szCs w:val="18"/>
          <w:lang w:val="en-GB"/>
        </w:rPr>
        <w:t xml:space="preserve"> risk</w:t>
      </w:r>
      <w:r w:rsidRPr="0016270D" w:rsidR="00683350">
        <w:rPr>
          <w:rFonts w:ascii="Verdana" w:hAnsi="Verdana"/>
          <w:b/>
          <w:bCs/>
          <w:sz w:val="18"/>
          <w:szCs w:val="18"/>
          <w:lang w:val="en-GB"/>
        </w:rPr>
        <w:t xml:space="preserve"> should be an exception when it comes to accessing </w:t>
      </w:r>
      <w:r w:rsidR="00C86717">
        <w:rPr>
          <w:rFonts w:ascii="Verdana" w:hAnsi="Verdana"/>
          <w:b/>
          <w:bCs/>
          <w:sz w:val="18"/>
          <w:szCs w:val="18"/>
          <w:lang w:val="en-GB"/>
        </w:rPr>
        <w:t>a payment account</w:t>
      </w:r>
      <w:r w:rsidRPr="0016270D" w:rsidR="00683350">
        <w:rPr>
          <w:rFonts w:ascii="Verdana" w:hAnsi="Verdana"/>
          <w:b/>
          <w:bCs/>
          <w:sz w:val="18"/>
          <w:szCs w:val="18"/>
          <w:lang w:val="en-GB"/>
        </w:rPr>
        <w:t>.</w:t>
      </w:r>
      <w:r w:rsidRPr="0016270D" w:rsidR="00683350">
        <w:rPr>
          <w:rFonts w:ascii="Verdana" w:hAnsi="Verdana"/>
          <w:sz w:val="18"/>
          <w:szCs w:val="18"/>
          <w:lang w:val="en-GB"/>
        </w:rPr>
        <w:t xml:space="preserve"> If a</w:t>
      </w:r>
      <w:r w:rsidR="003644EF">
        <w:rPr>
          <w:rFonts w:ascii="Verdana" w:hAnsi="Verdana"/>
          <w:sz w:val="18"/>
          <w:szCs w:val="18"/>
          <w:lang w:val="en-GB"/>
        </w:rPr>
        <w:t>n</w:t>
      </w:r>
      <w:r w:rsidRPr="0016270D" w:rsidR="00683350">
        <w:rPr>
          <w:rFonts w:ascii="Verdana" w:hAnsi="Verdana"/>
          <w:sz w:val="18"/>
          <w:szCs w:val="18"/>
          <w:lang w:val="en-GB"/>
        </w:rPr>
        <w:t xml:space="preserve"> individual client poses a </w:t>
      </w:r>
      <w:r w:rsidR="00C86717">
        <w:rPr>
          <w:rFonts w:ascii="Verdana" w:hAnsi="Verdana"/>
          <w:sz w:val="18"/>
          <w:szCs w:val="18"/>
          <w:lang w:val="en-GB"/>
        </w:rPr>
        <w:t xml:space="preserve">ML/TF </w:t>
      </w:r>
      <w:r w:rsidRPr="0016270D" w:rsidR="00683350">
        <w:rPr>
          <w:rFonts w:ascii="Verdana" w:hAnsi="Verdana"/>
          <w:sz w:val="18"/>
          <w:szCs w:val="18"/>
          <w:lang w:val="en-GB"/>
        </w:rPr>
        <w:t xml:space="preserve">risk for the financial institution, </w:t>
      </w:r>
      <w:r w:rsidRPr="0016270D">
        <w:rPr>
          <w:rFonts w:ascii="Verdana" w:hAnsi="Verdana"/>
          <w:sz w:val="18"/>
          <w:szCs w:val="18"/>
          <w:lang w:val="en-GB"/>
        </w:rPr>
        <w:t>the financial institution must take mitigating measures. If measures are not sufficient</w:t>
      </w:r>
      <w:r w:rsidR="00C86717">
        <w:rPr>
          <w:rFonts w:ascii="Verdana" w:hAnsi="Verdana"/>
          <w:sz w:val="18"/>
          <w:szCs w:val="18"/>
          <w:lang w:val="en-GB"/>
        </w:rPr>
        <w:t xml:space="preserve"> to mitigate the risk</w:t>
      </w:r>
      <w:r w:rsidRPr="0016270D">
        <w:rPr>
          <w:rFonts w:ascii="Verdana" w:hAnsi="Verdana"/>
          <w:sz w:val="18"/>
          <w:szCs w:val="18"/>
          <w:lang w:val="en-GB"/>
        </w:rPr>
        <w:t xml:space="preserve">, </w:t>
      </w:r>
      <w:r w:rsidRPr="0016270D" w:rsidR="00683350">
        <w:rPr>
          <w:rFonts w:ascii="Verdana" w:hAnsi="Verdana"/>
          <w:sz w:val="18"/>
          <w:szCs w:val="18"/>
          <w:lang w:val="en-GB"/>
        </w:rPr>
        <w:t xml:space="preserve">the </w:t>
      </w:r>
      <w:r w:rsidR="00103836">
        <w:rPr>
          <w:rFonts w:ascii="Verdana" w:hAnsi="Verdana"/>
          <w:sz w:val="18"/>
          <w:szCs w:val="18"/>
          <w:lang w:val="en-GB"/>
        </w:rPr>
        <w:t>business customer</w:t>
      </w:r>
      <w:r w:rsidRPr="0016270D" w:rsidR="00103836">
        <w:rPr>
          <w:rFonts w:ascii="Verdana" w:hAnsi="Verdana"/>
          <w:sz w:val="18"/>
          <w:szCs w:val="18"/>
          <w:lang w:val="en-GB"/>
        </w:rPr>
        <w:t xml:space="preserve"> </w:t>
      </w:r>
      <w:r w:rsidR="00207BAB">
        <w:rPr>
          <w:rFonts w:ascii="Verdana" w:hAnsi="Verdana"/>
          <w:sz w:val="18"/>
          <w:szCs w:val="18"/>
          <w:lang w:val="en-GB"/>
        </w:rPr>
        <w:t>must</w:t>
      </w:r>
      <w:r w:rsidRPr="0016270D" w:rsidR="00207BAB">
        <w:rPr>
          <w:rFonts w:ascii="Verdana" w:hAnsi="Verdana"/>
          <w:sz w:val="18"/>
          <w:szCs w:val="18"/>
          <w:lang w:val="en-GB"/>
        </w:rPr>
        <w:t xml:space="preserve"> </w:t>
      </w:r>
      <w:r w:rsidRPr="0016270D" w:rsidR="00683350">
        <w:rPr>
          <w:rFonts w:ascii="Verdana" w:hAnsi="Verdana"/>
          <w:sz w:val="18"/>
          <w:szCs w:val="18"/>
          <w:lang w:val="en-GB"/>
        </w:rPr>
        <w:t xml:space="preserve">be rejected. However, we </w:t>
      </w:r>
      <w:r w:rsidR="00742CCF">
        <w:rPr>
          <w:rFonts w:ascii="Verdana" w:hAnsi="Verdana"/>
          <w:sz w:val="18"/>
          <w:szCs w:val="18"/>
          <w:lang w:val="en-GB"/>
        </w:rPr>
        <w:t>must</w:t>
      </w:r>
      <w:r w:rsidRPr="0016270D" w:rsidR="00207BAB">
        <w:rPr>
          <w:rFonts w:ascii="Verdana" w:hAnsi="Verdana"/>
          <w:sz w:val="18"/>
          <w:szCs w:val="18"/>
          <w:lang w:val="en-GB"/>
        </w:rPr>
        <w:t xml:space="preserve"> </w:t>
      </w:r>
      <w:r w:rsidRPr="0016270D" w:rsidR="00683350">
        <w:rPr>
          <w:rFonts w:ascii="Verdana" w:hAnsi="Verdana"/>
          <w:sz w:val="18"/>
          <w:szCs w:val="18"/>
          <w:lang w:val="en-GB"/>
        </w:rPr>
        <w:t xml:space="preserve">ensure that this does not </w:t>
      </w:r>
      <w:r w:rsidR="00742CCF">
        <w:rPr>
          <w:rFonts w:ascii="Verdana" w:hAnsi="Verdana"/>
          <w:sz w:val="18"/>
          <w:szCs w:val="18"/>
          <w:lang w:val="en-GB"/>
        </w:rPr>
        <w:t>lead to</w:t>
      </w:r>
      <w:r w:rsidRPr="0016270D" w:rsidR="00683350">
        <w:rPr>
          <w:rFonts w:ascii="Verdana" w:hAnsi="Verdana"/>
          <w:sz w:val="18"/>
          <w:szCs w:val="18"/>
          <w:lang w:val="en-GB"/>
        </w:rPr>
        <w:t xml:space="preserve"> the rejection of </w:t>
      </w:r>
      <w:r w:rsidR="00207BAB">
        <w:rPr>
          <w:rFonts w:ascii="Verdana" w:hAnsi="Verdana"/>
          <w:sz w:val="18"/>
          <w:szCs w:val="18"/>
          <w:lang w:val="en-GB"/>
        </w:rPr>
        <w:t>entire</w:t>
      </w:r>
      <w:r w:rsidRPr="0016270D" w:rsidR="00207BAB">
        <w:rPr>
          <w:rFonts w:ascii="Verdana" w:hAnsi="Verdana"/>
          <w:sz w:val="18"/>
          <w:szCs w:val="18"/>
          <w:lang w:val="en-GB"/>
        </w:rPr>
        <w:t xml:space="preserve"> </w:t>
      </w:r>
      <w:r w:rsidR="00103836">
        <w:rPr>
          <w:rFonts w:ascii="Verdana" w:hAnsi="Verdana"/>
          <w:sz w:val="18"/>
          <w:szCs w:val="18"/>
          <w:lang w:val="en-GB"/>
        </w:rPr>
        <w:t>business</w:t>
      </w:r>
      <w:r w:rsidRPr="0016270D" w:rsidR="00103836">
        <w:rPr>
          <w:rFonts w:ascii="Verdana" w:hAnsi="Verdana"/>
          <w:sz w:val="18"/>
          <w:szCs w:val="18"/>
          <w:lang w:val="en-GB"/>
        </w:rPr>
        <w:t xml:space="preserve"> </w:t>
      </w:r>
      <w:r w:rsidRPr="0016270D" w:rsidR="00683350">
        <w:rPr>
          <w:rFonts w:ascii="Verdana" w:hAnsi="Verdana"/>
          <w:sz w:val="18"/>
          <w:szCs w:val="18"/>
          <w:lang w:val="en-GB"/>
        </w:rPr>
        <w:t xml:space="preserve">groups solely </w:t>
      </w:r>
      <w:r w:rsidR="00742CCF">
        <w:rPr>
          <w:rFonts w:ascii="Verdana" w:hAnsi="Verdana"/>
          <w:sz w:val="18"/>
          <w:szCs w:val="18"/>
          <w:lang w:val="en-GB"/>
        </w:rPr>
        <w:t>due to</w:t>
      </w:r>
      <w:r w:rsidRPr="0016270D" w:rsidR="00683350">
        <w:rPr>
          <w:rFonts w:ascii="Verdana" w:hAnsi="Verdana"/>
          <w:sz w:val="18"/>
          <w:szCs w:val="18"/>
          <w:lang w:val="en-GB"/>
        </w:rPr>
        <w:t xml:space="preserve"> an inherently higher sector risk. </w:t>
      </w:r>
      <w:r w:rsidR="00D25C95">
        <w:rPr>
          <w:rFonts w:ascii="Verdana" w:hAnsi="Verdana"/>
          <w:sz w:val="18"/>
          <w:szCs w:val="18"/>
          <w:lang w:val="en-GB"/>
        </w:rPr>
        <w:t>I</w:t>
      </w:r>
      <w:r w:rsidRPr="0016270D">
        <w:rPr>
          <w:rFonts w:ascii="Verdana" w:hAnsi="Verdana"/>
          <w:sz w:val="18"/>
          <w:szCs w:val="18"/>
          <w:lang w:val="en-GB"/>
        </w:rPr>
        <w:t xml:space="preserve">t is important to make sure that </w:t>
      </w:r>
      <w:r w:rsidRPr="0016270D" w:rsidR="00103836">
        <w:rPr>
          <w:rFonts w:ascii="Verdana" w:hAnsi="Verdana"/>
          <w:sz w:val="18"/>
          <w:szCs w:val="18"/>
          <w:lang w:val="en-GB"/>
        </w:rPr>
        <w:t xml:space="preserve">financial institutions </w:t>
      </w:r>
      <w:r w:rsidR="00103836">
        <w:rPr>
          <w:rFonts w:ascii="Verdana" w:hAnsi="Verdana"/>
          <w:sz w:val="18"/>
          <w:szCs w:val="18"/>
          <w:lang w:val="en-GB"/>
        </w:rPr>
        <w:t xml:space="preserve">do not misuse </w:t>
      </w:r>
      <w:r w:rsidR="00207BAB">
        <w:rPr>
          <w:rFonts w:ascii="Verdana" w:hAnsi="Verdana"/>
          <w:sz w:val="18"/>
          <w:szCs w:val="18"/>
          <w:lang w:val="en-GB"/>
        </w:rPr>
        <w:t>AMLD</w:t>
      </w:r>
      <w:r w:rsidRPr="0016270D">
        <w:rPr>
          <w:rFonts w:ascii="Verdana" w:hAnsi="Verdana"/>
          <w:sz w:val="18"/>
          <w:szCs w:val="18"/>
          <w:lang w:val="en-GB"/>
        </w:rPr>
        <w:t xml:space="preserve"> </w:t>
      </w:r>
      <w:r w:rsidR="00103836">
        <w:rPr>
          <w:rFonts w:ascii="Verdana" w:hAnsi="Verdana"/>
          <w:sz w:val="18"/>
          <w:szCs w:val="18"/>
          <w:lang w:val="en-GB"/>
        </w:rPr>
        <w:t xml:space="preserve">as </w:t>
      </w:r>
      <w:r w:rsidRPr="0016270D">
        <w:rPr>
          <w:rFonts w:ascii="Verdana" w:hAnsi="Verdana"/>
          <w:sz w:val="18"/>
          <w:szCs w:val="18"/>
          <w:lang w:val="en-GB"/>
        </w:rPr>
        <w:t>a basis for rejection</w:t>
      </w:r>
      <w:r w:rsidR="00742CCF">
        <w:rPr>
          <w:rFonts w:ascii="Verdana" w:hAnsi="Verdana"/>
          <w:sz w:val="18"/>
          <w:szCs w:val="18"/>
          <w:lang w:val="en-GB"/>
        </w:rPr>
        <w:t>s</w:t>
      </w:r>
      <w:r w:rsidRPr="0016270D">
        <w:rPr>
          <w:rFonts w:ascii="Verdana" w:hAnsi="Verdana"/>
          <w:sz w:val="18"/>
          <w:szCs w:val="18"/>
          <w:lang w:val="en-GB"/>
        </w:rPr>
        <w:t xml:space="preserve">. </w:t>
      </w:r>
    </w:p>
    <w:p w:rsidR="00155180" w:rsidP="0016270D" w:rsidRDefault="007E31BE" w14:paraId="1E868D51" w14:textId="1B498374">
      <w:pPr>
        <w:rPr>
          <w:rFonts w:ascii="Verdana" w:hAnsi="Verdana"/>
          <w:sz w:val="18"/>
          <w:szCs w:val="18"/>
          <w:lang w:val="en-GB"/>
        </w:rPr>
      </w:pPr>
      <w:r w:rsidRPr="0016270D">
        <w:rPr>
          <w:rFonts w:ascii="Verdana" w:hAnsi="Verdana"/>
          <w:b/>
          <w:bCs/>
          <w:sz w:val="18"/>
          <w:szCs w:val="18"/>
          <w:lang w:val="en-GB"/>
        </w:rPr>
        <w:t xml:space="preserve">Broadening the scope of the PAD would be most fruitful. </w:t>
      </w:r>
      <w:r w:rsidR="003534D4">
        <w:rPr>
          <w:rFonts w:ascii="Verdana" w:hAnsi="Verdana"/>
          <w:sz w:val="18"/>
          <w:szCs w:val="18"/>
          <w:lang w:val="en-GB"/>
        </w:rPr>
        <w:t>This</w:t>
      </w:r>
      <w:r w:rsidRPr="0016270D" w:rsidR="00D33331">
        <w:rPr>
          <w:rFonts w:ascii="Verdana" w:hAnsi="Verdana"/>
          <w:sz w:val="18"/>
          <w:szCs w:val="18"/>
          <w:lang w:val="en-GB"/>
        </w:rPr>
        <w:t xml:space="preserve"> </w:t>
      </w:r>
      <w:r w:rsidRPr="0016270D" w:rsidR="0020281F">
        <w:rPr>
          <w:rFonts w:ascii="Verdana" w:hAnsi="Verdana"/>
          <w:sz w:val="18"/>
          <w:szCs w:val="18"/>
          <w:lang w:val="en-GB"/>
        </w:rPr>
        <w:t xml:space="preserve">would enhance the efforts of </w:t>
      </w:r>
      <w:r w:rsidRPr="0016270D" w:rsidR="003F0232">
        <w:rPr>
          <w:rFonts w:ascii="Verdana" w:hAnsi="Verdana"/>
          <w:sz w:val="18"/>
          <w:szCs w:val="18"/>
          <w:lang w:val="en-GB"/>
        </w:rPr>
        <w:t xml:space="preserve">the </w:t>
      </w:r>
      <w:r w:rsidRPr="0016270D" w:rsidR="0020281F">
        <w:rPr>
          <w:rFonts w:ascii="Verdana" w:hAnsi="Verdana"/>
          <w:sz w:val="18"/>
          <w:szCs w:val="18"/>
          <w:lang w:val="en-GB"/>
        </w:rPr>
        <w:t>new Commission to strengthen the EU’s internal market, competitiveness, and transparency.</w:t>
      </w:r>
      <w:r w:rsidRPr="0016270D" w:rsidR="003F0232">
        <w:rPr>
          <w:rFonts w:ascii="Verdana" w:hAnsi="Verdana"/>
          <w:sz w:val="18"/>
          <w:szCs w:val="18"/>
          <w:lang w:val="en-GB"/>
        </w:rPr>
        <w:t xml:space="preserve"> </w:t>
      </w:r>
      <w:r w:rsidRPr="00A53E77" w:rsidR="00A53E77">
        <w:rPr>
          <w:rFonts w:ascii="Verdana" w:hAnsi="Verdana"/>
          <w:sz w:val="18"/>
          <w:szCs w:val="18"/>
          <w:lang w:val="en-GB"/>
        </w:rPr>
        <w:t>In addition, it would enhance the resilience of Europe’s defence(industry) and security. </w:t>
      </w:r>
      <w:r w:rsidRPr="0016270D" w:rsidR="002C6BF3">
        <w:rPr>
          <w:rFonts w:ascii="Verdana" w:hAnsi="Verdana"/>
          <w:sz w:val="18"/>
          <w:szCs w:val="18"/>
          <w:lang w:val="en-GB"/>
        </w:rPr>
        <w:t xml:space="preserve">Expanding the scope of this existing directive ensures alignment with current regulations for </w:t>
      </w:r>
      <w:r w:rsidR="00B64E7D">
        <w:rPr>
          <w:rFonts w:ascii="Verdana" w:hAnsi="Verdana"/>
          <w:sz w:val="18"/>
          <w:szCs w:val="18"/>
          <w:lang w:val="en-GB"/>
        </w:rPr>
        <w:t>natural persons</w:t>
      </w:r>
      <w:r w:rsidRPr="0016270D" w:rsidR="002C6BF3">
        <w:rPr>
          <w:rFonts w:ascii="Verdana" w:hAnsi="Verdana"/>
          <w:sz w:val="18"/>
          <w:szCs w:val="18"/>
          <w:lang w:val="en-GB"/>
        </w:rPr>
        <w:t xml:space="preserve">, avoids adding more complexity to the regulatory framework of payments overall, and offers a time-efficient approach. </w:t>
      </w:r>
      <w:r w:rsidRPr="0016270D">
        <w:rPr>
          <w:rFonts w:ascii="Verdana" w:hAnsi="Verdana"/>
          <w:sz w:val="18"/>
          <w:szCs w:val="18"/>
          <w:lang w:val="en-GB"/>
        </w:rPr>
        <w:t xml:space="preserve">We consider it to be important that </w:t>
      </w:r>
      <w:r w:rsidR="00C02F86">
        <w:rPr>
          <w:rFonts w:ascii="Verdana" w:hAnsi="Verdana"/>
          <w:sz w:val="18"/>
          <w:szCs w:val="18"/>
          <w:lang w:val="en-GB"/>
        </w:rPr>
        <w:t xml:space="preserve">the </w:t>
      </w:r>
      <w:r w:rsidRPr="0016270D">
        <w:rPr>
          <w:rFonts w:ascii="Verdana" w:hAnsi="Verdana"/>
          <w:sz w:val="18"/>
          <w:szCs w:val="18"/>
          <w:lang w:val="en-GB"/>
        </w:rPr>
        <w:t>possibility for dispute resolution</w:t>
      </w:r>
      <w:r w:rsidR="00C02F86">
        <w:rPr>
          <w:rFonts w:ascii="Verdana" w:hAnsi="Verdana"/>
          <w:sz w:val="18"/>
          <w:szCs w:val="18"/>
          <w:lang w:val="en-GB"/>
        </w:rPr>
        <w:t xml:space="preserve"> exists</w:t>
      </w:r>
      <w:r w:rsidRPr="0016270D">
        <w:rPr>
          <w:rFonts w:ascii="Verdana" w:hAnsi="Verdana"/>
          <w:sz w:val="18"/>
          <w:szCs w:val="18"/>
          <w:lang w:val="en-GB"/>
        </w:rPr>
        <w:t xml:space="preserve">, </w:t>
      </w:r>
      <w:r w:rsidR="00C02F86">
        <w:rPr>
          <w:rFonts w:ascii="Verdana" w:hAnsi="Verdana"/>
          <w:sz w:val="18"/>
          <w:szCs w:val="18"/>
          <w:lang w:val="en-GB"/>
        </w:rPr>
        <w:t>as</w:t>
      </w:r>
      <w:r w:rsidRPr="0016270D" w:rsidR="00C02F86">
        <w:rPr>
          <w:rFonts w:ascii="Verdana" w:hAnsi="Verdana"/>
          <w:sz w:val="18"/>
          <w:szCs w:val="18"/>
          <w:lang w:val="en-GB"/>
        </w:rPr>
        <w:t xml:space="preserve"> </w:t>
      </w:r>
      <w:r w:rsidR="00C02F86">
        <w:rPr>
          <w:rFonts w:ascii="Verdana" w:hAnsi="Verdana"/>
          <w:sz w:val="18"/>
          <w:szCs w:val="18"/>
          <w:lang w:val="en-GB"/>
        </w:rPr>
        <w:t xml:space="preserve">provided </w:t>
      </w:r>
      <w:r w:rsidRPr="0016270D">
        <w:rPr>
          <w:rFonts w:ascii="Verdana" w:hAnsi="Verdana"/>
          <w:sz w:val="18"/>
          <w:szCs w:val="18"/>
          <w:lang w:val="en-GB"/>
        </w:rPr>
        <w:t>in the PAD</w:t>
      </w:r>
      <w:r w:rsidR="00C02F86">
        <w:rPr>
          <w:rFonts w:ascii="Verdana" w:hAnsi="Verdana"/>
          <w:sz w:val="18"/>
          <w:szCs w:val="18"/>
          <w:lang w:val="en-GB"/>
        </w:rPr>
        <w:t xml:space="preserve"> as well</w:t>
      </w:r>
      <w:r w:rsidRPr="0016270D">
        <w:rPr>
          <w:rFonts w:ascii="Verdana" w:hAnsi="Verdana"/>
          <w:sz w:val="18"/>
          <w:szCs w:val="18"/>
          <w:lang w:val="en-GB"/>
        </w:rPr>
        <w:t>.</w:t>
      </w:r>
      <w:r w:rsidR="00B64E7D">
        <w:rPr>
          <w:rFonts w:ascii="Verdana" w:hAnsi="Verdana"/>
          <w:sz w:val="18"/>
          <w:szCs w:val="18"/>
          <w:lang w:val="en-GB"/>
        </w:rPr>
        <w:t xml:space="preserve"> In addition, the Netherlands is exploring potential improvements to the </w:t>
      </w:r>
      <w:proofErr w:type="gramStart"/>
      <w:r w:rsidR="00B64E7D">
        <w:rPr>
          <w:rFonts w:ascii="Verdana" w:hAnsi="Verdana"/>
          <w:sz w:val="18"/>
          <w:szCs w:val="18"/>
          <w:lang w:val="en-GB"/>
        </w:rPr>
        <w:t>PAD</w:t>
      </w:r>
      <w:proofErr w:type="gramEnd"/>
      <w:r w:rsidR="00B64E7D">
        <w:rPr>
          <w:rFonts w:ascii="Verdana" w:hAnsi="Verdana"/>
          <w:sz w:val="18"/>
          <w:szCs w:val="18"/>
          <w:lang w:val="en-GB"/>
        </w:rPr>
        <w:t xml:space="preserve"> and we will inform the European Commission on our outcomes. </w:t>
      </w:r>
    </w:p>
    <w:p w:rsidR="00155180" w:rsidRDefault="00155180" w14:paraId="6E44A785" w14:textId="77777777">
      <w:pPr>
        <w:rPr>
          <w:rFonts w:ascii="Verdana" w:hAnsi="Verdana"/>
          <w:sz w:val="18"/>
          <w:szCs w:val="18"/>
          <w:lang w:val="en-GB"/>
        </w:rPr>
      </w:pPr>
      <w:r>
        <w:rPr>
          <w:rFonts w:ascii="Verdana" w:hAnsi="Verdana"/>
          <w:sz w:val="18"/>
          <w:szCs w:val="18"/>
          <w:lang w:val="en-GB"/>
        </w:rPr>
        <w:br w:type="page"/>
      </w:r>
    </w:p>
    <w:p w:rsidRPr="0016270D" w:rsidR="0020281F" w:rsidP="0016270D" w:rsidRDefault="0020281F" w14:paraId="604D9492" w14:textId="77777777">
      <w:pPr>
        <w:rPr>
          <w:rFonts w:ascii="Verdana" w:hAnsi="Verdana"/>
          <w:sz w:val="18"/>
          <w:szCs w:val="18"/>
          <w:lang w:val="en-GB"/>
        </w:rPr>
      </w:pPr>
    </w:p>
    <w:p w:rsidRPr="0016270D" w:rsidR="00924AD4" w:rsidP="0016270D" w:rsidRDefault="004257FB" w14:paraId="3340CE8E" w14:textId="598B6168">
      <w:pPr>
        <w:rPr>
          <w:rFonts w:ascii="Verdana" w:hAnsi="Verdana"/>
          <w:i/>
          <w:iCs/>
          <w:sz w:val="18"/>
          <w:szCs w:val="18"/>
          <w:lang w:val="en-GB"/>
        </w:rPr>
      </w:pPr>
      <w:r w:rsidRPr="0016270D">
        <w:rPr>
          <w:rFonts w:ascii="Verdana" w:hAnsi="Verdana"/>
          <w:i/>
          <w:iCs/>
          <w:sz w:val="18"/>
          <w:szCs w:val="18"/>
          <w:lang w:val="en-GB"/>
        </w:rPr>
        <w:t>Technical details</w:t>
      </w:r>
    </w:p>
    <w:p w:rsidRPr="0016270D" w:rsidR="00FF620C" w:rsidP="0016270D" w:rsidRDefault="004D6FB0" w14:paraId="7FDF26A6" w14:textId="10CDCF7F">
      <w:pPr>
        <w:rPr>
          <w:rFonts w:ascii="Verdana" w:hAnsi="Verdana"/>
          <w:sz w:val="18"/>
          <w:szCs w:val="18"/>
          <w:lang w:val="en-GB"/>
        </w:rPr>
      </w:pPr>
      <w:bookmarkStart w:name="_Hlk184826989" w:id="4"/>
      <w:r w:rsidRPr="0016270D">
        <w:rPr>
          <w:rFonts w:ascii="Verdana" w:hAnsi="Verdana"/>
          <w:sz w:val="18"/>
          <w:szCs w:val="18"/>
          <w:lang w:val="en-GB"/>
        </w:rPr>
        <w:t xml:space="preserve">We would like to highlight </w:t>
      </w:r>
      <w:proofErr w:type="gramStart"/>
      <w:r w:rsidRPr="0016270D">
        <w:rPr>
          <w:rFonts w:ascii="Verdana" w:hAnsi="Verdana"/>
          <w:sz w:val="18"/>
          <w:szCs w:val="18"/>
          <w:lang w:val="en-GB"/>
        </w:rPr>
        <w:t>that,</w:t>
      </w:r>
      <w:proofErr w:type="gramEnd"/>
      <w:r w:rsidRPr="0016270D">
        <w:rPr>
          <w:rFonts w:ascii="Verdana" w:hAnsi="Verdana"/>
          <w:sz w:val="18"/>
          <w:szCs w:val="18"/>
          <w:lang w:val="en-GB"/>
        </w:rPr>
        <w:t xml:space="preserve"> the following</w:t>
      </w:r>
      <w:r w:rsidRPr="0016270D" w:rsidR="003F0232">
        <w:rPr>
          <w:rFonts w:ascii="Verdana" w:hAnsi="Verdana"/>
          <w:sz w:val="18"/>
          <w:szCs w:val="18"/>
          <w:lang w:val="en-GB"/>
        </w:rPr>
        <w:t xml:space="preserve"> technical </w:t>
      </w:r>
      <w:r w:rsidRPr="0016270D" w:rsidR="003A495E">
        <w:rPr>
          <w:rFonts w:ascii="Verdana" w:hAnsi="Verdana"/>
          <w:sz w:val="18"/>
          <w:szCs w:val="18"/>
          <w:lang w:val="en-GB"/>
        </w:rPr>
        <w:t>details</w:t>
      </w:r>
      <w:r w:rsidRPr="0016270D" w:rsidR="00EC5051">
        <w:rPr>
          <w:rFonts w:ascii="Verdana" w:hAnsi="Verdana"/>
          <w:sz w:val="18"/>
          <w:szCs w:val="18"/>
          <w:lang w:val="en-GB"/>
        </w:rPr>
        <w:t xml:space="preserve"> </w:t>
      </w:r>
      <w:r w:rsidRPr="0016270D" w:rsidR="00E957D6">
        <w:rPr>
          <w:rFonts w:ascii="Verdana" w:hAnsi="Verdana"/>
          <w:sz w:val="18"/>
          <w:szCs w:val="18"/>
          <w:lang w:val="en-GB"/>
        </w:rPr>
        <w:t>are necessary to consider when</w:t>
      </w:r>
      <w:r w:rsidRPr="0016270D" w:rsidR="00EC5051">
        <w:rPr>
          <w:rFonts w:ascii="Verdana" w:hAnsi="Verdana"/>
          <w:sz w:val="18"/>
          <w:szCs w:val="18"/>
          <w:lang w:val="en-GB"/>
        </w:rPr>
        <w:t xml:space="preserve"> establishing the right for a </w:t>
      </w:r>
      <w:r w:rsidRPr="0016270D" w:rsidR="006B6D13">
        <w:rPr>
          <w:rFonts w:ascii="Verdana" w:hAnsi="Verdana"/>
          <w:sz w:val="18"/>
          <w:szCs w:val="18"/>
          <w:lang w:val="en-GB"/>
        </w:rPr>
        <w:t>(</w:t>
      </w:r>
      <w:r w:rsidRPr="0016270D" w:rsidR="00EC5051">
        <w:rPr>
          <w:rFonts w:ascii="Verdana" w:hAnsi="Verdana"/>
          <w:sz w:val="18"/>
          <w:szCs w:val="18"/>
          <w:lang w:val="en-GB"/>
        </w:rPr>
        <w:t>basic</w:t>
      </w:r>
      <w:r w:rsidRPr="0016270D" w:rsidR="006B6D13">
        <w:rPr>
          <w:rFonts w:ascii="Verdana" w:hAnsi="Verdana"/>
          <w:sz w:val="18"/>
          <w:szCs w:val="18"/>
          <w:lang w:val="en-GB"/>
        </w:rPr>
        <w:t>)</w:t>
      </w:r>
      <w:r w:rsidRPr="0016270D" w:rsidR="00FF620C">
        <w:rPr>
          <w:rFonts w:ascii="Verdana" w:hAnsi="Verdana"/>
          <w:sz w:val="18"/>
          <w:szCs w:val="18"/>
          <w:lang w:val="en-GB"/>
        </w:rPr>
        <w:t xml:space="preserve"> </w:t>
      </w:r>
      <w:r w:rsidRPr="0016270D" w:rsidR="00EC5051">
        <w:rPr>
          <w:rFonts w:ascii="Verdana" w:hAnsi="Verdana"/>
          <w:sz w:val="18"/>
          <w:szCs w:val="18"/>
          <w:lang w:val="en-GB"/>
        </w:rPr>
        <w:t>payment account for business customers</w:t>
      </w:r>
      <w:r w:rsidRPr="0016270D">
        <w:rPr>
          <w:rFonts w:ascii="Verdana" w:hAnsi="Verdana"/>
          <w:sz w:val="18"/>
          <w:szCs w:val="18"/>
          <w:lang w:val="en-GB"/>
        </w:rPr>
        <w:t>:</w:t>
      </w:r>
    </w:p>
    <w:bookmarkEnd w:id="4"/>
    <w:p w:rsidRPr="0016270D" w:rsidR="0067442F" w:rsidP="0016270D" w:rsidRDefault="00D9124A" w14:paraId="3EBE6F35" w14:textId="26C7D062">
      <w:pPr>
        <w:pStyle w:val="Lijstalinea"/>
        <w:numPr>
          <w:ilvl w:val="0"/>
          <w:numId w:val="21"/>
        </w:numPr>
        <w:rPr>
          <w:rFonts w:ascii="Verdana" w:hAnsi="Verdana"/>
          <w:sz w:val="18"/>
          <w:szCs w:val="18"/>
          <w:lang w:val="en-GB"/>
        </w:rPr>
      </w:pPr>
      <w:r>
        <w:rPr>
          <w:rFonts w:ascii="Verdana" w:hAnsi="Verdana"/>
          <w:sz w:val="18"/>
          <w:szCs w:val="18"/>
          <w:lang w:val="en-GB"/>
        </w:rPr>
        <w:t>T</w:t>
      </w:r>
      <w:r w:rsidRPr="0016270D" w:rsidR="0067442F">
        <w:rPr>
          <w:rFonts w:ascii="Verdana" w:hAnsi="Verdana"/>
          <w:sz w:val="18"/>
          <w:szCs w:val="18"/>
          <w:lang w:val="en-GB"/>
        </w:rPr>
        <w:t>he definition and scope of ‘business customers</w:t>
      </w:r>
      <w:r w:rsidR="00B1162C">
        <w:rPr>
          <w:rFonts w:ascii="Verdana" w:hAnsi="Verdana"/>
          <w:sz w:val="18"/>
          <w:szCs w:val="18"/>
          <w:lang w:val="en-GB"/>
        </w:rPr>
        <w:t>,</w:t>
      </w:r>
      <w:r w:rsidRPr="0016270D" w:rsidR="0067442F">
        <w:rPr>
          <w:rFonts w:ascii="Verdana" w:hAnsi="Verdana"/>
          <w:sz w:val="18"/>
          <w:szCs w:val="18"/>
          <w:lang w:val="en-GB"/>
        </w:rPr>
        <w:t xml:space="preserve">’ and therefore, who qualifies for the right on a basic payment </w:t>
      </w:r>
      <w:proofErr w:type="gramStart"/>
      <w:r w:rsidRPr="0016270D" w:rsidR="0067442F">
        <w:rPr>
          <w:rFonts w:ascii="Verdana" w:hAnsi="Verdana"/>
          <w:sz w:val="18"/>
          <w:szCs w:val="18"/>
          <w:lang w:val="en-GB"/>
        </w:rPr>
        <w:t>account;</w:t>
      </w:r>
      <w:proofErr w:type="gramEnd"/>
    </w:p>
    <w:p w:rsidRPr="0016270D" w:rsidR="0067442F" w:rsidP="0016270D" w:rsidRDefault="0067442F" w14:paraId="769B69D7" w14:textId="77777777">
      <w:pPr>
        <w:pStyle w:val="Lijstalinea"/>
        <w:numPr>
          <w:ilvl w:val="0"/>
          <w:numId w:val="21"/>
        </w:numPr>
        <w:rPr>
          <w:rFonts w:ascii="Verdana" w:hAnsi="Verdana"/>
          <w:sz w:val="18"/>
          <w:szCs w:val="18"/>
          <w:lang w:val="en-GB"/>
        </w:rPr>
      </w:pPr>
      <w:r w:rsidRPr="0016270D">
        <w:rPr>
          <w:rFonts w:ascii="Verdana" w:hAnsi="Verdana"/>
          <w:sz w:val="18"/>
          <w:szCs w:val="18"/>
          <w:lang w:val="en-GB"/>
        </w:rPr>
        <w:t xml:space="preserve">who should be the providers of these </w:t>
      </w:r>
      <w:proofErr w:type="gramStart"/>
      <w:r w:rsidRPr="0016270D">
        <w:rPr>
          <w:rFonts w:ascii="Verdana" w:hAnsi="Verdana"/>
          <w:sz w:val="18"/>
          <w:szCs w:val="18"/>
          <w:lang w:val="en-GB"/>
        </w:rPr>
        <w:t>accounts;</w:t>
      </w:r>
      <w:proofErr w:type="gramEnd"/>
    </w:p>
    <w:p w:rsidR="0067442F" w:rsidP="00C43071" w:rsidRDefault="00EA26DA" w14:paraId="3A314927" w14:textId="6162EF95">
      <w:pPr>
        <w:pStyle w:val="Lijstalinea"/>
        <w:numPr>
          <w:ilvl w:val="0"/>
          <w:numId w:val="21"/>
        </w:numPr>
        <w:rPr>
          <w:rFonts w:ascii="Verdana" w:hAnsi="Verdana"/>
          <w:sz w:val="18"/>
          <w:szCs w:val="18"/>
          <w:lang w:val="en-GB"/>
        </w:rPr>
      </w:pPr>
      <w:r>
        <w:rPr>
          <w:rFonts w:ascii="Verdana" w:hAnsi="Verdana"/>
          <w:sz w:val="18"/>
          <w:szCs w:val="18"/>
          <w:lang w:val="en-GB"/>
        </w:rPr>
        <w:t xml:space="preserve">whether </w:t>
      </w:r>
      <w:r w:rsidR="00C43071">
        <w:rPr>
          <w:rFonts w:ascii="Verdana" w:hAnsi="Verdana"/>
          <w:sz w:val="18"/>
          <w:szCs w:val="18"/>
          <w:lang w:val="en-GB"/>
        </w:rPr>
        <w:t>a business customer should be able to demonstrate</w:t>
      </w:r>
      <w:r w:rsidRPr="00C43071" w:rsidR="00C43071">
        <w:rPr>
          <w:rFonts w:ascii="Verdana" w:hAnsi="Verdana"/>
          <w:sz w:val="18"/>
          <w:szCs w:val="18"/>
          <w:lang w:val="en-GB"/>
        </w:rPr>
        <w:t xml:space="preserve"> a </w:t>
      </w:r>
      <w:r w:rsidRPr="007A0458" w:rsidR="00C43071">
        <w:rPr>
          <w:rFonts w:ascii="Verdana" w:hAnsi="Verdana"/>
          <w:i/>
          <w:iCs/>
          <w:sz w:val="18"/>
          <w:szCs w:val="18"/>
          <w:lang w:val="en-GB"/>
        </w:rPr>
        <w:t>genuine</w:t>
      </w:r>
      <w:r w:rsidRPr="00C43071" w:rsidR="00C43071">
        <w:rPr>
          <w:rFonts w:ascii="Verdana" w:hAnsi="Verdana"/>
          <w:sz w:val="18"/>
          <w:szCs w:val="18"/>
          <w:lang w:val="en-GB"/>
        </w:rPr>
        <w:t xml:space="preserve"> and </w:t>
      </w:r>
      <w:r w:rsidRPr="007A0458" w:rsidR="00C43071">
        <w:rPr>
          <w:rFonts w:ascii="Verdana" w:hAnsi="Verdana"/>
          <w:i/>
          <w:iCs/>
          <w:sz w:val="18"/>
          <w:szCs w:val="18"/>
          <w:lang w:val="en-GB"/>
        </w:rPr>
        <w:t>substantive</w:t>
      </w:r>
      <w:r w:rsidRPr="00C43071" w:rsidR="00C43071">
        <w:rPr>
          <w:rFonts w:ascii="Verdana" w:hAnsi="Verdana"/>
          <w:sz w:val="18"/>
          <w:szCs w:val="18"/>
          <w:lang w:val="en-GB"/>
        </w:rPr>
        <w:t xml:space="preserve"> </w:t>
      </w:r>
      <w:r w:rsidRPr="007A0458" w:rsidR="00C43071">
        <w:rPr>
          <w:rFonts w:ascii="Verdana" w:hAnsi="Verdana"/>
          <w:i/>
          <w:iCs/>
          <w:sz w:val="18"/>
          <w:szCs w:val="18"/>
          <w:lang w:val="en-GB"/>
        </w:rPr>
        <w:t>interest</w:t>
      </w:r>
      <w:r w:rsidRPr="00C43071" w:rsidR="00C43071">
        <w:rPr>
          <w:rFonts w:ascii="Verdana" w:hAnsi="Verdana"/>
          <w:sz w:val="18"/>
          <w:szCs w:val="18"/>
          <w:lang w:val="en-GB"/>
        </w:rPr>
        <w:t xml:space="preserve"> in the European </w:t>
      </w:r>
      <w:r w:rsidR="00C43071">
        <w:rPr>
          <w:rFonts w:ascii="Verdana" w:hAnsi="Verdana"/>
          <w:sz w:val="18"/>
          <w:szCs w:val="18"/>
          <w:lang w:val="en-GB"/>
        </w:rPr>
        <w:t xml:space="preserve">(internal) </w:t>
      </w:r>
      <w:proofErr w:type="gramStart"/>
      <w:r w:rsidRPr="00C43071" w:rsidR="00C43071">
        <w:rPr>
          <w:rFonts w:ascii="Verdana" w:hAnsi="Verdana"/>
          <w:sz w:val="18"/>
          <w:szCs w:val="18"/>
          <w:lang w:val="en-GB"/>
        </w:rPr>
        <w:t>market</w:t>
      </w:r>
      <w:r w:rsidRPr="003C66C9" w:rsidR="00C43071">
        <w:rPr>
          <w:rFonts w:ascii="Verdana" w:hAnsi="Verdana"/>
          <w:sz w:val="18"/>
          <w:szCs w:val="18"/>
          <w:lang w:val="en-GB"/>
        </w:rPr>
        <w:t>;</w:t>
      </w:r>
      <w:proofErr w:type="gramEnd"/>
      <w:r w:rsidRPr="007A0458" w:rsidR="0067442F">
        <w:rPr>
          <w:rFonts w:ascii="Verdana" w:hAnsi="Verdana"/>
          <w:sz w:val="18"/>
          <w:szCs w:val="18"/>
          <w:lang w:val="en-GB"/>
        </w:rPr>
        <w:t xml:space="preserve"> </w:t>
      </w:r>
    </w:p>
    <w:p w:rsidRPr="007A0458" w:rsidR="00207BAB" w:rsidP="00C43071" w:rsidRDefault="00207BAB" w14:paraId="103F4C05" w14:textId="52DFF361">
      <w:pPr>
        <w:pStyle w:val="Lijstalinea"/>
        <w:numPr>
          <w:ilvl w:val="0"/>
          <w:numId w:val="21"/>
        </w:numPr>
        <w:rPr>
          <w:rFonts w:ascii="Verdana" w:hAnsi="Verdana"/>
          <w:sz w:val="18"/>
          <w:szCs w:val="18"/>
          <w:lang w:val="en-GB"/>
        </w:rPr>
      </w:pPr>
      <w:r>
        <w:rPr>
          <w:rFonts w:ascii="Verdana" w:hAnsi="Verdana"/>
          <w:sz w:val="18"/>
          <w:szCs w:val="18"/>
          <w:lang w:val="en-GB"/>
        </w:rPr>
        <w:t xml:space="preserve">a business customer must be transparent in its </w:t>
      </w:r>
      <w:proofErr w:type="gramStart"/>
      <w:r>
        <w:rPr>
          <w:rFonts w:ascii="Verdana" w:hAnsi="Verdana"/>
          <w:sz w:val="18"/>
          <w:szCs w:val="18"/>
          <w:lang w:val="en-GB"/>
        </w:rPr>
        <w:t>activities;</w:t>
      </w:r>
      <w:proofErr w:type="gramEnd"/>
    </w:p>
    <w:p w:rsidRPr="0016270D" w:rsidR="0067442F" w:rsidP="0016270D" w:rsidRDefault="00B1162C" w14:paraId="0FD03822" w14:textId="17DD0EF9">
      <w:pPr>
        <w:pStyle w:val="Lijstalinea"/>
        <w:numPr>
          <w:ilvl w:val="0"/>
          <w:numId w:val="22"/>
        </w:numPr>
        <w:rPr>
          <w:rFonts w:ascii="Verdana" w:hAnsi="Verdana"/>
          <w:sz w:val="18"/>
          <w:szCs w:val="18"/>
          <w:lang w:val="en-GB"/>
        </w:rPr>
      </w:pPr>
      <w:r>
        <w:rPr>
          <w:rFonts w:ascii="Verdana" w:hAnsi="Verdana"/>
          <w:sz w:val="18"/>
          <w:szCs w:val="18"/>
          <w:lang w:val="en-GB"/>
        </w:rPr>
        <w:t>making sure that</w:t>
      </w:r>
      <w:r w:rsidRPr="0016270D" w:rsidR="0067442F">
        <w:rPr>
          <w:rFonts w:ascii="Verdana" w:hAnsi="Verdana"/>
          <w:sz w:val="18"/>
          <w:szCs w:val="18"/>
          <w:lang w:val="en-GB"/>
        </w:rPr>
        <w:t xml:space="preserve"> TF and ML rejections are individually substantiated and not misused by </w:t>
      </w:r>
      <w:proofErr w:type="gramStart"/>
      <w:r w:rsidRPr="0016270D" w:rsidR="0067442F">
        <w:rPr>
          <w:rFonts w:ascii="Verdana" w:hAnsi="Verdana"/>
          <w:sz w:val="18"/>
          <w:szCs w:val="18"/>
          <w:lang w:val="en-GB"/>
        </w:rPr>
        <w:t>institutions</w:t>
      </w:r>
      <w:r w:rsidR="0089658A">
        <w:rPr>
          <w:rFonts w:ascii="Verdana" w:hAnsi="Verdana"/>
          <w:sz w:val="18"/>
          <w:szCs w:val="18"/>
          <w:lang w:val="en-GB"/>
        </w:rPr>
        <w:t>;</w:t>
      </w:r>
      <w:proofErr w:type="gramEnd"/>
    </w:p>
    <w:p w:rsidRPr="0016270D" w:rsidR="0067442F" w:rsidP="0016270D" w:rsidRDefault="0067442F" w14:paraId="038A6BCF" w14:textId="1B6589F8">
      <w:pPr>
        <w:pStyle w:val="Lijstalinea"/>
        <w:numPr>
          <w:ilvl w:val="0"/>
          <w:numId w:val="22"/>
        </w:numPr>
        <w:rPr>
          <w:rFonts w:ascii="Verdana" w:hAnsi="Verdana"/>
          <w:sz w:val="18"/>
          <w:szCs w:val="18"/>
          <w:lang w:val="en-GB"/>
        </w:rPr>
      </w:pPr>
      <w:r w:rsidRPr="0016270D">
        <w:rPr>
          <w:rFonts w:ascii="Verdana" w:hAnsi="Verdana"/>
          <w:sz w:val="18"/>
          <w:szCs w:val="18"/>
          <w:lang w:val="en-GB"/>
        </w:rPr>
        <w:t xml:space="preserve">grounds </w:t>
      </w:r>
      <w:r w:rsidR="00B1162C">
        <w:rPr>
          <w:rFonts w:ascii="Verdana" w:hAnsi="Verdana"/>
          <w:sz w:val="18"/>
          <w:szCs w:val="18"/>
          <w:lang w:val="en-GB"/>
        </w:rPr>
        <w:t xml:space="preserve">on which </w:t>
      </w:r>
      <w:r w:rsidRPr="0016270D">
        <w:rPr>
          <w:rFonts w:ascii="Verdana" w:hAnsi="Verdana"/>
          <w:sz w:val="18"/>
          <w:szCs w:val="18"/>
          <w:lang w:val="en-GB"/>
        </w:rPr>
        <w:t>the payment account could and should be refused/</w:t>
      </w:r>
      <w:proofErr w:type="gramStart"/>
      <w:r w:rsidRPr="0016270D">
        <w:rPr>
          <w:rFonts w:ascii="Verdana" w:hAnsi="Verdana"/>
          <w:sz w:val="18"/>
          <w:szCs w:val="18"/>
          <w:lang w:val="en-GB"/>
        </w:rPr>
        <w:t>terminated;</w:t>
      </w:r>
      <w:proofErr w:type="gramEnd"/>
    </w:p>
    <w:p w:rsidRPr="0016270D" w:rsidR="0067442F" w:rsidP="0016270D" w:rsidRDefault="0067442F" w14:paraId="705691AE" w14:textId="77777777">
      <w:pPr>
        <w:pStyle w:val="Lijstalinea"/>
        <w:numPr>
          <w:ilvl w:val="0"/>
          <w:numId w:val="22"/>
        </w:numPr>
        <w:rPr>
          <w:rFonts w:ascii="Verdana" w:hAnsi="Verdana"/>
          <w:sz w:val="18"/>
          <w:szCs w:val="18"/>
          <w:lang w:val="en-GB"/>
        </w:rPr>
      </w:pPr>
      <w:r w:rsidRPr="0016270D">
        <w:rPr>
          <w:rFonts w:ascii="Verdana" w:hAnsi="Verdana"/>
          <w:sz w:val="18"/>
          <w:szCs w:val="18"/>
          <w:lang w:val="en-GB"/>
        </w:rPr>
        <w:t>how to include non-discrimination (online and physical</w:t>
      </w:r>
      <w:proofErr w:type="gramStart"/>
      <w:r w:rsidRPr="0016270D">
        <w:rPr>
          <w:rFonts w:ascii="Verdana" w:hAnsi="Verdana"/>
          <w:sz w:val="18"/>
          <w:szCs w:val="18"/>
          <w:lang w:val="en-GB"/>
        </w:rPr>
        <w:t>);</w:t>
      </w:r>
      <w:proofErr w:type="gramEnd"/>
    </w:p>
    <w:p w:rsidRPr="0016270D" w:rsidR="0067442F" w:rsidP="0016270D" w:rsidRDefault="0067442F" w14:paraId="441FA3DE" w14:textId="77777777">
      <w:pPr>
        <w:pStyle w:val="Lijstalinea"/>
        <w:numPr>
          <w:ilvl w:val="0"/>
          <w:numId w:val="22"/>
        </w:numPr>
        <w:rPr>
          <w:rFonts w:ascii="Verdana" w:hAnsi="Verdana"/>
          <w:sz w:val="18"/>
          <w:szCs w:val="18"/>
          <w:lang w:val="en-GB"/>
        </w:rPr>
      </w:pPr>
      <w:r w:rsidRPr="0016270D">
        <w:rPr>
          <w:rFonts w:ascii="Verdana" w:hAnsi="Verdana"/>
          <w:sz w:val="18"/>
          <w:szCs w:val="18"/>
          <w:lang w:val="en-GB"/>
        </w:rPr>
        <w:t xml:space="preserve">time limits to processing time of an application for financial </w:t>
      </w:r>
      <w:proofErr w:type="gramStart"/>
      <w:r w:rsidRPr="0016270D">
        <w:rPr>
          <w:rFonts w:ascii="Verdana" w:hAnsi="Verdana"/>
          <w:sz w:val="18"/>
          <w:szCs w:val="18"/>
          <w:lang w:val="en-GB"/>
        </w:rPr>
        <w:t>institutions;</w:t>
      </w:r>
      <w:proofErr w:type="gramEnd"/>
    </w:p>
    <w:p w:rsidR="0067442F" w:rsidP="0016270D" w:rsidRDefault="0067442F" w14:paraId="0CDE459B" w14:textId="77777777">
      <w:pPr>
        <w:pStyle w:val="Lijstalinea"/>
        <w:numPr>
          <w:ilvl w:val="0"/>
          <w:numId w:val="22"/>
        </w:numPr>
        <w:rPr>
          <w:rFonts w:ascii="Verdana" w:hAnsi="Verdana"/>
          <w:sz w:val="18"/>
          <w:szCs w:val="18"/>
          <w:lang w:val="en-GB"/>
        </w:rPr>
      </w:pPr>
      <w:r w:rsidRPr="0016270D">
        <w:rPr>
          <w:rFonts w:ascii="Verdana" w:hAnsi="Verdana"/>
          <w:sz w:val="18"/>
          <w:szCs w:val="18"/>
          <w:lang w:val="en-GB"/>
        </w:rPr>
        <w:t>the functionalities of the payment account (e.g. deposit cash, withdraw cash, make transfers to and receive from other bank accounts, make standing orders, direct debits, pay with a debit card or similar means, batch payments</w:t>
      </w:r>
      <w:proofErr w:type="gramStart"/>
      <w:r w:rsidRPr="0016270D">
        <w:rPr>
          <w:rFonts w:ascii="Verdana" w:hAnsi="Verdana"/>
          <w:sz w:val="18"/>
          <w:szCs w:val="18"/>
          <w:lang w:val="en-GB"/>
        </w:rPr>
        <w:t>);</w:t>
      </w:r>
      <w:proofErr w:type="gramEnd"/>
    </w:p>
    <w:p w:rsidR="000B0629" w:rsidP="0016270D" w:rsidRDefault="000B0629" w14:paraId="6DA19B96" w14:textId="552C083E">
      <w:pPr>
        <w:pStyle w:val="Lijstalinea"/>
        <w:numPr>
          <w:ilvl w:val="0"/>
          <w:numId w:val="22"/>
        </w:numPr>
        <w:rPr>
          <w:rFonts w:ascii="Verdana" w:hAnsi="Verdana"/>
          <w:sz w:val="18"/>
          <w:szCs w:val="18"/>
          <w:lang w:val="en-GB"/>
        </w:rPr>
      </w:pPr>
      <w:r>
        <w:rPr>
          <w:rFonts w:ascii="Verdana" w:hAnsi="Verdana"/>
          <w:sz w:val="18"/>
          <w:szCs w:val="18"/>
          <w:lang w:val="en-GB"/>
        </w:rPr>
        <w:t xml:space="preserve">service level of the payment services </w:t>
      </w:r>
      <w:proofErr w:type="gramStart"/>
      <w:r>
        <w:rPr>
          <w:rFonts w:ascii="Verdana" w:hAnsi="Verdana"/>
          <w:sz w:val="18"/>
          <w:szCs w:val="18"/>
          <w:lang w:val="en-GB"/>
        </w:rPr>
        <w:t>provided</w:t>
      </w:r>
      <w:r w:rsidR="007A2966">
        <w:rPr>
          <w:rFonts w:ascii="Verdana" w:hAnsi="Verdana"/>
          <w:sz w:val="18"/>
          <w:szCs w:val="18"/>
          <w:lang w:val="en-GB"/>
        </w:rPr>
        <w:t>;</w:t>
      </w:r>
      <w:proofErr w:type="gramEnd"/>
    </w:p>
    <w:p w:rsidRPr="0016270D" w:rsidR="000B0629" w:rsidP="0016270D" w:rsidRDefault="00404914" w14:paraId="041293ED" w14:textId="058DD051">
      <w:pPr>
        <w:pStyle w:val="Lijstalinea"/>
        <w:numPr>
          <w:ilvl w:val="0"/>
          <w:numId w:val="22"/>
        </w:numPr>
        <w:rPr>
          <w:rFonts w:ascii="Verdana" w:hAnsi="Verdana"/>
          <w:sz w:val="18"/>
          <w:szCs w:val="18"/>
          <w:lang w:val="en-GB"/>
        </w:rPr>
      </w:pPr>
      <w:r>
        <w:rPr>
          <w:rFonts w:ascii="Verdana" w:hAnsi="Verdana"/>
          <w:sz w:val="18"/>
          <w:szCs w:val="18"/>
          <w:lang w:val="en-GB"/>
        </w:rPr>
        <w:t xml:space="preserve">transparency and proportionality in </w:t>
      </w:r>
      <w:proofErr w:type="gramStart"/>
      <w:r w:rsidR="000B0629">
        <w:rPr>
          <w:rFonts w:ascii="Verdana" w:hAnsi="Verdana"/>
          <w:sz w:val="18"/>
          <w:szCs w:val="18"/>
          <w:lang w:val="en-GB"/>
        </w:rPr>
        <w:t>pricing</w:t>
      </w:r>
      <w:r w:rsidR="007A2966">
        <w:rPr>
          <w:rFonts w:ascii="Verdana" w:hAnsi="Verdana"/>
          <w:sz w:val="18"/>
          <w:szCs w:val="18"/>
          <w:lang w:val="en-GB"/>
        </w:rPr>
        <w:t>;</w:t>
      </w:r>
      <w:proofErr w:type="gramEnd"/>
    </w:p>
    <w:p w:rsidRPr="0016270D" w:rsidR="0067442F" w:rsidP="0016270D" w:rsidRDefault="0067442F" w14:paraId="46210980" w14:textId="77777777">
      <w:pPr>
        <w:pStyle w:val="Lijstalinea"/>
        <w:numPr>
          <w:ilvl w:val="0"/>
          <w:numId w:val="22"/>
        </w:numPr>
        <w:rPr>
          <w:rFonts w:ascii="Verdana" w:hAnsi="Verdana"/>
          <w:sz w:val="18"/>
          <w:szCs w:val="18"/>
          <w:lang w:val="en-GB"/>
        </w:rPr>
      </w:pPr>
      <w:r w:rsidRPr="0016270D">
        <w:rPr>
          <w:rFonts w:ascii="Verdana" w:hAnsi="Verdana"/>
          <w:sz w:val="18"/>
          <w:szCs w:val="18"/>
          <w:lang w:val="en-GB"/>
        </w:rPr>
        <w:t xml:space="preserve">other functionalities that might be necessary such as: overdraft, possibility to obtain a credit card, holding more than two debit </w:t>
      </w:r>
      <w:proofErr w:type="gramStart"/>
      <w:r w:rsidRPr="0016270D">
        <w:rPr>
          <w:rFonts w:ascii="Verdana" w:hAnsi="Verdana"/>
          <w:sz w:val="18"/>
          <w:szCs w:val="18"/>
          <w:lang w:val="en-GB"/>
        </w:rPr>
        <w:t>cards;</w:t>
      </w:r>
      <w:proofErr w:type="gramEnd"/>
    </w:p>
    <w:p w:rsidRPr="0016270D" w:rsidR="0067442F" w:rsidP="0016270D" w:rsidRDefault="0067442F" w14:paraId="7C764432" w14:textId="0899623B">
      <w:pPr>
        <w:pStyle w:val="Lijstalinea"/>
        <w:numPr>
          <w:ilvl w:val="0"/>
          <w:numId w:val="22"/>
        </w:numPr>
        <w:rPr>
          <w:rFonts w:ascii="Verdana" w:hAnsi="Verdana"/>
          <w:sz w:val="18"/>
          <w:szCs w:val="18"/>
          <w:lang w:val="en-GB"/>
        </w:rPr>
      </w:pPr>
      <w:r w:rsidRPr="0016270D">
        <w:rPr>
          <w:rFonts w:ascii="Verdana" w:hAnsi="Verdana"/>
          <w:sz w:val="18"/>
          <w:szCs w:val="18"/>
          <w:lang w:val="en-GB"/>
        </w:rPr>
        <w:t>possibility of administrative burdens, both for business customer</w:t>
      </w:r>
      <w:r w:rsidR="00B1162C">
        <w:rPr>
          <w:rFonts w:ascii="Verdana" w:hAnsi="Verdana"/>
          <w:sz w:val="18"/>
          <w:szCs w:val="18"/>
          <w:lang w:val="en-GB"/>
        </w:rPr>
        <w:t>s</w:t>
      </w:r>
      <w:r w:rsidRPr="0016270D">
        <w:rPr>
          <w:rFonts w:ascii="Verdana" w:hAnsi="Verdana"/>
          <w:sz w:val="18"/>
          <w:szCs w:val="18"/>
          <w:lang w:val="en-GB"/>
        </w:rPr>
        <w:t xml:space="preserve"> and financial </w:t>
      </w:r>
      <w:proofErr w:type="gramStart"/>
      <w:r w:rsidRPr="0016270D">
        <w:rPr>
          <w:rFonts w:ascii="Verdana" w:hAnsi="Verdana"/>
          <w:sz w:val="18"/>
          <w:szCs w:val="18"/>
          <w:lang w:val="en-GB"/>
        </w:rPr>
        <w:t>institution</w:t>
      </w:r>
      <w:r w:rsidR="00B1162C">
        <w:rPr>
          <w:rFonts w:ascii="Verdana" w:hAnsi="Verdana"/>
          <w:sz w:val="18"/>
          <w:szCs w:val="18"/>
          <w:lang w:val="en-GB"/>
        </w:rPr>
        <w:t>s</w:t>
      </w:r>
      <w:r w:rsidRPr="0016270D">
        <w:rPr>
          <w:rFonts w:ascii="Verdana" w:hAnsi="Verdana"/>
          <w:sz w:val="18"/>
          <w:szCs w:val="18"/>
          <w:lang w:val="en-GB"/>
        </w:rPr>
        <w:t>;</w:t>
      </w:r>
      <w:proofErr w:type="gramEnd"/>
    </w:p>
    <w:p w:rsidRPr="0016270D" w:rsidR="00B1162C" w:rsidP="00B1162C" w:rsidRDefault="00B1162C" w14:paraId="2005AD33" w14:textId="77777777">
      <w:pPr>
        <w:pStyle w:val="Lijstalinea"/>
        <w:numPr>
          <w:ilvl w:val="0"/>
          <w:numId w:val="22"/>
        </w:numPr>
        <w:rPr>
          <w:rFonts w:ascii="Verdana" w:hAnsi="Verdana"/>
          <w:sz w:val="18"/>
          <w:szCs w:val="18"/>
          <w:lang w:val="en-GB"/>
        </w:rPr>
      </w:pPr>
      <w:r w:rsidRPr="0016270D">
        <w:rPr>
          <w:rFonts w:ascii="Verdana" w:hAnsi="Verdana"/>
          <w:sz w:val="18"/>
          <w:szCs w:val="18"/>
          <w:lang w:val="en-GB"/>
        </w:rPr>
        <w:t xml:space="preserve">competent authority for dispute </w:t>
      </w:r>
      <w:proofErr w:type="gramStart"/>
      <w:r w:rsidRPr="0016270D">
        <w:rPr>
          <w:rFonts w:ascii="Verdana" w:hAnsi="Verdana"/>
          <w:sz w:val="18"/>
          <w:szCs w:val="18"/>
          <w:lang w:val="en-GB"/>
        </w:rPr>
        <w:t>resolution;</w:t>
      </w:r>
      <w:proofErr w:type="gramEnd"/>
    </w:p>
    <w:p w:rsidRPr="0016270D" w:rsidR="0067442F" w:rsidP="0016270D" w:rsidRDefault="0067442F" w14:paraId="6023240E" w14:textId="77777777">
      <w:pPr>
        <w:pStyle w:val="Lijstalinea"/>
        <w:numPr>
          <w:ilvl w:val="0"/>
          <w:numId w:val="22"/>
        </w:numPr>
        <w:rPr>
          <w:rFonts w:ascii="Verdana" w:hAnsi="Verdana"/>
          <w:sz w:val="18"/>
          <w:szCs w:val="18"/>
          <w:lang w:val="en-GB"/>
        </w:rPr>
      </w:pPr>
      <w:r w:rsidRPr="0016270D">
        <w:rPr>
          <w:rFonts w:ascii="Verdana" w:hAnsi="Verdana"/>
          <w:sz w:val="18"/>
          <w:szCs w:val="18"/>
          <w:lang w:val="en-GB"/>
        </w:rPr>
        <w:t xml:space="preserve">a supervisory </w:t>
      </w:r>
      <w:proofErr w:type="gramStart"/>
      <w:r w:rsidRPr="0016270D">
        <w:rPr>
          <w:rFonts w:ascii="Verdana" w:hAnsi="Verdana"/>
          <w:sz w:val="18"/>
          <w:szCs w:val="18"/>
          <w:lang w:val="en-GB"/>
        </w:rPr>
        <w:t>authority;</w:t>
      </w:r>
      <w:proofErr w:type="gramEnd"/>
    </w:p>
    <w:p w:rsidRPr="0016270D" w:rsidR="0067442F" w:rsidP="0016270D" w:rsidRDefault="0067442F" w14:paraId="3BDC3B51" w14:textId="2E80B983">
      <w:pPr>
        <w:pStyle w:val="Lijstalinea"/>
        <w:numPr>
          <w:ilvl w:val="0"/>
          <w:numId w:val="22"/>
        </w:numPr>
        <w:rPr>
          <w:rFonts w:ascii="Verdana" w:hAnsi="Verdana"/>
          <w:sz w:val="18"/>
          <w:szCs w:val="18"/>
          <w:lang w:val="en-GB"/>
        </w:rPr>
      </w:pPr>
      <w:r w:rsidRPr="0016270D">
        <w:rPr>
          <w:rFonts w:ascii="Verdana" w:hAnsi="Verdana"/>
          <w:sz w:val="18"/>
          <w:szCs w:val="18"/>
          <w:lang w:val="en-GB"/>
        </w:rPr>
        <w:t>how to evaluate the legislation.</w:t>
      </w:r>
    </w:p>
    <w:p w:rsidRPr="00A613F8" w:rsidR="003F0232" w:rsidRDefault="003F0232" w14:paraId="41346262" w14:textId="5EE6A918">
      <w:pPr>
        <w:rPr>
          <w:rFonts w:ascii="Verdana" w:hAnsi="Verdana"/>
          <w:sz w:val="18"/>
          <w:szCs w:val="18"/>
          <w:lang w:val="en-GB"/>
        </w:rPr>
      </w:pPr>
      <w:bookmarkStart w:name="_Hlk185350679" w:id="5"/>
      <w:r w:rsidRPr="0016270D">
        <w:rPr>
          <w:rFonts w:ascii="Verdana" w:hAnsi="Verdana"/>
          <w:sz w:val="18"/>
          <w:szCs w:val="18"/>
          <w:lang w:val="en-GB"/>
        </w:rPr>
        <w:t xml:space="preserve">We look forward to the opportunity to </w:t>
      </w:r>
      <w:r w:rsidRPr="0016270D" w:rsidR="00680567">
        <w:rPr>
          <w:rFonts w:ascii="Verdana" w:hAnsi="Verdana"/>
          <w:sz w:val="18"/>
          <w:szCs w:val="18"/>
          <w:lang w:val="en-GB"/>
        </w:rPr>
        <w:t xml:space="preserve">further </w:t>
      </w:r>
      <w:r w:rsidRPr="0016270D">
        <w:rPr>
          <w:rFonts w:ascii="Verdana" w:hAnsi="Verdana"/>
          <w:sz w:val="18"/>
          <w:szCs w:val="18"/>
          <w:lang w:val="en-GB"/>
        </w:rPr>
        <w:t>discuss these ideas and collaborate on potential solutions.</w:t>
      </w:r>
      <w:r w:rsidRPr="0016270D" w:rsidR="004D6FB0">
        <w:rPr>
          <w:rFonts w:ascii="Verdana" w:hAnsi="Verdana"/>
          <w:sz w:val="18"/>
          <w:szCs w:val="18"/>
          <w:lang w:val="en-GB"/>
        </w:rPr>
        <w:t xml:space="preserve"> </w:t>
      </w:r>
      <w:bookmarkEnd w:id="5"/>
    </w:p>
    <w:sectPr w:rsidRPr="00A613F8" w:rsidR="003F0232">
      <w:headerReference w:type="default" r:id="rId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D47B" w14:textId="77777777" w:rsidR="00E81B9B" w:rsidRDefault="00E81B9B" w:rsidP="002B7762">
      <w:pPr>
        <w:spacing w:after="0" w:line="240" w:lineRule="auto"/>
      </w:pPr>
      <w:r>
        <w:separator/>
      </w:r>
    </w:p>
  </w:endnote>
  <w:endnote w:type="continuationSeparator" w:id="0">
    <w:p w14:paraId="15F74745" w14:textId="77777777" w:rsidR="00E81B9B" w:rsidRDefault="00E81B9B" w:rsidP="002B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88577"/>
      <w:docPartObj>
        <w:docPartGallery w:val="Page Numbers (Bottom of Page)"/>
        <w:docPartUnique/>
      </w:docPartObj>
    </w:sdtPr>
    <w:sdtEndPr/>
    <w:sdtContent>
      <w:p w14:paraId="5AC37B4B" w14:textId="680B2B8A" w:rsidR="00355FD5" w:rsidRDefault="00355FD5">
        <w:pPr>
          <w:pStyle w:val="Voettekst"/>
          <w:jc w:val="right"/>
        </w:pPr>
        <w:r>
          <w:fldChar w:fldCharType="begin"/>
        </w:r>
        <w:r>
          <w:instrText>PAGE   \* MERGEFORMAT</w:instrText>
        </w:r>
        <w:r>
          <w:fldChar w:fldCharType="separate"/>
        </w:r>
        <w:r w:rsidR="00447EE2">
          <w:rPr>
            <w:noProof/>
          </w:rPr>
          <w:t>1</w:t>
        </w:r>
        <w:r>
          <w:fldChar w:fldCharType="end"/>
        </w:r>
      </w:p>
    </w:sdtContent>
  </w:sdt>
  <w:p w14:paraId="5455DC5D" w14:textId="77777777" w:rsidR="00355FD5" w:rsidRDefault="00355F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85717" w14:textId="77777777" w:rsidR="00E81B9B" w:rsidRDefault="00E81B9B" w:rsidP="002B7762">
      <w:pPr>
        <w:spacing w:after="0" w:line="240" w:lineRule="auto"/>
      </w:pPr>
      <w:r>
        <w:separator/>
      </w:r>
    </w:p>
  </w:footnote>
  <w:footnote w:type="continuationSeparator" w:id="0">
    <w:p w14:paraId="3A7A634D" w14:textId="77777777" w:rsidR="00E81B9B" w:rsidRDefault="00E81B9B" w:rsidP="002B7762">
      <w:pPr>
        <w:spacing w:after="0" w:line="240" w:lineRule="auto"/>
      </w:pPr>
      <w:r>
        <w:continuationSeparator/>
      </w:r>
    </w:p>
  </w:footnote>
  <w:footnote w:id="1">
    <w:p w14:paraId="039C386A" w14:textId="55BBA227" w:rsidR="00A65885" w:rsidRPr="007A0458" w:rsidRDefault="00A65885">
      <w:pPr>
        <w:pStyle w:val="Voetnoottekst"/>
        <w:rPr>
          <w:lang w:val="en-US"/>
        </w:rPr>
      </w:pPr>
      <w:r>
        <w:rPr>
          <w:rStyle w:val="Voetnootmarkering"/>
        </w:rPr>
        <w:footnoteRef/>
      </w:r>
      <w:r w:rsidRPr="007A0458">
        <w:rPr>
          <w:lang w:val="en-US"/>
        </w:rPr>
        <w:t xml:space="preserve"> </w:t>
      </w:r>
      <w:r w:rsidRPr="00355FD5">
        <w:rPr>
          <w:rFonts w:ascii="Verdana" w:hAnsi="Verdana"/>
          <w:sz w:val="16"/>
          <w:szCs w:val="16"/>
          <w:lang w:val="en-GB"/>
        </w:rPr>
        <w:t>Henceforth, the term 'business customers' will be used under the condition that the definition and scope of 'business customers,' and thus who qualifies for the right to a basic payment account, is yet to be determined.</w:t>
      </w:r>
    </w:p>
  </w:footnote>
  <w:footnote w:id="2">
    <w:p w14:paraId="51E4A99F" w14:textId="77777777" w:rsidR="00061C8A" w:rsidRPr="005C034F" w:rsidRDefault="00061C8A">
      <w:pPr>
        <w:rPr>
          <w:lang w:val="en-US"/>
        </w:rPr>
      </w:pPr>
    </w:p>
  </w:footnote>
  <w:footnote w:id="3">
    <w:p w14:paraId="6249C89D" w14:textId="61464492" w:rsidR="00DB4229" w:rsidRPr="00B1162C" w:rsidRDefault="00DB4229" w:rsidP="00DB4229">
      <w:pPr>
        <w:pStyle w:val="Voetnoottekst"/>
        <w:rPr>
          <w:lang w:val="fr-FR"/>
        </w:rPr>
      </w:pPr>
      <w:r w:rsidRPr="0016270D">
        <w:rPr>
          <w:rStyle w:val="Voetnootmarkering"/>
          <w:rFonts w:ascii="Verdana" w:hAnsi="Verdana"/>
          <w:sz w:val="16"/>
          <w:szCs w:val="16"/>
        </w:rPr>
        <w:footnoteRef/>
      </w:r>
      <w:r w:rsidRPr="00B1162C">
        <w:rPr>
          <w:rFonts w:ascii="Verdana" w:hAnsi="Verdana"/>
          <w:sz w:val="16"/>
          <w:szCs w:val="16"/>
          <w:lang w:val="fr-FR"/>
        </w:rPr>
        <w:t xml:space="preserve"> </w:t>
      </w:r>
      <w:hyperlink r:id="rId1" w:history="1">
        <w:proofErr w:type="spellStart"/>
        <w:r w:rsidR="007A2966" w:rsidRPr="00C01F50">
          <w:rPr>
            <w:rStyle w:val="Hyperlink"/>
            <w:rFonts w:ascii="Verdana" w:hAnsi="Verdana"/>
            <w:sz w:val="16"/>
            <w:szCs w:val="16"/>
            <w:lang w:val="fr-FR"/>
          </w:rPr>
          <w:t>Basisbankdienst</w:t>
        </w:r>
        <w:proofErr w:type="spellEnd"/>
        <w:r w:rsidR="007A2966" w:rsidRPr="00C01F50">
          <w:rPr>
            <w:rStyle w:val="Hyperlink"/>
            <w:rFonts w:ascii="Verdana" w:hAnsi="Verdana"/>
            <w:sz w:val="16"/>
            <w:szCs w:val="16"/>
            <w:lang w:val="fr-FR"/>
          </w:rPr>
          <w:t xml:space="preserve"> </w:t>
        </w:r>
        <w:proofErr w:type="spellStart"/>
        <w:r w:rsidR="007A2966" w:rsidRPr="00C01F50">
          <w:rPr>
            <w:rStyle w:val="Hyperlink"/>
            <w:rFonts w:ascii="Verdana" w:hAnsi="Verdana"/>
            <w:sz w:val="16"/>
            <w:szCs w:val="16"/>
            <w:lang w:val="fr-FR"/>
          </w:rPr>
          <w:t>voor</w:t>
        </w:r>
        <w:proofErr w:type="spellEnd"/>
        <w:r w:rsidR="007A2966" w:rsidRPr="00C01F50">
          <w:rPr>
            <w:rStyle w:val="Hyperlink"/>
            <w:rFonts w:ascii="Verdana" w:hAnsi="Verdana"/>
            <w:sz w:val="16"/>
            <w:szCs w:val="16"/>
            <w:lang w:val="fr-FR"/>
          </w:rPr>
          <w:t xml:space="preserve"> </w:t>
        </w:r>
        <w:proofErr w:type="spellStart"/>
        <w:r w:rsidR="007A2966" w:rsidRPr="00C01F50">
          <w:rPr>
            <w:rStyle w:val="Hyperlink"/>
            <w:rFonts w:ascii="Verdana" w:hAnsi="Verdana"/>
            <w:sz w:val="16"/>
            <w:szCs w:val="16"/>
            <w:lang w:val="fr-FR"/>
          </w:rPr>
          <w:t>ondernemingen</w:t>
        </w:r>
        <w:proofErr w:type="spellEnd"/>
        <w:r w:rsidR="007A2966" w:rsidRPr="00C01F50">
          <w:rPr>
            <w:rStyle w:val="Hyperlink"/>
            <w:rFonts w:ascii="Verdana" w:hAnsi="Verdana"/>
            <w:sz w:val="16"/>
            <w:szCs w:val="16"/>
            <w:lang w:val="fr-FR"/>
          </w:rPr>
          <w:t xml:space="preserve"> en </w:t>
        </w:r>
        <w:proofErr w:type="spellStart"/>
        <w:r w:rsidR="007A2966" w:rsidRPr="00C01F50">
          <w:rPr>
            <w:rStyle w:val="Hyperlink"/>
            <w:rFonts w:ascii="Verdana" w:hAnsi="Verdana"/>
            <w:sz w:val="16"/>
            <w:szCs w:val="16"/>
            <w:lang w:val="fr-FR"/>
          </w:rPr>
          <w:t>diplomatieke</w:t>
        </w:r>
        <w:proofErr w:type="spellEnd"/>
        <w:r w:rsidR="007A2966" w:rsidRPr="00C01F50">
          <w:rPr>
            <w:rStyle w:val="Hyperlink"/>
            <w:rFonts w:ascii="Verdana" w:hAnsi="Verdana"/>
            <w:sz w:val="16"/>
            <w:szCs w:val="16"/>
            <w:lang w:val="fr-FR"/>
          </w:rPr>
          <w:t xml:space="preserve"> </w:t>
        </w:r>
        <w:proofErr w:type="spellStart"/>
        <w:r w:rsidR="007A2966" w:rsidRPr="00C01F50">
          <w:rPr>
            <w:rStyle w:val="Hyperlink"/>
            <w:rFonts w:ascii="Verdana" w:hAnsi="Verdana"/>
            <w:sz w:val="16"/>
            <w:szCs w:val="16"/>
            <w:lang w:val="fr-FR"/>
          </w:rPr>
          <w:t>zendingen</w:t>
        </w:r>
        <w:proofErr w:type="spellEnd"/>
        <w:r w:rsidR="007A2966" w:rsidRPr="00C01F50">
          <w:rPr>
            <w:rStyle w:val="Hyperlink"/>
            <w:rFonts w:ascii="Verdana" w:hAnsi="Verdana"/>
            <w:sz w:val="16"/>
            <w:szCs w:val="16"/>
            <w:lang w:val="fr-FR"/>
          </w:rPr>
          <w:t xml:space="preserve"> | FOD Economie</w:t>
        </w:r>
      </w:hyperlink>
      <w:r w:rsidR="007A2966">
        <w:rPr>
          <w:rFonts w:ascii="Verdana" w:hAnsi="Verdana"/>
          <w:sz w:val="16"/>
          <w:szCs w:val="16"/>
          <w:lang w:val="fr-FR"/>
        </w:rPr>
        <w:t xml:space="preserve">; </w:t>
      </w:r>
      <w:hyperlink r:id="rId2" w:history="1">
        <w:r w:rsidR="00B1162C" w:rsidRPr="00F33AC1">
          <w:rPr>
            <w:rStyle w:val="Hyperlink"/>
            <w:lang w:val="fr-FR"/>
          </w:rPr>
          <w:t>Interdit bancaire et droit au compte professionnel | Banque de France</w:t>
        </w:r>
      </w:hyperlink>
      <w:r w:rsidR="00B1162C" w:rsidRPr="00F33AC1">
        <w:rPr>
          <w:lang w:val="fr-FR"/>
        </w:rPr>
        <w:t xml:space="preserve">; </w:t>
      </w:r>
      <w:hyperlink r:id="rId3" w:history="1">
        <w:r w:rsidR="00B1162C" w:rsidRPr="00F33AC1">
          <w:rPr>
            <w:rStyle w:val="Hyperlink"/>
            <w:lang w:val="fr-FR"/>
          </w:rPr>
          <w:t>Faire valoir votre droit au compte bancaire</w:t>
        </w:r>
      </w:hyperlink>
      <w:r w:rsidR="00B1162C" w:rsidRPr="00F33AC1">
        <w:rPr>
          <w:lang w:val="fr-FR"/>
        </w:rPr>
        <w:t>;</w:t>
      </w:r>
      <w:r w:rsidR="00B1162C">
        <w:rPr>
          <w:lang w:val="fr-FR"/>
        </w:rPr>
        <w:t xml:space="preserve"> </w:t>
      </w:r>
      <w:hyperlink r:id="rId4" w:history="1">
        <w:r w:rsidR="00B1162C" w:rsidRPr="00F33AC1">
          <w:rPr>
            <w:rStyle w:val="Hyperlink"/>
            <w:lang w:val="fr-FR"/>
          </w:rPr>
          <w:t>Section 1 : Droit au compte et relations avec le client (Articles L312-1 à L312-1-8) - Légifrance</w:t>
        </w:r>
      </w:hyperlink>
      <w:r w:rsidR="00B1162C" w:rsidRPr="00F33AC1">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9B4D" w14:textId="091747E4" w:rsidR="00964FE0" w:rsidRPr="00964FE0" w:rsidRDefault="00964FE0" w:rsidP="00964FE0">
    <w:pPr>
      <w:pStyle w:val="Koptekst"/>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B328E"/>
    <w:multiLevelType w:val="hybridMultilevel"/>
    <w:tmpl w:val="0FE2C4FE"/>
    <w:lvl w:ilvl="0" w:tplc="14F0B1D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FC6C19"/>
    <w:multiLevelType w:val="hybridMultilevel"/>
    <w:tmpl w:val="65469850"/>
    <w:lvl w:ilvl="0" w:tplc="91B4441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342BE3"/>
    <w:multiLevelType w:val="hybridMultilevel"/>
    <w:tmpl w:val="E19C9D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9F3360"/>
    <w:multiLevelType w:val="hybridMultilevel"/>
    <w:tmpl w:val="BA30721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362EE5"/>
    <w:multiLevelType w:val="hybridMultilevel"/>
    <w:tmpl w:val="CA769414"/>
    <w:lvl w:ilvl="0" w:tplc="6B342370">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BB108A"/>
    <w:multiLevelType w:val="hybridMultilevel"/>
    <w:tmpl w:val="7DE683B6"/>
    <w:lvl w:ilvl="0" w:tplc="080272F2">
      <w:start w:val="2"/>
      <w:numFmt w:val="bullet"/>
      <w:lvlText w:val=""/>
      <w:lvlJc w:val="left"/>
      <w:pPr>
        <w:ind w:left="720" w:hanging="360"/>
      </w:pPr>
      <w:rPr>
        <w:rFonts w:ascii="Symbol" w:eastAsiaTheme="minorHAnsi" w:hAnsi="Symbol" w:cstheme="minorBidi" w:hint="default"/>
      </w:rPr>
    </w:lvl>
    <w:lvl w:ilvl="1" w:tplc="5A3623F2">
      <w:start w:val="1"/>
      <w:numFmt w:val="decimal"/>
      <w:lvlText w:val="%2."/>
      <w:lvlJc w:val="left"/>
      <w:pPr>
        <w:ind w:left="1211" w:hanging="360"/>
      </w:pPr>
      <w:rPr>
        <w:rFonts w:asciiTheme="minorHAnsi" w:eastAsiaTheme="minorHAnsi" w:hAnsiTheme="minorHAnsi" w:cstheme="minorBidi"/>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1858B5"/>
    <w:multiLevelType w:val="hybridMultilevel"/>
    <w:tmpl w:val="09D82498"/>
    <w:lvl w:ilvl="0" w:tplc="24C887E6">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E8E5165"/>
    <w:multiLevelType w:val="hybridMultilevel"/>
    <w:tmpl w:val="0064471C"/>
    <w:lvl w:ilvl="0" w:tplc="1514E0E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D92C2C"/>
    <w:multiLevelType w:val="hybridMultilevel"/>
    <w:tmpl w:val="66E4BA94"/>
    <w:lvl w:ilvl="0" w:tplc="9BE65BBA">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62553106"/>
    <w:multiLevelType w:val="hybridMultilevel"/>
    <w:tmpl w:val="0AEC55DA"/>
    <w:lvl w:ilvl="0" w:tplc="E912DD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6551031"/>
    <w:multiLevelType w:val="hybridMultilevel"/>
    <w:tmpl w:val="40EAA25C"/>
    <w:lvl w:ilvl="0" w:tplc="4F583AE2">
      <w:start w:val="1"/>
      <w:numFmt w:val="lowerLetter"/>
      <w:lvlText w:val="(%1)"/>
      <w:lvlJc w:val="left"/>
      <w:pPr>
        <w:ind w:left="720" w:hanging="360"/>
      </w:pPr>
      <w:rPr>
        <w:rFonts w:asciiTheme="minorHAnsi" w:eastAsiaTheme="minorHAnsi" w:hAnsiTheme="minorHAnsi" w:cstheme="minorBidi"/>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6C02D65"/>
    <w:multiLevelType w:val="hybridMultilevel"/>
    <w:tmpl w:val="75FCA4D4"/>
    <w:lvl w:ilvl="0" w:tplc="FD8C8366">
      <w:start w:val="1"/>
      <w:numFmt w:val="bullet"/>
      <w:lvlText w:val="-"/>
      <w:lvlJc w:val="left"/>
      <w:pPr>
        <w:ind w:left="1494"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688E6A48"/>
    <w:multiLevelType w:val="hybridMultilevel"/>
    <w:tmpl w:val="F9B63DAE"/>
    <w:lvl w:ilvl="0" w:tplc="F6E0A6B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6000A8"/>
    <w:multiLevelType w:val="hybridMultilevel"/>
    <w:tmpl w:val="5DBEAB38"/>
    <w:lvl w:ilvl="0" w:tplc="2A9E5D4A">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4" w15:restartNumberingAfterBreak="0">
    <w:nsid w:val="6BA578DD"/>
    <w:multiLevelType w:val="hybridMultilevel"/>
    <w:tmpl w:val="ED5A356C"/>
    <w:lvl w:ilvl="0" w:tplc="F8A2F502">
      <w:start w:val="1"/>
      <w:numFmt w:val="upp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6D93750A"/>
    <w:multiLevelType w:val="hybridMultilevel"/>
    <w:tmpl w:val="FC6EB058"/>
    <w:lvl w:ilvl="0" w:tplc="2D322EFC">
      <w:start w:val="16"/>
      <w:numFmt w:val="bullet"/>
      <w:lvlText w:val="-"/>
      <w:lvlJc w:val="left"/>
      <w:pPr>
        <w:ind w:left="720" w:hanging="360"/>
      </w:pPr>
      <w:rPr>
        <w:rFonts w:ascii="Verdana" w:eastAsiaTheme="minorHAnsi" w:hAnsi="Verdana" w:cstheme="minorBid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BB5BA2"/>
    <w:multiLevelType w:val="hybridMultilevel"/>
    <w:tmpl w:val="69B0F130"/>
    <w:lvl w:ilvl="0" w:tplc="5DBA383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504CC"/>
    <w:multiLevelType w:val="hybridMultilevel"/>
    <w:tmpl w:val="57B2DA6A"/>
    <w:lvl w:ilvl="0" w:tplc="031C9A3C">
      <w:start w:val="1"/>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77B11078"/>
    <w:multiLevelType w:val="hybridMultilevel"/>
    <w:tmpl w:val="072A43E6"/>
    <w:lvl w:ilvl="0" w:tplc="11CC2006">
      <w:start w:val="1"/>
      <w:numFmt w:val="upperRoman"/>
      <w:lvlText w:val="%1."/>
      <w:lvlJc w:val="left"/>
      <w:pPr>
        <w:ind w:left="862"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A11345A"/>
    <w:multiLevelType w:val="hybridMultilevel"/>
    <w:tmpl w:val="5A5CF2A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7B3021D6"/>
    <w:multiLevelType w:val="hybridMultilevel"/>
    <w:tmpl w:val="A1A4B926"/>
    <w:lvl w:ilvl="0" w:tplc="BF4EB1C6">
      <w:start w:val="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7FC4536B"/>
    <w:multiLevelType w:val="hybridMultilevel"/>
    <w:tmpl w:val="E42624F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833137">
    <w:abstractNumId w:val="3"/>
  </w:num>
  <w:num w:numId="2" w16cid:durableId="498348284">
    <w:abstractNumId w:val="6"/>
  </w:num>
  <w:num w:numId="3" w16cid:durableId="528758988">
    <w:abstractNumId w:val="11"/>
  </w:num>
  <w:num w:numId="4" w16cid:durableId="1180965570">
    <w:abstractNumId w:val="10"/>
  </w:num>
  <w:num w:numId="5" w16cid:durableId="236016258">
    <w:abstractNumId w:val="17"/>
  </w:num>
  <w:num w:numId="6" w16cid:durableId="606961335">
    <w:abstractNumId w:val="20"/>
  </w:num>
  <w:num w:numId="7" w16cid:durableId="1963489914">
    <w:abstractNumId w:val="5"/>
  </w:num>
  <w:num w:numId="8" w16cid:durableId="2055692710">
    <w:abstractNumId w:val="13"/>
  </w:num>
  <w:num w:numId="9" w16cid:durableId="328145868">
    <w:abstractNumId w:val="14"/>
  </w:num>
  <w:num w:numId="10" w16cid:durableId="1976644003">
    <w:abstractNumId w:val="1"/>
  </w:num>
  <w:num w:numId="11" w16cid:durableId="1504003866">
    <w:abstractNumId w:val="0"/>
  </w:num>
  <w:num w:numId="12" w16cid:durableId="808205395">
    <w:abstractNumId w:val="12"/>
  </w:num>
  <w:num w:numId="13" w16cid:durableId="1597326159">
    <w:abstractNumId w:val="18"/>
  </w:num>
  <w:num w:numId="14" w16cid:durableId="58092553">
    <w:abstractNumId w:val="7"/>
  </w:num>
  <w:num w:numId="15" w16cid:durableId="1748308624">
    <w:abstractNumId w:val="21"/>
  </w:num>
  <w:num w:numId="16" w16cid:durableId="935595073">
    <w:abstractNumId w:val="16"/>
  </w:num>
  <w:num w:numId="17" w16cid:durableId="725026533">
    <w:abstractNumId w:val="19"/>
  </w:num>
  <w:num w:numId="18" w16cid:durableId="1355425249">
    <w:abstractNumId w:val="8"/>
  </w:num>
  <w:num w:numId="19" w16cid:durableId="1357922763">
    <w:abstractNumId w:val="15"/>
  </w:num>
  <w:num w:numId="20" w16cid:durableId="1941255218">
    <w:abstractNumId w:val="9"/>
  </w:num>
  <w:num w:numId="21" w16cid:durableId="575359387">
    <w:abstractNumId w:val="4"/>
  </w:num>
  <w:num w:numId="22" w16cid:durableId="1836410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981"/>
    <w:rsid w:val="00002404"/>
    <w:rsid w:val="00004550"/>
    <w:rsid w:val="000076E8"/>
    <w:rsid w:val="000211B0"/>
    <w:rsid w:val="0004742A"/>
    <w:rsid w:val="000530F7"/>
    <w:rsid w:val="00060313"/>
    <w:rsid w:val="00061C8A"/>
    <w:rsid w:val="00086B0F"/>
    <w:rsid w:val="000965B4"/>
    <w:rsid w:val="000965E6"/>
    <w:rsid w:val="000B005F"/>
    <w:rsid w:val="000B0629"/>
    <w:rsid w:val="000C13FC"/>
    <w:rsid w:val="000D033E"/>
    <w:rsid w:val="000E7CAC"/>
    <w:rsid w:val="000F3363"/>
    <w:rsid w:val="00102512"/>
    <w:rsid w:val="00103068"/>
    <w:rsid w:val="00103836"/>
    <w:rsid w:val="001043F0"/>
    <w:rsid w:val="00104BA7"/>
    <w:rsid w:val="001070EF"/>
    <w:rsid w:val="00113488"/>
    <w:rsid w:val="00116674"/>
    <w:rsid w:val="0012195E"/>
    <w:rsid w:val="001424B4"/>
    <w:rsid w:val="00155180"/>
    <w:rsid w:val="00161384"/>
    <w:rsid w:val="0016270D"/>
    <w:rsid w:val="00164D84"/>
    <w:rsid w:val="00185C30"/>
    <w:rsid w:val="001A403C"/>
    <w:rsid w:val="001C0756"/>
    <w:rsid w:val="001C57F8"/>
    <w:rsid w:val="001D0849"/>
    <w:rsid w:val="001D570B"/>
    <w:rsid w:val="001E50F2"/>
    <w:rsid w:val="001F048C"/>
    <w:rsid w:val="001F3A94"/>
    <w:rsid w:val="001F5B3A"/>
    <w:rsid w:val="0020281F"/>
    <w:rsid w:val="00207BAB"/>
    <w:rsid w:val="00235C68"/>
    <w:rsid w:val="0025527F"/>
    <w:rsid w:val="00271618"/>
    <w:rsid w:val="00291B53"/>
    <w:rsid w:val="00293AA0"/>
    <w:rsid w:val="002B7762"/>
    <w:rsid w:val="002C3745"/>
    <w:rsid w:val="002C6BF3"/>
    <w:rsid w:val="002D6431"/>
    <w:rsid w:val="002F694E"/>
    <w:rsid w:val="003004E6"/>
    <w:rsid w:val="00302DE6"/>
    <w:rsid w:val="00304FD3"/>
    <w:rsid w:val="00312661"/>
    <w:rsid w:val="00313884"/>
    <w:rsid w:val="00315BD1"/>
    <w:rsid w:val="00344BC0"/>
    <w:rsid w:val="003534D4"/>
    <w:rsid w:val="00355706"/>
    <w:rsid w:val="00355FD5"/>
    <w:rsid w:val="00363F42"/>
    <w:rsid w:val="003644EF"/>
    <w:rsid w:val="00367745"/>
    <w:rsid w:val="00372129"/>
    <w:rsid w:val="00383301"/>
    <w:rsid w:val="00397347"/>
    <w:rsid w:val="003973C1"/>
    <w:rsid w:val="003A495E"/>
    <w:rsid w:val="003C4ADD"/>
    <w:rsid w:val="003E0D3C"/>
    <w:rsid w:val="003F0232"/>
    <w:rsid w:val="004007C4"/>
    <w:rsid w:val="00404914"/>
    <w:rsid w:val="00417DA4"/>
    <w:rsid w:val="004257FB"/>
    <w:rsid w:val="004367DD"/>
    <w:rsid w:val="00437CF1"/>
    <w:rsid w:val="0044638E"/>
    <w:rsid w:val="00447671"/>
    <w:rsid w:val="00447EE2"/>
    <w:rsid w:val="00450540"/>
    <w:rsid w:val="00476F5F"/>
    <w:rsid w:val="004817E0"/>
    <w:rsid w:val="00485851"/>
    <w:rsid w:val="004A1E5C"/>
    <w:rsid w:val="004A241A"/>
    <w:rsid w:val="004A3A2E"/>
    <w:rsid w:val="004B1DA5"/>
    <w:rsid w:val="004B3E13"/>
    <w:rsid w:val="004C33EB"/>
    <w:rsid w:val="004D6FB0"/>
    <w:rsid w:val="004F010C"/>
    <w:rsid w:val="004F221C"/>
    <w:rsid w:val="004F27EA"/>
    <w:rsid w:val="004F5402"/>
    <w:rsid w:val="00501E06"/>
    <w:rsid w:val="00507451"/>
    <w:rsid w:val="00525DB4"/>
    <w:rsid w:val="00537FA4"/>
    <w:rsid w:val="0054287A"/>
    <w:rsid w:val="005436F8"/>
    <w:rsid w:val="005447F5"/>
    <w:rsid w:val="00576E54"/>
    <w:rsid w:val="005A5196"/>
    <w:rsid w:val="005A6BD7"/>
    <w:rsid w:val="005B38D1"/>
    <w:rsid w:val="005B7EB7"/>
    <w:rsid w:val="005C034F"/>
    <w:rsid w:val="005C7CA8"/>
    <w:rsid w:val="005F222B"/>
    <w:rsid w:val="005F4767"/>
    <w:rsid w:val="0060365A"/>
    <w:rsid w:val="00606F74"/>
    <w:rsid w:val="0060782F"/>
    <w:rsid w:val="006338D1"/>
    <w:rsid w:val="0065700D"/>
    <w:rsid w:val="006577DF"/>
    <w:rsid w:val="0067442F"/>
    <w:rsid w:val="00680567"/>
    <w:rsid w:val="00682D7C"/>
    <w:rsid w:val="00683350"/>
    <w:rsid w:val="0069603C"/>
    <w:rsid w:val="00697A75"/>
    <w:rsid w:val="006B6D13"/>
    <w:rsid w:val="006C282D"/>
    <w:rsid w:val="006C60FC"/>
    <w:rsid w:val="006E1EF2"/>
    <w:rsid w:val="006E24AC"/>
    <w:rsid w:val="006F62BB"/>
    <w:rsid w:val="007008E7"/>
    <w:rsid w:val="007010BC"/>
    <w:rsid w:val="007124B6"/>
    <w:rsid w:val="00742CCF"/>
    <w:rsid w:val="00757D14"/>
    <w:rsid w:val="00764A1C"/>
    <w:rsid w:val="007726EB"/>
    <w:rsid w:val="00786E8D"/>
    <w:rsid w:val="00791CB7"/>
    <w:rsid w:val="00795292"/>
    <w:rsid w:val="007978E6"/>
    <w:rsid w:val="007A0458"/>
    <w:rsid w:val="007A2966"/>
    <w:rsid w:val="007B2B80"/>
    <w:rsid w:val="007B3593"/>
    <w:rsid w:val="007B40BF"/>
    <w:rsid w:val="007C5DDD"/>
    <w:rsid w:val="007E31BE"/>
    <w:rsid w:val="007E57FA"/>
    <w:rsid w:val="007F107B"/>
    <w:rsid w:val="00800850"/>
    <w:rsid w:val="00803366"/>
    <w:rsid w:val="008050DB"/>
    <w:rsid w:val="00816EC9"/>
    <w:rsid w:val="00843398"/>
    <w:rsid w:val="0089327B"/>
    <w:rsid w:val="0089658A"/>
    <w:rsid w:val="008A0E10"/>
    <w:rsid w:val="008B34BC"/>
    <w:rsid w:val="008B6DDD"/>
    <w:rsid w:val="008C2918"/>
    <w:rsid w:val="008C5F62"/>
    <w:rsid w:val="008D2991"/>
    <w:rsid w:val="008D502C"/>
    <w:rsid w:val="008D7FA9"/>
    <w:rsid w:val="008E505E"/>
    <w:rsid w:val="008F1DFC"/>
    <w:rsid w:val="008F3F76"/>
    <w:rsid w:val="008F457C"/>
    <w:rsid w:val="00924AD4"/>
    <w:rsid w:val="009413DF"/>
    <w:rsid w:val="0094513A"/>
    <w:rsid w:val="00947306"/>
    <w:rsid w:val="0095212B"/>
    <w:rsid w:val="00964FE0"/>
    <w:rsid w:val="00972D9C"/>
    <w:rsid w:val="00976D9C"/>
    <w:rsid w:val="00980C92"/>
    <w:rsid w:val="00987F81"/>
    <w:rsid w:val="009A24E5"/>
    <w:rsid w:val="009A7BD4"/>
    <w:rsid w:val="009C7659"/>
    <w:rsid w:val="009E20F4"/>
    <w:rsid w:val="009E78E4"/>
    <w:rsid w:val="00A00A87"/>
    <w:rsid w:val="00A06B01"/>
    <w:rsid w:val="00A15528"/>
    <w:rsid w:val="00A3763C"/>
    <w:rsid w:val="00A53E77"/>
    <w:rsid w:val="00A54AED"/>
    <w:rsid w:val="00A613F8"/>
    <w:rsid w:val="00A65885"/>
    <w:rsid w:val="00AB148C"/>
    <w:rsid w:val="00AB3AF2"/>
    <w:rsid w:val="00AC4A4A"/>
    <w:rsid w:val="00AD46C7"/>
    <w:rsid w:val="00B1162C"/>
    <w:rsid w:val="00B13140"/>
    <w:rsid w:val="00B14B20"/>
    <w:rsid w:val="00B30E2C"/>
    <w:rsid w:val="00B64E7D"/>
    <w:rsid w:val="00B65252"/>
    <w:rsid w:val="00B6699C"/>
    <w:rsid w:val="00B75FD3"/>
    <w:rsid w:val="00B844E8"/>
    <w:rsid w:val="00B96A60"/>
    <w:rsid w:val="00BA3CD1"/>
    <w:rsid w:val="00BA61BF"/>
    <w:rsid w:val="00BC42A4"/>
    <w:rsid w:val="00BC715D"/>
    <w:rsid w:val="00BC7233"/>
    <w:rsid w:val="00BD168A"/>
    <w:rsid w:val="00BE5357"/>
    <w:rsid w:val="00C01F50"/>
    <w:rsid w:val="00C02F86"/>
    <w:rsid w:val="00C05E65"/>
    <w:rsid w:val="00C170AC"/>
    <w:rsid w:val="00C25837"/>
    <w:rsid w:val="00C43071"/>
    <w:rsid w:val="00C4316A"/>
    <w:rsid w:val="00C53D37"/>
    <w:rsid w:val="00C63AD8"/>
    <w:rsid w:val="00C83DA3"/>
    <w:rsid w:val="00C86717"/>
    <w:rsid w:val="00CB1CAD"/>
    <w:rsid w:val="00CE27C1"/>
    <w:rsid w:val="00D132CB"/>
    <w:rsid w:val="00D25C95"/>
    <w:rsid w:val="00D33331"/>
    <w:rsid w:val="00D630D4"/>
    <w:rsid w:val="00D73389"/>
    <w:rsid w:val="00D7755D"/>
    <w:rsid w:val="00D9124A"/>
    <w:rsid w:val="00DA69F8"/>
    <w:rsid w:val="00DB4229"/>
    <w:rsid w:val="00DE3436"/>
    <w:rsid w:val="00E10CA9"/>
    <w:rsid w:val="00E51981"/>
    <w:rsid w:val="00E700A4"/>
    <w:rsid w:val="00E757A7"/>
    <w:rsid w:val="00E77533"/>
    <w:rsid w:val="00E81B9B"/>
    <w:rsid w:val="00E957D6"/>
    <w:rsid w:val="00EA26DA"/>
    <w:rsid w:val="00EA6B08"/>
    <w:rsid w:val="00EB50E0"/>
    <w:rsid w:val="00EB7A98"/>
    <w:rsid w:val="00EC260D"/>
    <w:rsid w:val="00EC5051"/>
    <w:rsid w:val="00EF2EFD"/>
    <w:rsid w:val="00F05245"/>
    <w:rsid w:val="00F05DE6"/>
    <w:rsid w:val="00F06709"/>
    <w:rsid w:val="00F33D14"/>
    <w:rsid w:val="00F34DAE"/>
    <w:rsid w:val="00F35A04"/>
    <w:rsid w:val="00F758B9"/>
    <w:rsid w:val="00FD4CFD"/>
    <w:rsid w:val="00FD60F1"/>
    <w:rsid w:val="00FE79E3"/>
    <w:rsid w:val="00FF62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16824"/>
  <w15:chartTrackingRefBased/>
  <w15:docId w15:val="{807D139F-3F1F-483B-9A9D-50D84658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51981"/>
    <w:pPr>
      <w:ind w:left="720"/>
      <w:contextualSpacing/>
    </w:pPr>
  </w:style>
  <w:style w:type="paragraph" w:styleId="Revisie">
    <w:name w:val="Revision"/>
    <w:hidden/>
    <w:uiPriority w:val="99"/>
    <w:semiHidden/>
    <w:rsid w:val="004F27EA"/>
    <w:pPr>
      <w:spacing w:after="0" w:line="240" w:lineRule="auto"/>
    </w:pPr>
  </w:style>
  <w:style w:type="character" w:styleId="Verwijzingopmerking">
    <w:name w:val="annotation reference"/>
    <w:basedOn w:val="Standaardalinea-lettertype"/>
    <w:uiPriority w:val="99"/>
    <w:semiHidden/>
    <w:unhideWhenUsed/>
    <w:rsid w:val="004F27EA"/>
    <w:rPr>
      <w:sz w:val="16"/>
      <w:szCs w:val="16"/>
    </w:rPr>
  </w:style>
  <w:style w:type="paragraph" w:styleId="Tekstopmerking">
    <w:name w:val="annotation text"/>
    <w:basedOn w:val="Standaard"/>
    <w:link w:val="TekstopmerkingChar"/>
    <w:uiPriority w:val="99"/>
    <w:unhideWhenUsed/>
    <w:rsid w:val="004F27EA"/>
    <w:pPr>
      <w:spacing w:line="240" w:lineRule="auto"/>
    </w:pPr>
    <w:rPr>
      <w:sz w:val="20"/>
      <w:szCs w:val="20"/>
    </w:rPr>
  </w:style>
  <w:style w:type="character" w:customStyle="1" w:styleId="TekstopmerkingChar">
    <w:name w:val="Tekst opmerking Char"/>
    <w:basedOn w:val="Standaardalinea-lettertype"/>
    <w:link w:val="Tekstopmerking"/>
    <w:uiPriority w:val="99"/>
    <w:rsid w:val="004F27EA"/>
    <w:rPr>
      <w:sz w:val="20"/>
      <w:szCs w:val="20"/>
    </w:rPr>
  </w:style>
  <w:style w:type="paragraph" w:styleId="Onderwerpvanopmerking">
    <w:name w:val="annotation subject"/>
    <w:basedOn w:val="Tekstopmerking"/>
    <w:next w:val="Tekstopmerking"/>
    <w:link w:val="OnderwerpvanopmerkingChar"/>
    <w:uiPriority w:val="99"/>
    <w:semiHidden/>
    <w:unhideWhenUsed/>
    <w:rsid w:val="004F27EA"/>
    <w:rPr>
      <w:b/>
      <w:bCs/>
    </w:rPr>
  </w:style>
  <w:style w:type="character" w:customStyle="1" w:styleId="OnderwerpvanopmerkingChar">
    <w:name w:val="Onderwerp van opmerking Char"/>
    <w:basedOn w:val="TekstopmerkingChar"/>
    <w:link w:val="Onderwerpvanopmerking"/>
    <w:uiPriority w:val="99"/>
    <w:semiHidden/>
    <w:rsid w:val="004F27EA"/>
    <w:rPr>
      <w:b/>
      <w:bCs/>
      <w:sz w:val="20"/>
      <w:szCs w:val="20"/>
    </w:rPr>
  </w:style>
  <w:style w:type="paragraph" w:styleId="Voetnoottekst">
    <w:name w:val="footnote text"/>
    <w:basedOn w:val="Standaard"/>
    <w:link w:val="VoetnoottekstChar"/>
    <w:uiPriority w:val="99"/>
    <w:semiHidden/>
    <w:unhideWhenUsed/>
    <w:rsid w:val="00B6525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65252"/>
    <w:rPr>
      <w:sz w:val="20"/>
      <w:szCs w:val="20"/>
    </w:rPr>
  </w:style>
  <w:style w:type="character" w:styleId="Voetnootmarkering">
    <w:name w:val="footnote reference"/>
    <w:basedOn w:val="Standaardalinea-lettertype"/>
    <w:uiPriority w:val="99"/>
    <w:semiHidden/>
    <w:unhideWhenUsed/>
    <w:rsid w:val="00B65252"/>
    <w:rPr>
      <w:vertAlign w:val="superscript"/>
    </w:rPr>
  </w:style>
  <w:style w:type="character" w:styleId="Hyperlink">
    <w:name w:val="Hyperlink"/>
    <w:basedOn w:val="Standaardalinea-lettertype"/>
    <w:uiPriority w:val="99"/>
    <w:unhideWhenUsed/>
    <w:rsid w:val="00B65252"/>
    <w:rPr>
      <w:color w:val="0000FF"/>
      <w:u w:val="single"/>
    </w:rPr>
  </w:style>
  <w:style w:type="paragraph" w:styleId="Koptekst">
    <w:name w:val="header"/>
    <w:basedOn w:val="Standaard"/>
    <w:link w:val="KoptekstChar"/>
    <w:uiPriority w:val="99"/>
    <w:unhideWhenUsed/>
    <w:rsid w:val="00355F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5FD5"/>
  </w:style>
  <w:style w:type="paragraph" w:styleId="Voettekst">
    <w:name w:val="footer"/>
    <w:basedOn w:val="Standaard"/>
    <w:link w:val="VoettekstChar"/>
    <w:uiPriority w:val="99"/>
    <w:unhideWhenUsed/>
    <w:rsid w:val="00355F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5FD5"/>
  </w:style>
  <w:style w:type="character" w:styleId="GevolgdeHyperlink">
    <w:name w:val="FollowedHyperlink"/>
    <w:basedOn w:val="Standaardalinea-lettertype"/>
    <w:uiPriority w:val="99"/>
    <w:semiHidden/>
    <w:unhideWhenUsed/>
    <w:rsid w:val="00D630D4"/>
    <w:rPr>
      <w:color w:val="954F72" w:themeColor="followedHyperlink"/>
      <w:u w:val="single"/>
    </w:rPr>
  </w:style>
  <w:style w:type="paragraph" w:styleId="Ballontekst">
    <w:name w:val="Balloon Text"/>
    <w:basedOn w:val="Standaard"/>
    <w:link w:val="BallontekstChar"/>
    <w:uiPriority w:val="99"/>
    <w:semiHidden/>
    <w:unhideWhenUsed/>
    <w:rsid w:val="00447EE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47EE2"/>
    <w:rPr>
      <w:rFonts w:ascii="Segoe UI" w:hAnsi="Segoe UI" w:cs="Segoe UI"/>
      <w:sz w:val="18"/>
      <w:szCs w:val="18"/>
    </w:rPr>
  </w:style>
  <w:style w:type="character" w:styleId="Onopgelostemelding">
    <w:name w:val="Unresolved Mention"/>
    <w:basedOn w:val="Standaardalinea-lettertype"/>
    <w:uiPriority w:val="99"/>
    <w:semiHidden/>
    <w:unhideWhenUsed/>
    <w:rsid w:val="007A2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87722">
      <w:bodyDiv w:val="1"/>
      <w:marLeft w:val="0"/>
      <w:marRight w:val="0"/>
      <w:marTop w:val="0"/>
      <w:marBottom w:val="0"/>
      <w:divBdr>
        <w:top w:val="none" w:sz="0" w:space="0" w:color="auto"/>
        <w:left w:val="none" w:sz="0" w:space="0" w:color="auto"/>
        <w:bottom w:val="none" w:sz="0" w:space="0" w:color="auto"/>
        <w:right w:val="none" w:sz="0" w:space="0" w:color="auto"/>
      </w:divBdr>
    </w:div>
    <w:div w:id="17196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anque-france.fr/fr/a-votre-service/particuliers/faire-valoir-droit-au-compte-bancaire" TargetMode="External"/><Relationship Id="rId2" Type="http://schemas.openxmlformats.org/officeDocument/2006/relationships/hyperlink" Target="https://www.banque-france.fr/fr/a-votre-service/entreprises/interdit-bancaire-droit-compte-professionnel?utm_source=chatgpt.com" TargetMode="External"/><Relationship Id="rId1" Type="http://schemas.openxmlformats.org/officeDocument/2006/relationships/hyperlink" Target="https://economie.fgov.be/nl/themas/financiele-diensten/betalingsdiensten/basisbankdienst/basisbankdienst-voor" TargetMode="External"/><Relationship Id="rId4" Type="http://schemas.openxmlformats.org/officeDocument/2006/relationships/hyperlink" Target="https://www.legifrance.gouv.fr/codes/id/LEGISCTA00000617036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1935</ap:Words>
  <ap:Characters>10647</ap:Characters>
  <ap:DocSecurity>0</ap:DocSecurity>
  <ap:Lines>88</ap:Lines>
  <ap:Paragraphs>25</ap:Paragraphs>
  <ap:ScaleCrop>false</ap:ScaleCrop>
  <ap:HeadingPairs>
    <vt:vector baseType="variant" size="6">
      <vt:variant>
        <vt:lpstr>Titel</vt:lpstr>
      </vt:variant>
      <vt:variant>
        <vt:i4>1</vt:i4>
      </vt:variant>
      <vt:variant>
        <vt:lpstr>Title</vt:lpstr>
      </vt:variant>
      <vt:variant>
        <vt:i4>1</vt:i4>
      </vt:variant>
      <vt:variant>
        <vt:lpstr>Otsikko</vt:lpstr>
      </vt:variant>
      <vt:variant>
        <vt:i4>1</vt:i4>
      </vt:variant>
    </vt:vector>
  </ap:HeadingPairs>
  <ap:TitlesOfParts>
    <vt:vector baseType="lpstr" size="3">
      <vt:lpstr/>
      <vt:lpstr/>
      <vt:lpstr/>
    </vt:vector>
  </ap:TitlesOfParts>
  <ap:LinksUpToDate>false</ap:LinksUpToDate>
  <ap:CharactersWithSpaces>12557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2025-03-20T08:34:00.0000000Z</dcterms:created>
  <dcterms:modified xsi:type="dcterms:W3CDTF">2025-03-20T08:34:00.0000000Z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2024-09-10T13:26:57Z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8599740f-b49e-4948-b972-4b267da6d660</vt:lpwstr>
  </property>
  <property fmtid="{D5CDD505-2E9C-101B-9397-08002B2CF9AE}" pid="8" name="MSIP_Label_b2aa6e22-2c82-48c6-bf24-1790f4b9c128_ContentBits">
    <vt:lpwstr>0</vt:lpwstr>
  </property>
  <property fmtid="{D5CDD505-2E9C-101B-9397-08002B2CF9AE}" pid="9" name="ContentTypeId">
    <vt:lpwstr>0x010100452955FA467C72448CA47F728811AA62</vt:lpwstr>
  </property>
</Properties>
</file>