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2025Z05214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maart 2025)</w:t>
        <w:br/>
      </w:r>
    </w:p>
    <w:p>
      <w:r>
        <w:t xml:space="preserve">Vragen van de leden Paternotte, Van der Werf (beiden D66) en Boswijk (CDA) aan de minister van Defensie over het samen met de Denen direct investeren in de Oekraïense defensie-industrie. </w:t>
      </w:r>
      <w:r>
        <w:br/>
      </w:r>
    </w:p>
    <w:p>
      <w:r>
        <w:t xml:space="preserve"> </w:t>
      </w:r>
      <w:r>
        <w:br/>
      </w:r>
    </w:p>
    <w:p>
      <w:r>
        <w:t xml:space="preserve">1. Klopt het dat Canada, Noorwegen en IJsland via het Deense mechanisme gezamenlijk een coalitie vormen die investeert in de Oekraïense defensie-industrie?</w:t>
      </w:r>
      <w:r>
        <w:br/>
      </w:r>
    </w:p>
    <w:p>
      <w:r>
        <w:t xml:space="preserve"> </w:t>
      </w:r>
      <w:r>
        <w:br/>
      </w:r>
    </w:p>
    <w:p>
      <w:r>
        <w:t xml:space="preserve">2. Welke pogingen zijn er ondernomen om als Nederland deel te nemen aan het Deense mechanisme van investeren in de Oekraïense defensie-industrie en waarom heeft het kabinet er uiteindelijk voor gekozen om niet deel te nemen aan het Deense mechanisme?</w:t>
      </w:r>
      <w:r>
        <w:br/>
      </w:r>
    </w:p>
    <w:p>
      <w:r>
        <w:t xml:space="preserve"> </w:t>
      </w:r>
      <w:r>
        <w:br/>
      </w:r>
    </w:p>
    <w:p>
      <w:r>
        <w:t xml:space="preserve">3. Op welke manier verschilt het Deense mechanisme precies van de Nederlandse manier van investeren in de Oekraïense defensie-industrie?</w:t>
      </w:r>
      <w:r>
        <w:br/>
      </w:r>
    </w:p>
    <w:p>
      <w:r>
        <w:t xml:space="preserve"> </w:t>
      </w:r>
      <w:r>
        <w:br/>
      </w:r>
    </w:p>
    <w:p>
      <w:r>
        <w:t xml:space="preserve">4. Heeft Nederland inmiddels wel zelf geïnvesteerd in de Oekraïense defensie-industrie?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5. Kunt u aangeven hoe u uitvoering geeft aan de motie Paternotte/Boswijk? (Kamerstuk 28 676, nr. 475) </w:t>
      </w:r>
      <w:r>
        <w:br/>
      </w:r>
    </w:p>
    <w:p>
      <w:r>
        <w:t xml:space="preserve"> </w:t>
      </w:r>
      <w:r>
        <w:br/>
      </w:r>
    </w:p>
    <w:p>
      <w:r>
        <w:t xml:space="preserve">6. Hoeveel contracten zijn tot op heden afgesloten voor directe Nederlandse investeringen in de Oekraïense defensie-industrie? Hoeveel geld is hier precies mee gemoeid?</w:t>
      </w:r>
      <w:r>
        <w:br/>
      </w:r>
    </w:p>
    <w:p>
      <w:r>
        <w:t xml:space="preserve"> </w:t>
      </w:r>
      <w:r>
        <w:br/>
      </w:r>
    </w:p>
    <w:p>
      <w:r>
        <w:t xml:space="preserve">7. Hoeveel contracten verwacht het kabinet nog dit jaar te sluiten met de Oekraïense defensie-industrie voor Nederlandse investeringen aldaar? Hoeveel geld is hiervoor gereserveerd?  </w:t>
      </w:r>
      <w:r>
        <w:br/>
      </w:r>
    </w:p>
    <w:p>
      <w:r>
        <w:t xml:space="preserve"> </w:t>
      </w:r>
      <w:r>
        <w:br/>
      </w:r>
    </w:p>
    <w:p>
      <w:r>
        <w:t xml:space="preserve">8. Op welke manier waarborgt de door dit kabinet gekozen investeringsstrategie in de Oekraïense defensie-industrie dat deze aansluit bij de behoeften van Oekraïne?</w:t>
      </w:r>
      <w:r>
        <w:br/>
      </w:r>
    </w:p>
    <w:p>
      <w:r>
        <w:t xml:space="preserve"> </w:t>
      </w:r>
      <w:r>
        <w:br/>
      </w:r>
    </w:p>
    <w:p>
      <w:r>
        <w:t xml:space="preserve">9. Hoeveel financieringsbehoefte is er op dit moment nog bij de Oekraïense defensie-industrie?</w:t>
      </w:r>
      <w:r>
        <w:br/>
      </w:r>
    </w:p>
    <w:p>
      <w:r>
        <w:t xml:space="preserve"> </w:t>
      </w:r>
      <w:r>
        <w:br/>
      </w:r>
    </w:p>
    <w:p>
      <w:r>
        <w:t xml:space="preserve">10. Hoeveel contracten heeft Denemarken reeds gesloten met de Oekraïense defensie-industrie en hoeveel geld was daarmee gemoeid?</w:t>
      </w:r>
      <w:r>
        <w:br/>
      </w:r>
    </w:p>
    <w:p>
      <w:r>
        <w:t xml:space="preserve"> </w:t>
      </w:r>
      <w:r>
        <w:br/>
      </w:r>
    </w:p>
    <w:p>
      <w:r>
        <w:t xml:space="preserve">11. Kunt u deze vragen elk afzonderlijk beantwoorden voorafgaand aan het Commissiedebat over de NAVO ministeriële op 26 maart aanstaande?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