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2025Z05219</w:t>
        <w:br/>
      </w:r>
      <w:proofErr w:type="spellEnd"/>
    </w:p>
    <w:p>
      <w:pPr>
        <w:pStyle w:val="Normal"/>
        <w:rPr>
          <w:b w:val="1"/>
          <w:bCs w:val="1"/>
        </w:rPr>
      </w:pPr>
      <w:r w:rsidR="250AE766">
        <w:rPr>
          <w:b w:val="0"/>
          <w:bCs w:val="0"/>
        </w:rPr>
        <w:t>(ingezonden 20 maart 2025)</w:t>
        <w:br/>
      </w:r>
    </w:p>
    <w:p>
      <w:r>
        <w:t xml:space="preserve">Vragen van het lid Joseph (Nieuw Sociaal Contract) aan de minister van Sociale Zaken en Werkgelegenheid over het bericht 'De slapers worden wakker'.</w:t>
      </w:r>
      <w:r>
        <w:br/>
      </w:r>
    </w:p>
    <w:p>
      <w:pPr>
        <w:pStyle w:val="ListParagraph"/>
        <w:numPr>
          <w:ilvl w:val="0"/>
          <w:numId w:val="100472420"/>
        </w:numPr>
        <w:ind w:left="360"/>
      </w:pPr>
      <w:r>
        <w:t>Bent u bekend met het bericht 'De slapers worden wakker'? 1)</w:t>
      </w:r>
      <w:r>
        <w:br/>
      </w:r>
    </w:p>
    <w:p>
      <w:pPr>
        <w:pStyle w:val="ListParagraph"/>
        <w:numPr>
          <w:ilvl w:val="0"/>
          <w:numId w:val="100472420"/>
        </w:numPr>
        <w:ind w:left="360"/>
      </w:pPr>
      <w:r>
        <w:t>Hoe kijkt u naar de stelling uit het artikel dat het uitsluiten van slapers blijkbaar het kenmerk is van de Wet toekomst pensioenen?</w:t>
      </w:r>
      <w:r>
        <w:br/>
      </w:r>
    </w:p>
    <w:p>
      <w:pPr>
        <w:pStyle w:val="ListParagraph"/>
        <w:numPr>
          <w:ilvl w:val="0"/>
          <w:numId w:val="100472420"/>
        </w:numPr>
        <w:ind w:left="360"/>
      </w:pPr>
      <w:r>
        <w:t>Is er volgens u tot nu toe voldoende invulling gegeven aan de in het artikel genoemde passage uit de memorie van toelichting van de Wet toekomst pensioenen dat slapers net als gepensioneerden het recht hebben gehoord te worden bij de transitie en dat pensioenfondsen en sociale partners dit moeten faciliteren? Zo ja, waar blijkt dit uit in de praktijk?</w:t>
      </w:r>
      <w:r>
        <w:br/>
      </w:r>
    </w:p>
    <w:p>
      <w:pPr>
        <w:pStyle w:val="ListParagraph"/>
        <w:numPr>
          <w:ilvl w:val="0"/>
          <w:numId w:val="100472420"/>
        </w:numPr>
        <w:ind w:left="360"/>
      </w:pPr>
      <w:r>
        <w:t>Kunt u inzicht geven in de ervaringen van de slapers van de koplopers (Loodsen, APG &amp; PWRI) met het invaren per koploper?</w:t>
      </w:r>
      <w:r>
        <w:br/>
      </w:r>
    </w:p>
    <w:p>
      <w:pPr>
        <w:pStyle w:val="ListParagraph"/>
        <w:numPr>
          <w:ilvl w:val="0"/>
          <w:numId w:val="100472420"/>
        </w:numPr>
        <w:ind w:left="360"/>
      </w:pPr>
      <w:r>
        <w:t>Deelt u de mening dat de slapers een kwetsbare groep zijn in de transitie naar het nieuwe pensioenstelsel, omdat zij anders dan gepensioneerden geen vaste plek hebben in het pensioenbestuur en verantwoordings- of belanghebbendenorgaan? Zo nee, waarom niet?</w:t>
      </w:r>
      <w:r>
        <w:br/>
      </w:r>
    </w:p>
    <w:p>
      <w:pPr>
        <w:pStyle w:val="ListParagraph"/>
        <w:numPr>
          <w:ilvl w:val="0"/>
          <w:numId w:val="100472420"/>
        </w:numPr>
        <w:ind w:left="360"/>
      </w:pPr>
      <w:r>
        <w:t>Bent u het eens met de stelling dat de uitkomst van het worst-worst-case-scenario van de slapers van Gasunie niet per se bezwaarlijk is? Zo ja, waarom?</w:t>
      </w:r>
      <w:r>
        <w:br/>
      </w:r>
    </w:p>
    <w:p>
      <w:pPr>
        <w:pStyle w:val="ListParagraph"/>
        <w:numPr>
          <w:ilvl w:val="0"/>
          <w:numId w:val="100472420"/>
        </w:numPr>
        <w:ind w:left="360"/>
      </w:pPr>
      <w:r>
        <w:t>Kunt u op basis van de constatering van De Nederlandsche Bank inzicht geven in welke pensioenfondsen in hun berekeningen komen tot "relatief grote transitie-effecten" voor jonge slapers, en wat deze effecten betekenen voor het opgebouwde pensioen van de jonge slapers?</w:t>
      </w:r>
      <w:r>
        <w:br/>
      </w:r>
    </w:p>
    <w:p>
      <w:pPr>
        <w:pStyle w:val="ListParagraph"/>
        <w:numPr>
          <w:ilvl w:val="0"/>
          <w:numId w:val="100472420"/>
        </w:numPr>
        <w:ind w:left="360"/>
      </w:pPr>
      <w:r>
        <w:t>Onderstreept u het belang dat (jonge) slapers goed vertegenwoordigd zouden moeten worden bij de transitie, juist vanwege deze relatief grote transitie-effecten in de berekeningen van pensioenfondsen? Zo ja, hoe bent u voornemens dit te realiseren?</w:t>
      </w:r>
      <w:r>
        <w:br/>
      </w:r>
    </w:p>
    <w:p>
      <w:pPr>
        <w:pStyle w:val="ListParagraph"/>
        <w:numPr>
          <w:ilvl w:val="0"/>
          <w:numId w:val="100472420"/>
        </w:numPr>
        <w:ind w:left="360"/>
      </w:pPr>
      <w:r>
        <w:t>Hoe reflecteert u in dat licht op het verloop van het hoorrecht van de slapers bij Gasunie?</w:t>
      </w:r>
      <w:r>
        <w:br/>
      </w:r>
    </w:p>
    <w:p>
      <w:pPr>
        <w:pStyle w:val="ListParagraph"/>
        <w:numPr>
          <w:ilvl w:val="0"/>
          <w:numId w:val="100472420"/>
        </w:numPr>
        <w:ind w:left="360"/>
      </w:pPr>
      <w:r>
        <w:t>Bent u het eens dat de passage uit het artikel "sociale partners hebben echter weinig gedaan met het hoorrecht en dat hoeven ze feitelijk ook niet te doen" blootlegt waarom het hoorrecht niet kan worden gezien als adequate vervanging van het buitenwerking stellen van het individueel bezwaarrecht? Zo nee, waarom niet?</w:t>
      </w:r>
      <w:r>
        <w:br/>
      </w:r>
    </w:p>
    <w:p>
      <w:r>
        <w:t xml:space="preserve">1) Pensioen Pro, 19 maart 2025, 'De slapers worden wakker' (https://pensioenpro.nl/de-slapers-worden-wakker/).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