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2025Z05224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20 maart 2025)</w:t>
        <w:br/>
      </w:r>
    </w:p>
    <w:p>
      <w:r>
        <w:t xml:space="preserve">Vragen van het lid Van der Wal (VVD) aan de minister van Onderwijs, Cultuur en Wetenschap over Nederlandse oorlogsmusea.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Deelt u de mening dat oorlogsmusea ontzettend waardevol zijn voor educatie alsook de Nederlandse herinneringscultuur, zeker in deze tijd van grote internationale turbulentie?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Ontvangen Nederlandse oorlogsmusea op dit moment rijkssubsidies? Zo ja, hoeveel subsidie ontvangen oorlogsmusea jaarlijks vanuit het Rijk en hoe verhoudt dit zich tot de bijdragen van de provincie Noord-Brabant, gemeente Land van Cuijk en private fondsen?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Klopt het dat oorlogsmusea op dit moment niet worden meegenomen in de culturele basisinfrastructuur (BIS)? Waarom niet?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Klopt het dat de Rijkscultuurfondsen binnen alle culturele disciplines, dus ook erfgoed, actief zijn? In hoeverre zijn zij ook actief in het ondersteunen van musea?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Is bij u bekend of het Mondriaan Fonds bijdraagt aan projecten van oorlogsmusea? Zo nee, zouden oorlogsmusea zich wel kwalificeren voor een bijdrage uit de andere Rijkscultuurfondsen?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In hoeverre heeft u inzicht in de financiële situatie van de verschillende Nederlandse oorlogsmusea? Zijn er u signalen bekend van musea die er financieel niet gezond voorstaan? Wat doet u om dergelijke musea te helpen?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Hoe beziet u het betrekken van andere museale instellingen naast de herinneringsinstellingen in het licht van de wens om méér aan Holocaust-educatie te doen in Nederland?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