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BF5548D" w14:textId="77777777">
        <w:trPr>
          <w:cantSplit/>
        </w:trPr>
        <w:tc>
          <w:tcPr>
            <w:tcW w:w="9212" w:type="dxa"/>
            <w:gridSpan w:val="2"/>
          </w:tcPr>
          <w:p w:rsidR="003B4752" w:rsidRDefault="003B4752" w14:paraId="5115CA0E" w14:textId="77777777">
            <w:pPr>
              <w:tabs>
                <w:tab w:val="left" w:pos="-1440"/>
                <w:tab w:val="left" w:pos="-720"/>
              </w:tabs>
              <w:suppressAutoHyphens/>
            </w:pPr>
          </w:p>
        </w:tc>
      </w:tr>
      <w:tr w:rsidR="003B4752" w14:paraId="6F9A2280" w14:textId="77777777">
        <w:trPr>
          <w:cantSplit/>
        </w:trPr>
        <w:tc>
          <w:tcPr>
            <w:tcW w:w="9212" w:type="dxa"/>
            <w:gridSpan w:val="2"/>
          </w:tcPr>
          <w:p w:rsidR="003B4752" w:rsidRDefault="003B4752" w14:paraId="1DB97A6B" w14:textId="77777777">
            <w:pPr>
              <w:tabs>
                <w:tab w:val="left" w:pos="-1440"/>
                <w:tab w:val="left" w:pos="-720"/>
              </w:tabs>
              <w:suppressAutoHyphens/>
              <w:rPr>
                <w:b/>
              </w:rPr>
            </w:pPr>
          </w:p>
        </w:tc>
      </w:tr>
      <w:tr w:rsidR="009833D1" w14:paraId="55F331C1" w14:textId="77777777">
        <w:tc>
          <w:tcPr>
            <w:tcW w:w="2622" w:type="dxa"/>
          </w:tcPr>
          <w:p w:rsidR="009833D1" w:rsidRDefault="007C59F7" w14:paraId="072A7B38" w14:textId="1C180C09">
            <w:pPr>
              <w:widowControl w:val="0"/>
              <w:rPr>
                <w:b/>
              </w:rPr>
            </w:pPr>
            <w:r>
              <w:rPr>
                <w:b/>
              </w:rPr>
              <w:t>35 646</w:t>
            </w:r>
          </w:p>
        </w:tc>
        <w:tc>
          <w:tcPr>
            <w:tcW w:w="6590" w:type="dxa"/>
          </w:tcPr>
          <w:p w:rsidRPr="007C59F7" w:rsidR="009833D1" w:rsidP="007C59F7" w:rsidRDefault="007C59F7" w14:paraId="03C5CA6C" w14:textId="3DF45F20">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B4752" w14:paraId="79327FDA" w14:textId="77777777">
        <w:tc>
          <w:tcPr>
            <w:tcW w:w="2622" w:type="dxa"/>
          </w:tcPr>
          <w:p w:rsidR="003B4752" w:rsidRDefault="003B4752" w14:paraId="6DC88C82" w14:textId="77777777">
            <w:pPr>
              <w:tabs>
                <w:tab w:val="left" w:pos="284"/>
              </w:tabs>
              <w:rPr>
                <w:b/>
              </w:rPr>
            </w:pPr>
          </w:p>
        </w:tc>
        <w:tc>
          <w:tcPr>
            <w:tcW w:w="6590" w:type="dxa"/>
          </w:tcPr>
          <w:p w:rsidR="003B4752" w:rsidRDefault="003B4752" w14:paraId="41C3376F" w14:textId="77777777">
            <w:pPr>
              <w:tabs>
                <w:tab w:val="left" w:pos="284"/>
              </w:tabs>
              <w:rPr>
                <w:b/>
              </w:rPr>
            </w:pPr>
          </w:p>
        </w:tc>
      </w:tr>
      <w:tr w:rsidR="003B4752" w14:paraId="2827E8B9" w14:textId="77777777">
        <w:tc>
          <w:tcPr>
            <w:tcW w:w="2622" w:type="dxa"/>
          </w:tcPr>
          <w:p w:rsidR="003B4752" w:rsidRDefault="003B4752" w14:paraId="215FC8EE" w14:textId="1AEE7EDA">
            <w:pPr>
              <w:tabs>
                <w:tab w:val="left" w:pos="284"/>
              </w:tabs>
              <w:rPr>
                <w:b/>
              </w:rPr>
            </w:pPr>
            <w:r>
              <w:rPr>
                <w:b/>
              </w:rPr>
              <w:t xml:space="preserve">Nr. </w:t>
            </w:r>
            <w:r w:rsidR="007C59F7">
              <w:rPr>
                <w:b/>
              </w:rPr>
              <w:t>48</w:t>
            </w:r>
          </w:p>
        </w:tc>
        <w:tc>
          <w:tcPr>
            <w:tcW w:w="6590" w:type="dxa"/>
          </w:tcPr>
          <w:p w:rsidR="003B4752" w:rsidRDefault="007C59F7" w14:paraId="72AC1A50" w14:textId="31B9BAE4">
            <w:pPr>
              <w:tabs>
                <w:tab w:val="left" w:pos="284"/>
              </w:tabs>
              <w:rPr>
                <w:b/>
              </w:rPr>
            </w:pPr>
            <w:r>
              <w:rPr>
                <w:b/>
              </w:rPr>
              <w:t xml:space="preserve">DERDE </w:t>
            </w:r>
            <w:r w:rsidR="003B4752">
              <w:rPr>
                <w:b/>
              </w:rPr>
              <w:t>NOTA VAN WIJZIGING</w:t>
            </w:r>
          </w:p>
          <w:p w:rsidR="003B4752" w:rsidP="009833D1" w:rsidRDefault="003B4752" w14:paraId="4F7A76AF" w14:textId="694F704D">
            <w:pPr>
              <w:tabs>
                <w:tab w:val="left" w:pos="284"/>
              </w:tabs>
            </w:pPr>
            <w:r>
              <w:t xml:space="preserve">Ontvangen </w:t>
            </w:r>
            <w:r w:rsidRPr="007C59F7" w:rsidR="007C59F7">
              <w:rPr>
                <w:bCs/>
              </w:rPr>
              <w:t>20 maart 2025</w:t>
            </w:r>
          </w:p>
        </w:tc>
      </w:tr>
    </w:tbl>
    <w:p w:rsidR="009833D1" w:rsidP="00FE223B" w:rsidRDefault="009833D1" w14:paraId="1E17D02F" w14:textId="77777777">
      <w:pPr>
        <w:tabs>
          <w:tab w:val="left" w:pos="284"/>
        </w:tabs>
      </w:pPr>
    </w:p>
    <w:p w:rsidRPr="007C59F7" w:rsidR="007C59F7" w:rsidP="007C59F7" w:rsidRDefault="007C59F7" w14:paraId="4290C48D" w14:textId="4415BBEA">
      <w:pPr>
        <w:tabs>
          <w:tab w:val="left" w:pos="284"/>
        </w:tabs>
      </w:pPr>
      <w:r>
        <w:tab/>
      </w:r>
      <w:r w:rsidRPr="007C59F7">
        <w:t>Het voorstel van wet wordt als volgt gewijzigd:</w:t>
      </w:r>
    </w:p>
    <w:p w:rsidR="007C59F7" w:rsidP="007C59F7" w:rsidRDefault="007C59F7" w14:paraId="2F6D779D" w14:textId="77777777">
      <w:pPr>
        <w:tabs>
          <w:tab w:val="left" w:pos="284"/>
        </w:tabs>
      </w:pPr>
    </w:p>
    <w:p w:rsidRPr="007C59F7" w:rsidR="007C59F7" w:rsidP="007C59F7" w:rsidRDefault="007C59F7" w14:paraId="1CBB13A7" w14:textId="6EA44810">
      <w:pPr>
        <w:tabs>
          <w:tab w:val="left" w:pos="284"/>
        </w:tabs>
      </w:pPr>
      <w:r w:rsidRPr="007C59F7">
        <w:t>A</w:t>
      </w:r>
    </w:p>
    <w:p w:rsidR="007C59F7" w:rsidP="007C59F7" w:rsidRDefault="007C59F7" w14:paraId="317054B5" w14:textId="77777777">
      <w:pPr>
        <w:tabs>
          <w:tab w:val="left" w:pos="284"/>
        </w:tabs>
      </w:pPr>
    </w:p>
    <w:p w:rsidRPr="007C59F7" w:rsidR="007C59F7" w:rsidP="007C59F7" w:rsidRDefault="007C59F7" w14:paraId="5EF3ADEB" w14:textId="355B39AF">
      <w:pPr>
        <w:tabs>
          <w:tab w:val="left" w:pos="284"/>
        </w:tabs>
      </w:pPr>
      <w:r>
        <w:tab/>
      </w:r>
      <w:r w:rsidRPr="007C59F7">
        <w:t>Artikel 2 komt te luiden:</w:t>
      </w:r>
    </w:p>
    <w:p w:rsidR="007C59F7" w:rsidP="007C59F7" w:rsidRDefault="007C59F7" w14:paraId="518D50A2" w14:textId="77777777">
      <w:pPr>
        <w:tabs>
          <w:tab w:val="left" w:pos="284"/>
        </w:tabs>
        <w:rPr>
          <w:b/>
          <w:bCs/>
        </w:rPr>
      </w:pPr>
    </w:p>
    <w:p w:rsidR="007C59F7" w:rsidP="007C59F7" w:rsidRDefault="007C59F7" w14:paraId="4563FA65" w14:textId="3D6E750D">
      <w:pPr>
        <w:tabs>
          <w:tab w:val="left" w:pos="284"/>
        </w:tabs>
        <w:rPr>
          <w:b/>
          <w:bCs/>
        </w:rPr>
      </w:pPr>
      <w:r w:rsidRPr="007C59F7">
        <w:rPr>
          <w:b/>
          <w:bCs/>
        </w:rPr>
        <w:t>Artikel 2</w:t>
      </w:r>
    </w:p>
    <w:p w:rsidRPr="007C59F7" w:rsidR="00016823" w:rsidP="007C59F7" w:rsidRDefault="00016823" w14:paraId="096E2501" w14:textId="77777777">
      <w:pPr>
        <w:tabs>
          <w:tab w:val="left" w:pos="284"/>
        </w:tabs>
        <w:rPr>
          <w:b/>
          <w:bCs/>
        </w:rPr>
      </w:pPr>
    </w:p>
    <w:p w:rsidRPr="007C59F7" w:rsidR="007C59F7" w:rsidP="007C59F7" w:rsidRDefault="007C59F7" w14:paraId="2789CF5B" w14:textId="58D0BE2F">
      <w:pPr>
        <w:tabs>
          <w:tab w:val="left" w:pos="284"/>
        </w:tabs>
      </w:pPr>
      <w:r>
        <w:tab/>
        <w:t xml:space="preserve">1. </w:t>
      </w:r>
      <w:r w:rsidRPr="007C59F7">
        <w:t xml:space="preserve">Maatschappelijke organisaties zijn, op de voorwaarden bij of krachtens deze wet, gehouden inzicht te verschaffen in herkomst, doel en omvang van een of meer donaties. Als waarde van een bijdrage in natura geldt het verschil tussen de gebruikelijke waarde van het geleverde in het economisch verkeer en de waarde van de tegenprestatie. </w:t>
      </w:r>
    </w:p>
    <w:p w:rsidRPr="007C59F7" w:rsidR="007C59F7" w:rsidP="007C59F7" w:rsidRDefault="007C59F7" w14:paraId="6CE4A7A7" w14:textId="3FB8162F">
      <w:pPr>
        <w:tabs>
          <w:tab w:val="left" w:pos="284"/>
        </w:tabs>
      </w:pPr>
      <w:r>
        <w:tab/>
        <w:t xml:space="preserve">2. </w:t>
      </w:r>
      <w:r w:rsidRPr="007C59F7">
        <w:t xml:space="preserve">Het bestuur van een maatschappelijke organisatie geeft inzicht in donatiegegevens die worden bijgehouden in het kader van reeds geldende verplichtingen voor de maatschappelijke organisatie, waaronder artikel 10 en titel 9 van Boek 2 van het Burgerlijk Wetboek, alsmede in donaties die giraal zijn binnengekomen of anderszins op basis van de wet moeten worden bijgehouden. </w:t>
      </w:r>
    </w:p>
    <w:p w:rsidRPr="007C59F7" w:rsidR="007C59F7" w:rsidP="007C59F7" w:rsidRDefault="007C59F7" w14:paraId="1B00AA74" w14:textId="146D69C0">
      <w:pPr>
        <w:tabs>
          <w:tab w:val="left" w:pos="284"/>
        </w:tabs>
      </w:pPr>
      <w:r>
        <w:tab/>
        <w:t xml:space="preserve">3. </w:t>
      </w:r>
      <w:r w:rsidRPr="007C59F7">
        <w:t xml:space="preserve">Deze wet legt geen aanvullende verplichtingen op om donatiegegevens bij te houden. </w:t>
      </w:r>
    </w:p>
    <w:p w:rsidRPr="007C59F7" w:rsidR="007C59F7" w:rsidP="007C59F7" w:rsidRDefault="007C59F7" w14:paraId="0397F67E" w14:textId="77952D8D">
      <w:pPr>
        <w:tabs>
          <w:tab w:val="left" w:pos="284"/>
        </w:tabs>
      </w:pPr>
      <w:r>
        <w:tab/>
        <w:t xml:space="preserve">4. </w:t>
      </w:r>
      <w:r w:rsidRPr="007C59F7">
        <w:t>Het bestuur bewaart de donatiegegevens gedurende zeven boekjaren.</w:t>
      </w:r>
    </w:p>
    <w:p w:rsidRPr="007C59F7" w:rsidR="007C59F7" w:rsidP="007C59F7" w:rsidRDefault="007C59F7" w14:paraId="77D7E4C9" w14:textId="77777777">
      <w:pPr>
        <w:tabs>
          <w:tab w:val="left" w:pos="284"/>
        </w:tabs>
      </w:pPr>
    </w:p>
    <w:p w:rsidR="007C59F7" w:rsidP="007C59F7" w:rsidRDefault="007C59F7" w14:paraId="3070E8E2" w14:textId="77777777">
      <w:pPr>
        <w:tabs>
          <w:tab w:val="left" w:pos="284"/>
        </w:tabs>
        <w:rPr>
          <w:b/>
        </w:rPr>
      </w:pPr>
      <w:r w:rsidRPr="007C59F7">
        <w:rPr>
          <w:b/>
        </w:rPr>
        <w:t>Toelichting</w:t>
      </w:r>
    </w:p>
    <w:p w:rsidRPr="007C59F7" w:rsidR="007C59F7" w:rsidP="007C59F7" w:rsidRDefault="007C59F7" w14:paraId="5485CBBC" w14:textId="77777777">
      <w:pPr>
        <w:tabs>
          <w:tab w:val="left" w:pos="284"/>
        </w:tabs>
        <w:rPr>
          <w:b/>
        </w:rPr>
      </w:pPr>
    </w:p>
    <w:p w:rsidR="007C59F7" w:rsidP="007C59F7" w:rsidRDefault="007C59F7" w14:paraId="76A2F54C" w14:textId="77777777">
      <w:pPr>
        <w:tabs>
          <w:tab w:val="left" w:pos="284"/>
        </w:tabs>
      </w:pPr>
      <w:r w:rsidRPr="007C59F7">
        <w:t xml:space="preserve">Deze nota van wijziging verduidelijkt dat maatschappelijke organisaties geen extra administratie hoeven bij te houden als gevolg van de Wtmo. Dit is voor alle zekerheid in een nieuw derde lid vastgelegd. </w:t>
      </w:r>
    </w:p>
    <w:p w:rsidRPr="007C59F7" w:rsidR="007C59F7" w:rsidP="007C59F7" w:rsidRDefault="007C59F7" w14:paraId="2A5B0F48" w14:textId="77777777">
      <w:pPr>
        <w:tabs>
          <w:tab w:val="left" w:pos="284"/>
        </w:tabs>
      </w:pPr>
    </w:p>
    <w:p w:rsidR="007C59F7" w:rsidP="007C59F7" w:rsidRDefault="007C59F7" w14:paraId="64A96496" w14:textId="77777777">
      <w:pPr>
        <w:tabs>
          <w:tab w:val="left" w:pos="284"/>
        </w:tabs>
      </w:pPr>
      <w:r w:rsidRPr="007C59F7">
        <w:t xml:space="preserve">In het tweede lid is een en ander nader uitgewerkt. Verduidelijkt is dat desgevraagd door maatschappelijke organisaties inzicht moet worden gegeven in donatiegegevens die al worden bijgehouden in het kader van bestaande administratieverplichtingen, bijvoorbeeld op grond van Boek 2 van het Burgerlijk Wetboek (met name artikel 10 en titel 9). Verder wordt verduidelijkt dat donaties die bijvoorbeeld via bankovermaking (giraal) worden bijgehouden en die eenvoudig kunnen worden verstrekt, ook onder de reikwijdte van bijgehouden donaties vallen. Ditzelfde geldt indien op grond van andere, reeds bestaande, wetgeving al een plicht bestaat om gegevens bij te houden. </w:t>
      </w:r>
    </w:p>
    <w:p w:rsidRPr="007C59F7" w:rsidR="007C59F7" w:rsidP="007C59F7" w:rsidRDefault="007C59F7" w14:paraId="214249AC" w14:textId="77777777">
      <w:pPr>
        <w:tabs>
          <w:tab w:val="left" w:pos="284"/>
        </w:tabs>
      </w:pPr>
    </w:p>
    <w:p w:rsidR="007C59F7" w:rsidP="007C59F7" w:rsidRDefault="007C59F7" w14:paraId="5184B19F" w14:textId="77777777">
      <w:pPr>
        <w:tabs>
          <w:tab w:val="left" w:pos="284"/>
        </w:tabs>
      </w:pPr>
      <w:r w:rsidRPr="007C59F7">
        <w:lastRenderedPageBreak/>
        <w:t>Dit betekent voor maatschappelijke organisaties bijvoorbeeld dat donaties in de vorm van contanten in de collectebus, voedsel voor de voedselbank en dergelijke niet specifiek hoeven te worden bijgehouden onder deze wet. Onder de reikwijdte van de Wtmo vallen uitsluitend die relevante gegevens waarover maatschappelijke organisaties reeds uit andere hoofden beschikken.</w:t>
      </w:r>
    </w:p>
    <w:p w:rsidRPr="007C59F7" w:rsidR="007C59F7" w:rsidP="007C59F7" w:rsidRDefault="007C59F7" w14:paraId="368FD850" w14:textId="77777777">
      <w:pPr>
        <w:tabs>
          <w:tab w:val="left" w:pos="284"/>
        </w:tabs>
      </w:pPr>
    </w:p>
    <w:p w:rsidRPr="007C59F7" w:rsidR="007C59F7" w:rsidP="007C59F7" w:rsidRDefault="007C59F7" w14:paraId="6A9F0683" w14:textId="77777777">
      <w:pPr>
        <w:tabs>
          <w:tab w:val="left" w:pos="284"/>
        </w:tabs>
      </w:pPr>
      <w:r w:rsidRPr="007C59F7">
        <w:t>De Minister van Justitie en Veiligheid,</w:t>
      </w:r>
    </w:p>
    <w:p w:rsidRPr="007C59F7" w:rsidR="007C59F7" w:rsidP="007C59F7" w:rsidRDefault="007C59F7" w14:paraId="706440D8" w14:textId="77777777">
      <w:pPr>
        <w:tabs>
          <w:tab w:val="left" w:pos="284"/>
        </w:tabs>
      </w:pPr>
      <w:r w:rsidRPr="007C59F7">
        <w:t>D.M. van Weel</w:t>
      </w:r>
    </w:p>
    <w:p w:rsidR="007C59F7" w:rsidP="00FE223B" w:rsidRDefault="007C59F7" w14:paraId="775B7DA3" w14:textId="77777777">
      <w:pPr>
        <w:tabs>
          <w:tab w:val="left" w:pos="284"/>
        </w:tabs>
      </w:pPr>
    </w:p>
    <w:sectPr w:rsidR="007C59F7">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5606" w14:textId="77777777" w:rsidR="007C59F7" w:rsidRDefault="007C59F7">
      <w:r>
        <w:separator/>
      </w:r>
    </w:p>
  </w:endnote>
  <w:endnote w:type="continuationSeparator" w:id="0">
    <w:p w14:paraId="4A6B7E49" w14:textId="77777777" w:rsidR="007C59F7" w:rsidRDefault="007C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1CD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57511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B86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E55E9E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6B26" w14:textId="77777777" w:rsidR="007C59F7" w:rsidRDefault="007C59F7">
      <w:r>
        <w:separator/>
      </w:r>
    </w:p>
  </w:footnote>
  <w:footnote w:type="continuationSeparator" w:id="0">
    <w:p w14:paraId="1155FAFE" w14:textId="77777777" w:rsidR="007C59F7" w:rsidRDefault="007C5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7B72"/>
    <w:multiLevelType w:val="hybridMultilevel"/>
    <w:tmpl w:val="0E6CBCFA"/>
    <w:lvl w:ilvl="0" w:tplc="2DF44914">
      <w:start w:val="1"/>
      <w:numFmt w:val="decimal"/>
      <w:lvlText w:val="%1."/>
      <w:lvlJc w:val="left"/>
      <w:pPr>
        <w:ind w:left="720" w:hanging="360"/>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72120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F7"/>
    <w:rsid w:val="00016823"/>
    <w:rsid w:val="002F1343"/>
    <w:rsid w:val="003B4752"/>
    <w:rsid w:val="004D5FF9"/>
    <w:rsid w:val="005F5833"/>
    <w:rsid w:val="007C02C8"/>
    <w:rsid w:val="007C59F7"/>
    <w:rsid w:val="009833D1"/>
    <w:rsid w:val="00B43DC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FB7C9"/>
  <w15:docId w15:val="{D67A814F-4D77-431F-8EB2-18C63C60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7C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2402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2025-03-20T14:53:00.0000000Z</dcterms:created>
  <dcterms:modified xsi:type="dcterms:W3CDTF">2025-03-20T14:53:00.0000000Z</dcterms:modified>
  <dc:description>------------------------</dc:description>
  <dc:subject/>
  <keywords/>
  <version/>
  <category/>
</coreProperties>
</file>