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57784B" w:rsidRDefault="00340ECA" w14:paraId="19575E53" w14:textId="77777777">
      <w:pPr>
        <w:jc w:val="both"/>
      </w:pPr>
    </w:p>
    <w:p w:rsidR="00B824BA" w:rsidP="0057784B" w:rsidRDefault="00A4070A" w14:paraId="47CA5877" w14:textId="77777777">
      <w:r>
        <w:t>Geachte Voorzitter,</w:t>
      </w:r>
    </w:p>
    <w:p w:rsidR="009D0C06" w:rsidP="0057784B" w:rsidRDefault="009D0C06" w14:paraId="4C4A6132" w14:textId="77777777"/>
    <w:p w:rsidR="009D0C06" w:rsidP="0057784B" w:rsidRDefault="009D0C06" w14:paraId="5C7F86C4" w14:textId="7FDB03E9">
      <w:pPr>
        <w:rPr>
          <w:rFonts w:eastAsia="Aptos" w:cs="Arial"/>
          <w:color w:val="000000" w:themeColor="text1"/>
        </w:rPr>
      </w:pPr>
      <w:r w:rsidRPr="3F9528B8">
        <w:rPr>
          <w:rFonts w:eastAsia="Aptos" w:cs="Arial"/>
          <w:color w:val="000000" w:themeColor="text1"/>
        </w:rPr>
        <w:t xml:space="preserve">Uw Kamer heeft mij gevraagd om een update te geven over het Actieplan Duurzame Digitalisering, dat op 17 juni 2024 aan uw Kamer is gezonden. In de bijbehorende Kamerbrief heeft mijn voorganger aangegeven dat het actieplan tot eind 2025 loopt en in het najaar van 2025 zal worden geëvalueerd. Op basis van de evaluatie zal een vervolg actieprogramma worden opgesteld en aan </w:t>
      </w:r>
      <w:r w:rsidR="004C3FF1">
        <w:rPr>
          <w:rFonts w:eastAsia="Aptos" w:cs="Arial"/>
          <w:color w:val="000000" w:themeColor="text1"/>
        </w:rPr>
        <w:t xml:space="preserve">het </w:t>
      </w:r>
      <w:r w:rsidRPr="3F9528B8">
        <w:rPr>
          <w:rFonts w:eastAsia="Aptos" w:cs="Arial"/>
          <w:color w:val="000000" w:themeColor="text1"/>
        </w:rPr>
        <w:t>eind van dit jaar naar uw Kamer worden gestuurd. In deze brief geef ik alvast een tussentijdse update.</w:t>
      </w:r>
    </w:p>
    <w:p w:rsidR="009D0C06" w:rsidP="0057784B" w:rsidRDefault="009D0C06" w14:paraId="2361F19C" w14:textId="77777777">
      <w:pPr>
        <w:rPr>
          <w:rFonts w:eastAsia="Aptos" w:cs="Arial"/>
          <w:color w:val="000000" w:themeColor="text1"/>
          <w:szCs w:val="18"/>
        </w:rPr>
      </w:pPr>
    </w:p>
    <w:p w:rsidR="009D0C06" w:rsidP="0057784B" w:rsidRDefault="009D0C06" w14:paraId="7F7EB06E" w14:textId="77777777">
      <w:pPr>
        <w:rPr>
          <w:rFonts w:eastAsia="Aptos" w:cs="Arial"/>
          <w:color w:val="000000" w:themeColor="text1"/>
        </w:rPr>
      </w:pPr>
      <w:r w:rsidRPr="3F9528B8">
        <w:rPr>
          <w:rFonts w:eastAsia="Aptos" w:cs="Arial"/>
          <w:color w:val="000000" w:themeColor="text1"/>
        </w:rPr>
        <w:t>Allereerst is het een positieve ontwikkeling dat zowel de interdepartementale samenwerking, als de samenwerking met relevante bedrijven en kennisinstellingen de afgelopen maanden op dit terrein is geïntensiveerd. Dit bevordert een integrale aanpak van duurzame digitalisering. Dit is belangrijk omdat dit actieplan bijdraagt aan urgente maatschappelijke uitdagingen op het gebied van kritieke grondstoffen, energie, innovatie en regeldruk. In de afgelopen maanden hebben de betrokken ministeries (EZ, KGG, BZ, BZK, IenW, LVVN, Financiën) en uitvoeringsorganisaties (RVO, RWS, Belastingdienst, Logius) samengewerkt aan de voortgang van de acties in het actieplan. Daarnaast wordt er nauw samengewerkt met de sector, kennisinstellingen en andere overheden via de Nationale Coalitie Duurzame Digitalisering (hierna: ‘NCDD’)</w:t>
      </w:r>
      <w:r>
        <w:t>.</w:t>
      </w:r>
    </w:p>
    <w:p w:rsidR="009D0C06" w:rsidP="0057784B" w:rsidRDefault="009D0C06" w14:paraId="46B0838E" w14:textId="77777777"/>
    <w:p w:rsidRPr="00761DF0" w:rsidR="009D0C06" w:rsidP="0057784B" w:rsidRDefault="009D0C06" w14:paraId="7CB3BA72" w14:textId="77777777">
      <w:pPr>
        <w:rPr>
          <w:b/>
          <w:bCs/>
        </w:rPr>
      </w:pPr>
      <w:r w:rsidRPr="00761DF0">
        <w:rPr>
          <w:b/>
          <w:bCs/>
        </w:rPr>
        <w:t>Update acties</w:t>
      </w:r>
    </w:p>
    <w:p w:rsidR="009D0C06" w:rsidP="0057784B" w:rsidRDefault="009D0C06" w14:paraId="16049BC8" w14:textId="2D447B24">
      <w:pPr>
        <w:rPr>
          <w:rFonts w:eastAsia="Aptos" w:cs="Arial"/>
          <w:color w:val="000000" w:themeColor="text1"/>
        </w:rPr>
      </w:pPr>
      <w:r w:rsidRPr="3F9528B8">
        <w:rPr>
          <w:rFonts w:eastAsia="Aptos" w:cs="Arial"/>
          <w:color w:val="000000" w:themeColor="text1"/>
        </w:rPr>
        <w:t>Eind van dit jaar volgt een evaluatie van het actieplan, maar ik geef graag nu alvast een update. In het actieplan staan 44 acties benoemd. In deze brief belicht ik de acties die zijn gestart, met succes zijn afgerond of binnenkort worden afgerond.</w:t>
      </w:r>
    </w:p>
    <w:p w:rsidR="009D0C06" w:rsidP="0057784B" w:rsidRDefault="009D0C06" w14:paraId="49D8FE94" w14:textId="77777777">
      <w:pPr>
        <w:rPr>
          <w:rFonts w:eastAsia="Aptos" w:cs="Arial"/>
          <w:color w:val="000000" w:themeColor="text1"/>
        </w:rPr>
      </w:pPr>
    </w:p>
    <w:p w:rsidR="009D0C06" w:rsidP="0057784B" w:rsidRDefault="009D0C06" w14:paraId="24AB5314" w14:textId="77777777">
      <w:pPr>
        <w:rPr>
          <w:u w:val="single"/>
        </w:rPr>
      </w:pPr>
      <w:r w:rsidRPr="3A7CF22D">
        <w:rPr>
          <w:u w:val="single"/>
        </w:rPr>
        <w:t>Randvoorwaarden voor duurzame digitalisering</w:t>
      </w:r>
    </w:p>
    <w:p w:rsidRPr="004510C4" w:rsidR="009D0C06" w:rsidP="0057784B" w:rsidRDefault="009D0C06" w14:paraId="5B9EDB8A" w14:textId="77777777">
      <w:pPr>
        <w:rPr>
          <w:rStyle w:val="Voetnootmarkering"/>
          <w:rFonts w:eastAsia="Aptos" w:cs="Arial"/>
        </w:rPr>
      </w:pPr>
      <w:r w:rsidRPr="3F9528B8">
        <w:rPr>
          <w:rFonts w:eastAsia="Aptos" w:cs="Arial"/>
        </w:rPr>
        <w:t>Sinds het actieplan is gestart, wordt er hard gewerkt aan de randvoorwaarden voor duurzame digitalisering. Bijvoorbeeld het voorkomen van fragmentatie in beleid en kennisdeling, kennisontwikkeling op diverse gebieden, standaardisatie en de ontwikkeling van een Kenniscentrum Duurzame digitalisering.</w:t>
      </w:r>
    </w:p>
    <w:p w:rsidR="009D0C06" w:rsidP="0057784B" w:rsidRDefault="009D0C06" w14:paraId="78591C97" w14:textId="77777777">
      <w:pPr>
        <w:rPr>
          <w:u w:val="single"/>
        </w:rPr>
      </w:pPr>
    </w:p>
    <w:p w:rsidRPr="005951BA" w:rsidR="009D0C06" w:rsidP="0057784B" w:rsidRDefault="009D0C06" w14:paraId="0DAAB66F" w14:textId="77777777">
      <w:pPr>
        <w:rPr>
          <w:rFonts w:eastAsia="Aptos" w:cs="Arial"/>
          <w:color w:val="000000" w:themeColor="text1"/>
        </w:rPr>
      </w:pPr>
      <w:r>
        <w:rPr>
          <w:rFonts w:eastAsia="Aptos" w:cs="Arial"/>
          <w:color w:val="000000" w:themeColor="text1"/>
        </w:rPr>
        <w:lastRenderedPageBreak/>
        <w:t xml:space="preserve">In </w:t>
      </w:r>
      <w:r w:rsidRPr="1402C43E">
        <w:rPr>
          <w:rFonts w:eastAsia="Aptos" w:cs="Arial"/>
          <w:color w:val="000000" w:themeColor="text1"/>
        </w:rPr>
        <w:t xml:space="preserve">het actieplan zijn </w:t>
      </w:r>
      <w:r>
        <w:rPr>
          <w:rFonts w:eastAsia="Aptos" w:cs="Arial"/>
          <w:color w:val="000000" w:themeColor="text1"/>
        </w:rPr>
        <w:t xml:space="preserve">verschillende </w:t>
      </w:r>
      <w:r w:rsidRPr="1402C43E">
        <w:rPr>
          <w:rFonts w:eastAsia="Aptos" w:cs="Arial"/>
          <w:color w:val="000000" w:themeColor="text1"/>
        </w:rPr>
        <w:t xml:space="preserve">onderzoeken </w:t>
      </w:r>
      <w:r>
        <w:rPr>
          <w:rFonts w:eastAsia="Aptos" w:cs="Arial"/>
          <w:color w:val="000000" w:themeColor="text1"/>
        </w:rPr>
        <w:t xml:space="preserve">aangekondigd. </w:t>
      </w:r>
      <w:r w:rsidRPr="509CF5ED">
        <w:rPr>
          <w:rFonts w:eastAsia="Aptos" w:cs="Arial"/>
          <w:color w:val="000000" w:themeColor="text1"/>
        </w:rPr>
        <w:t>Zo heeft Dialogic in augustus vorig jaar in opdracht van RVO een analyse gedaan naar de systeemkansen voor energieflexibiliteit in de datacenter- en cloudsector.</w:t>
      </w:r>
      <w:r w:rsidRPr="509CF5ED">
        <w:rPr>
          <w:rStyle w:val="Voetnootmarkering"/>
          <w:rFonts w:eastAsia="Aptos" w:cs="Arial"/>
          <w:color w:val="000000" w:themeColor="text1"/>
        </w:rPr>
        <w:footnoteReference w:id="1"/>
      </w:r>
      <w:r w:rsidRPr="509CF5ED">
        <w:rPr>
          <w:rFonts w:eastAsia="Aptos" w:cs="Arial"/>
          <w:color w:val="000000" w:themeColor="text1"/>
        </w:rPr>
        <w:t xml:space="preserve"> Verder is een onderzoek </w:t>
      </w:r>
      <w:r>
        <w:rPr>
          <w:rFonts w:eastAsia="Aptos" w:cs="Arial"/>
          <w:color w:val="000000" w:themeColor="text1"/>
        </w:rPr>
        <w:t>gestart</w:t>
      </w:r>
      <w:r w:rsidRPr="509CF5ED">
        <w:rPr>
          <w:rFonts w:eastAsia="Aptos" w:cs="Arial"/>
          <w:color w:val="000000" w:themeColor="text1"/>
        </w:rPr>
        <w:t xml:space="preserve"> naar de beschikbare data en databanken over duurzame digitalisering, dat voor de zomer opgeleverd zal worden door SEO.</w:t>
      </w:r>
      <w:r w:rsidRPr="1402C43E">
        <w:rPr>
          <w:rStyle w:val="Voetnootmarkering"/>
          <w:rFonts w:eastAsia="Aptos" w:cs="Arial"/>
          <w:color w:val="000000" w:themeColor="text1"/>
        </w:rPr>
        <w:footnoteReference w:id="2"/>
      </w:r>
      <w:r w:rsidRPr="509CF5ED">
        <w:rPr>
          <w:rFonts w:eastAsia="Aptos" w:cs="Arial"/>
          <w:color w:val="000000" w:themeColor="text1"/>
        </w:rPr>
        <w:t xml:space="preserve"> Ook wordt er voor de zomer een onderzoek door Dialogic opgeleverd naar het energie- en waterverbruik van AI-modellen en de monitoring daarvan.</w:t>
      </w:r>
      <w:r w:rsidRPr="1402C43E">
        <w:rPr>
          <w:rStyle w:val="Voetnootmarkering"/>
          <w:rFonts w:eastAsia="Aptos" w:cs="Arial"/>
          <w:color w:val="000000" w:themeColor="text1"/>
        </w:rPr>
        <w:footnoteReference w:id="3"/>
      </w:r>
      <w:r w:rsidRPr="509CF5ED">
        <w:rPr>
          <w:rFonts w:eastAsia="Aptos" w:cs="Arial"/>
          <w:color w:val="000000" w:themeColor="text1"/>
        </w:rPr>
        <w:t xml:space="preserve"> Zodra deze onderzoeken gereed zijn, zullen deze met uw Kamer worden gedeeld. </w:t>
      </w:r>
    </w:p>
    <w:p w:rsidRPr="005951BA" w:rsidR="009D0C06" w:rsidP="0057784B" w:rsidRDefault="009D0C06" w14:paraId="69257140" w14:textId="77777777">
      <w:pPr>
        <w:rPr>
          <w:rFonts w:eastAsia="Aptos" w:cs="Arial"/>
          <w:color w:val="000000" w:themeColor="text1"/>
        </w:rPr>
      </w:pPr>
    </w:p>
    <w:p w:rsidR="009D0C06" w:rsidP="0057784B" w:rsidRDefault="009D0C06" w14:paraId="5C76958A" w14:textId="7F451C41">
      <w:pPr>
        <w:rPr>
          <w:rFonts w:eastAsia="Aptos" w:cs="Arial"/>
          <w:color w:val="000000" w:themeColor="text1"/>
        </w:rPr>
      </w:pPr>
      <w:r>
        <w:rPr>
          <w:rFonts w:eastAsia="Aptos" w:cs="Arial"/>
          <w:color w:val="000000" w:themeColor="text1"/>
        </w:rPr>
        <w:t>V</w:t>
      </w:r>
      <w:r w:rsidRPr="1402C43E">
        <w:rPr>
          <w:rFonts w:eastAsia="Aptos" w:cs="Arial"/>
          <w:color w:val="000000" w:themeColor="text1"/>
        </w:rPr>
        <w:t xml:space="preserve">erder worden de relevante EU-regelgeving </w:t>
      </w:r>
      <w:r w:rsidRPr="0B23B6BF">
        <w:rPr>
          <w:rFonts w:eastAsia="Aptos" w:cs="Arial"/>
          <w:color w:val="000000" w:themeColor="text1"/>
        </w:rPr>
        <w:t xml:space="preserve">en financieringsmogelijkheden </w:t>
      </w:r>
      <w:r>
        <w:rPr>
          <w:rFonts w:eastAsia="Aptos" w:cs="Arial"/>
          <w:color w:val="000000" w:themeColor="text1"/>
        </w:rPr>
        <w:t xml:space="preserve">op gebied van duurzame digitalisering </w:t>
      </w:r>
      <w:r w:rsidRPr="1402C43E">
        <w:rPr>
          <w:rFonts w:eastAsia="Aptos" w:cs="Arial"/>
          <w:color w:val="000000" w:themeColor="text1"/>
        </w:rPr>
        <w:t xml:space="preserve">geïnventariseerd voor het </w:t>
      </w:r>
      <w:r w:rsidR="0057784B">
        <w:rPr>
          <w:rFonts w:eastAsia="Aptos" w:cs="Arial"/>
          <w:color w:val="000000" w:themeColor="text1"/>
        </w:rPr>
        <w:t>mkb</w:t>
      </w:r>
      <w:r>
        <w:rPr>
          <w:rFonts w:eastAsia="Aptos" w:cs="Arial"/>
          <w:color w:val="000000" w:themeColor="text1"/>
        </w:rPr>
        <w:t>, om de regeldruk te verzachten</w:t>
      </w:r>
      <w:r w:rsidRPr="1402C43E">
        <w:rPr>
          <w:rFonts w:eastAsia="Aptos" w:cs="Arial"/>
          <w:color w:val="000000" w:themeColor="text1"/>
        </w:rPr>
        <w:t>.</w:t>
      </w:r>
      <w:r w:rsidRPr="1402C43E">
        <w:rPr>
          <w:rStyle w:val="Voetnootmarkering"/>
          <w:rFonts w:eastAsia="Aptos" w:cs="Arial"/>
          <w:color w:val="000000" w:themeColor="text1"/>
        </w:rPr>
        <w:footnoteReference w:id="4"/>
      </w:r>
      <w:r w:rsidRPr="1402C43E">
        <w:rPr>
          <w:rFonts w:eastAsia="Aptos" w:cs="Arial"/>
          <w:color w:val="000000" w:themeColor="text1"/>
        </w:rPr>
        <w:t xml:space="preserve"> </w:t>
      </w:r>
      <w:r w:rsidRPr="0B23B6BF">
        <w:rPr>
          <w:rFonts w:eastAsia="Aptos" w:cs="Arial"/>
          <w:color w:val="000000" w:themeColor="text1"/>
        </w:rPr>
        <w:t>Dit zal</w:t>
      </w:r>
      <w:r w:rsidRPr="1402C43E">
        <w:rPr>
          <w:rFonts w:eastAsia="Aptos" w:cs="Arial"/>
          <w:color w:val="000000" w:themeColor="text1"/>
        </w:rPr>
        <w:t xml:space="preserve"> uiteindelijk dienen als onderdeel van </w:t>
      </w:r>
      <w:r>
        <w:rPr>
          <w:rFonts w:eastAsia="Aptos" w:cs="Arial"/>
          <w:color w:val="000000" w:themeColor="text1"/>
        </w:rPr>
        <w:t xml:space="preserve">het aangekondigde </w:t>
      </w:r>
      <w:r w:rsidRPr="1402C43E">
        <w:rPr>
          <w:rFonts w:eastAsia="Aptos" w:cs="Arial"/>
          <w:color w:val="000000" w:themeColor="text1"/>
        </w:rPr>
        <w:t xml:space="preserve">Kenniscentrum, waar het </w:t>
      </w:r>
      <w:r w:rsidR="0057784B">
        <w:rPr>
          <w:rFonts w:eastAsia="Aptos" w:cs="Arial"/>
          <w:color w:val="000000" w:themeColor="text1"/>
        </w:rPr>
        <w:t>mkb</w:t>
      </w:r>
      <w:r w:rsidRPr="1402C43E">
        <w:rPr>
          <w:rFonts w:eastAsia="Aptos" w:cs="Arial"/>
          <w:color w:val="000000" w:themeColor="text1"/>
        </w:rPr>
        <w:t xml:space="preserve"> onder andere terecht kan om grip te krijgen op de aankomende EU-regelgeving op het gebied van duurzame digitalisering.</w:t>
      </w:r>
      <w:r>
        <w:rPr>
          <w:rFonts w:eastAsia="Aptos" w:cs="Arial"/>
          <w:color w:val="000000" w:themeColor="text1"/>
        </w:rPr>
        <w:t xml:space="preserve"> Beide acties zijn naar verwachting voor de zomer gereed.</w:t>
      </w:r>
    </w:p>
    <w:p w:rsidR="009D0C06" w:rsidP="0057784B" w:rsidRDefault="009D0C06" w14:paraId="4C53C18C" w14:textId="77777777">
      <w:pPr>
        <w:rPr>
          <w:rFonts w:eastAsia="Aptos" w:cs="Arial"/>
          <w:color w:val="000000" w:themeColor="text1"/>
        </w:rPr>
      </w:pPr>
    </w:p>
    <w:p w:rsidRPr="008F4BED" w:rsidR="009D0C06" w:rsidP="0057784B" w:rsidRDefault="009D0C06" w14:paraId="4434FFB6" w14:textId="6773AF23">
      <w:r>
        <w:t>Zoals al aangegeven in het actieplan en hierboven genoemd, wordt publiek-private samenwerking bevorderd via de NCDD.</w:t>
      </w:r>
      <w:r w:rsidRPr="1402C43E">
        <w:rPr>
          <w:rStyle w:val="Voetnootmarkering"/>
        </w:rPr>
        <w:footnoteReference w:id="5"/>
      </w:r>
      <w:r>
        <w:t xml:space="preserve"> </w:t>
      </w:r>
      <w:r w:rsidRPr="0B23B6BF">
        <w:t xml:space="preserve">De NCDD is vorig jaar uitgebreid tot 34 deelnemers die handen en voeten geven aan de </w:t>
      </w:r>
      <w:r w:rsidRPr="3F9528B8">
        <w:rPr>
          <w:i/>
          <w:iCs/>
        </w:rPr>
        <w:t>twin transition</w:t>
      </w:r>
      <w:r w:rsidRPr="0B23B6BF">
        <w:t xml:space="preserve"> in Nederland. Er zijn meerdere zeer goedbezochte evenementen georganiseerd, zoals de Nationale Conferentie Duurzame Digitalisering en de </w:t>
      </w:r>
      <w:r w:rsidRPr="357033DD">
        <w:t>ECP-deelnemersspecial</w:t>
      </w:r>
      <w:r w:rsidRPr="0B23B6BF">
        <w:t xml:space="preserve"> in samenwerking met TNO en EZ over Europese regelgeving voor duurzame digitalisering. Medio 2025 wordt de Sustainable IT Impact Assessment gepresenteerd: een concrete tool ontwikkeld voor en door bedrijven. Deze tool helpt</w:t>
      </w:r>
      <w:r>
        <w:t xml:space="preserve"> </w:t>
      </w:r>
      <w:r w:rsidRPr="0B23B6BF">
        <w:t xml:space="preserve">bedrijven innoveren en organisaties </w:t>
      </w:r>
      <w:r w:rsidRPr="0B23B6BF" w:rsidR="003C28E1">
        <w:t xml:space="preserve">kunnen </w:t>
      </w:r>
      <w:r w:rsidRPr="0B23B6BF">
        <w:t>deze als handvat gebruiken om te starten met het verduurzamen van de ICT in eigen organisatie. Een volledig overzicht van de activiteiten van de NCDD is terug te vinden op hun website.</w:t>
      </w:r>
      <w:r w:rsidRPr="0B23B6BF">
        <w:rPr>
          <w:rStyle w:val="Voetnootmarkering"/>
        </w:rPr>
        <w:footnoteReference w:id="6"/>
      </w:r>
      <w:r>
        <w:rPr>
          <w:szCs w:val="18"/>
        </w:rPr>
        <w:t xml:space="preserve"> </w:t>
      </w:r>
    </w:p>
    <w:p w:rsidR="009D0C06" w:rsidP="0057784B" w:rsidRDefault="009D0C06" w14:paraId="4042B984" w14:textId="77777777">
      <w:pPr>
        <w:rPr>
          <w:rFonts w:eastAsia="Aptos" w:cs="Arial"/>
          <w:i/>
          <w:iCs/>
          <w:color w:val="000000" w:themeColor="text1"/>
        </w:rPr>
      </w:pPr>
    </w:p>
    <w:p w:rsidRPr="00E27837" w:rsidR="009D0C06" w:rsidP="0057784B" w:rsidRDefault="009D0C06" w14:paraId="5AD3D2F8" w14:textId="57523AB6">
      <w:pPr>
        <w:rPr>
          <w:rFonts w:eastAsia="Aptos" w:cs="Arial"/>
          <w:color w:val="000000" w:themeColor="text1"/>
        </w:rPr>
      </w:pPr>
      <w:r w:rsidRPr="18AA2F5F">
        <w:t>Tijdens het Commissiedebat</w:t>
      </w:r>
      <w:r w:rsidRPr="00E37857">
        <w:rPr>
          <w:rFonts w:eastAsia="Aptos" w:cs="Arial"/>
          <w:color w:val="000000" w:themeColor="text1"/>
        </w:rPr>
        <w:t xml:space="preserve"> </w:t>
      </w:r>
      <w:r w:rsidRPr="052D32F8">
        <w:rPr>
          <w:rFonts w:eastAsia="Aptos" w:cs="Arial"/>
          <w:color w:val="000000" w:themeColor="text1"/>
        </w:rPr>
        <w:t xml:space="preserve">Duurzaamheid en Digitalisering op 21 maart </w:t>
      </w:r>
      <w:r w:rsidRPr="4859C114">
        <w:rPr>
          <w:rFonts w:eastAsia="Aptos" w:cs="Arial"/>
          <w:color w:val="000000" w:themeColor="text1"/>
        </w:rPr>
        <w:t>202</w:t>
      </w:r>
      <w:r w:rsidRPr="052D32F8">
        <w:rPr>
          <w:rFonts w:eastAsia="Aptos" w:cs="Arial"/>
          <w:color w:val="000000" w:themeColor="text1"/>
        </w:rPr>
        <w:t>4</w:t>
      </w:r>
      <w:r>
        <w:rPr>
          <w:rFonts w:eastAsia="Aptos" w:cs="Arial"/>
          <w:color w:val="000000" w:themeColor="text1"/>
        </w:rPr>
        <w:t xml:space="preserve"> is het Kenniscentrum Duurzame Digitalisering (KDD) aangekondigd.</w:t>
      </w:r>
      <w:r>
        <w:rPr>
          <w:rStyle w:val="Voetnootmarkering"/>
          <w:rFonts w:eastAsia="Aptos" w:cs="Arial"/>
          <w:color w:val="000000" w:themeColor="text1"/>
        </w:rPr>
        <w:footnoteReference w:id="7"/>
      </w:r>
      <w:r>
        <w:rPr>
          <w:rFonts w:eastAsia="Aptos" w:cs="Arial"/>
          <w:color w:val="000000" w:themeColor="text1"/>
        </w:rPr>
        <w:t xml:space="preserve"> Deze geeft ook invulling aan de motie van het lid Kathmann over een integrale aanpak voor duurzame digitalisering en het manifest van de Nationale Coalitie voor Duurzame Digitalisering.</w:t>
      </w:r>
      <w:r>
        <w:rPr>
          <w:rStyle w:val="Voetnootmarkering"/>
          <w:rFonts w:eastAsia="Aptos" w:cs="Arial"/>
          <w:color w:val="000000" w:themeColor="text1"/>
        </w:rPr>
        <w:footnoteReference w:id="8"/>
      </w:r>
      <w:r>
        <w:rPr>
          <w:rFonts w:eastAsia="Aptos" w:cs="Arial"/>
          <w:color w:val="000000" w:themeColor="text1"/>
        </w:rPr>
        <w:t xml:space="preserve"> Op dit moment wordt er samen met het interdepartementale kernteam gewerkt aan de invulling van het kenniscentrum. De invulling van het KDD zal bij de evaluatie </w:t>
      </w:r>
      <w:r w:rsidR="003C28E1">
        <w:rPr>
          <w:rFonts w:eastAsia="Aptos" w:cs="Arial"/>
          <w:color w:val="000000" w:themeColor="text1"/>
        </w:rPr>
        <w:t>eind dit jaar</w:t>
      </w:r>
      <w:r w:rsidRPr="3F9528B8">
        <w:rPr>
          <w:rFonts w:eastAsia="Aptos" w:cs="Arial"/>
          <w:color w:val="000000" w:themeColor="text1"/>
        </w:rPr>
        <w:t xml:space="preserve"> worden gedeeld met de Kamer.</w:t>
      </w:r>
    </w:p>
    <w:p w:rsidR="009D0C06" w:rsidP="0057784B" w:rsidRDefault="009D0C06" w14:paraId="0B516204" w14:textId="77777777">
      <w:pPr>
        <w:rPr>
          <w:i/>
          <w:iCs/>
        </w:rPr>
      </w:pPr>
    </w:p>
    <w:p w:rsidR="0057784B" w:rsidRDefault="0057784B" w14:paraId="3C015638" w14:textId="77777777">
      <w:pPr>
        <w:spacing w:line="240" w:lineRule="auto"/>
        <w:rPr>
          <w:u w:val="single"/>
        </w:rPr>
      </w:pPr>
      <w:r>
        <w:rPr>
          <w:u w:val="single"/>
        </w:rPr>
        <w:br w:type="page"/>
      </w:r>
    </w:p>
    <w:p w:rsidRPr="00F678E4" w:rsidR="009D0C06" w:rsidP="0057784B" w:rsidRDefault="009D0C06" w14:paraId="4C29F8D6" w14:textId="2676F0D1">
      <w:pPr>
        <w:rPr>
          <w:u w:val="single"/>
        </w:rPr>
      </w:pPr>
      <w:r w:rsidRPr="3F9528B8">
        <w:rPr>
          <w:u w:val="single"/>
        </w:rPr>
        <w:lastRenderedPageBreak/>
        <w:t>De digitale sector verder verduurzamen</w:t>
      </w:r>
    </w:p>
    <w:p w:rsidR="009D0C06" w:rsidP="0057784B" w:rsidRDefault="009D0C06" w14:paraId="013C0B3A" w14:textId="478BCFE4">
      <w:pPr>
        <w:rPr>
          <w:rFonts w:eastAsia="Aptos" w:cs="Arial"/>
          <w:color w:val="000000" w:themeColor="text1"/>
        </w:rPr>
      </w:pPr>
      <w:r w:rsidRPr="052D32F8">
        <w:rPr>
          <w:rFonts w:eastAsia="Aptos" w:cs="Arial"/>
          <w:color w:val="000000" w:themeColor="text1"/>
        </w:rPr>
        <w:t>Tijdens het Commissiedebat Duurzaamheid en Digitalisering op 21 maart 2024 heeft mijn voorganger toegezegd om in samenwerking met BZK een verkenning met de Kamer te delen van de randvoorwaarden en standaarden met betrekking tot vestigingslocaties van datacenters.</w:t>
      </w:r>
      <w:r w:rsidRPr="1402C43E">
        <w:rPr>
          <w:rStyle w:val="Voetnootmarkering"/>
          <w:rFonts w:eastAsia="Aptos" w:cs="Arial"/>
          <w:color w:val="000000" w:themeColor="text1"/>
        </w:rPr>
        <w:footnoteReference w:id="9"/>
      </w:r>
      <w:r w:rsidRPr="052D32F8">
        <w:rPr>
          <w:rFonts w:eastAsia="Aptos" w:cs="Arial"/>
          <w:color w:val="000000" w:themeColor="text1"/>
        </w:rPr>
        <w:t xml:space="preserve"> Deze verkenning is in 2024 afgerond</w:t>
      </w:r>
      <w:r w:rsidRPr="4859C114">
        <w:rPr>
          <w:rFonts w:eastAsia="Aptos" w:cs="Arial"/>
          <w:color w:val="000000" w:themeColor="text1"/>
        </w:rPr>
        <w:t>. C</w:t>
      </w:r>
      <w:r w:rsidRPr="052D32F8">
        <w:rPr>
          <w:rFonts w:eastAsia="Aptos" w:cs="Arial"/>
          <w:color w:val="000000" w:themeColor="text1"/>
        </w:rPr>
        <w:t>onclusie</w:t>
      </w:r>
      <w:r w:rsidRPr="4859C114">
        <w:rPr>
          <w:rFonts w:eastAsia="Aptos" w:cs="Arial"/>
          <w:color w:val="000000" w:themeColor="text1"/>
        </w:rPr>
        <w:t xml:space="preserve"> </w:t>
      </w:r>
      <w:r w:rsidRPr="052D32F8">
        <w:rPr>
          <w:rFonts w:eastAsia="Aptos" w:cs="Arial"/>
          <w:color w:val="000000" w:themeColor="text1"/>
        </w:rPr>
        <w:t>hieruit was</w:t>
      </w:r>
      <w:r w:rsidRPr="3F9528B8">
        <w:rPr>
          <w:rFonts w:eastAsia="Aptos" w:cs="Arial"/>
          <w:color w:val="000000" w:themeColor="text1"/>
        </w:rPr>
        <w:t xml:space="preserve"> dat b</w:t>
      </w:r>
      <w:r w:rsidRPr="3F9528B8">
        <w:rPr>
          <w:rFonts w:eastAsia="Verdana" w:cs="Verdana"/>
        </w:rPr>
        <w:t>estaande generieke kaders en normeringsopties voor ruimtelijke ordening en impact op het milieu, en bestaande randvoorwaarden en standaarden met betrekking tot datacenters, voldoende mogelijkheden bieden om deze sector te reguleren.</w:t>
      </w:r>
    </w:p>
    <w:p w:rsidR="009D0C06" w:rsidP="0057784B" w:rsidRDefault="009D0C06" w14:paraId="77876F9B" w14:textId="77777777">
      <w:pPr>
        <w:rPr>
          <w:rFonts w:eastAsia="Aptos" w:cs="Arial"/>
          <w:color w:val="000000" w:themeColor="text1"/>
        </w:rPr>
      </w:pPr>
    </w:p>
    <w:p w:rsidRPr="00A33312" w:rsidR="009D0C06" w:rsidP="0057784B" w:rsidRDefault="009D0C06" w14:paraId="21D18EB7" w14:textId="58DAEF9F">
      <w:pPr>
        <w:rPr>
          <w:rFonts w:eastAsia="Aptos" w:cs="Arial"/>
          <w:color w:val="000000" w:themeColor="text1"/>
        </w:rPr>
      </w:pPr>
      <w:r w:rsidRPr="1402C43E">
        <w:rPr>
          <w:rFonts w:eastAsia="Aptos" w:cs="Arial"/>
          <w:color w:val="000000" w:themeColor="text1"/>
        </w:rPr>
        <w:t xml:space="preserve">Daarnaast wordt er zoals toegezegd tijdens </w:t>
      </w:r>
      <w:r w:rsidR="003C28E1">
        <w:rPr>
          <w:rFonts w:eastAsia="Aptos" w:cs="Arial"/>
          <w:color w:val="000000" w:themeColor="text1"/>
        </w:rPr>
        <w:t>het</w:t>
      </w:r>
      <w:r w:rsidRPr="1402C43E">
        <w:rPr>
          <w:rFonts w:eastAsia="Aptos" w:cs="Arial"/>
          <w:color w:val="000000" w:themeColor="text1"/>
        </w:rPr>
        <w:t xml:space="preserve"> debat </w:t>
      </w:r>
      <w:r w:rsidR="003C28E1">
        <w:rPr>
          <w:rFonts w:eastAsia="Aptos" w:cs="Arial"/>
          <w:color w:val="000000" w:themeColor="text1"/>
        </w:rPr>
        <w:t xml:space="preserve">in maart, </w:t>
      </w:r>
      <w:r w:rsidRPr="1402C43E">
        <w:rPr>
          <w:rFonts w:eastAsia="Aptos" w:cs="Arial"/>
          <w:color w:val="000000" w:themeColor="text1"/>
        </w:rPr>
        <w:t xml:space="preserve">gewerkt aan een inventarisatie van de kansen en </w:t>
      </w:r>
      <w:r w:rsidRPr="4F0D5047">
        <w:rPr>
          <w:rFonts w:eastAsia="Aptos" w:cs="Arial"/>
          <w:color w:val="000000" w:themeColor="text1"/>
        </w:rPr>
        <w:t>eventuele uitdagingen</w:t>
      </w:r>
      <w:r w:rsidRPr="1402C43E">
        <w:rPr>
          <w:rFonts w:eastAsia="Aptos" w:cs="Arial"/>
          <w:color w:val="000000" w:themeColor="text1"/>
        </w:rPr>
        <w:t xml:space="preserve"> van edge computing</w:t>
      </w:r>
      <w:r w:rsidRPr="5EE47849">
        <w:rPr>
          <w:rFonts w:eastAsia="Aptos" w:cs="Arial"/>
          <w:color w:val="000000" w:themeColor="text1"/>
        </w:rPr>
        <w:t xml:space="preserve"> </w:t>
      </w:r>
      <w:r w:rsidRPr="30859E4B">
        <w:rPr>
          <w:rFonts w:eastAsia="Aptos" w:cs="Arial"/>
          <w:color w:val="000000" w:themeColor="text1"/>
        </w:rPr>
        <w:t xml:space="preserve">voor duurzame </w:t>
      </w:r>
      <w:r w:rsidRPr="1AD5F447">
        <w:rPr>
          <w:rFonts w:eastAsia="Aptos" w:cs="Arial"/>
          <w:color w:val="000000" w:themeColor="text1"/>
        </w:rPr>
        <w:t>digitalisering</w:t>
      </w:r>
      <w:r>
        <w:rPr>
          <w:rFonts w:eastAsia="Aptos" w:cs="Arial"/>
          <w:color w:val="000000" w:themeColor="text1"/>
        </w:rPr>
        <w:t>, waarover gesprekken met de Europese Commissie hebben plaatsgevonden.</w:t>
      </w:r>
      <w:r>
        <w:rPr>
          <w:rStyle w:val="Voetnootmarkering"/>
          <w:rFonts w:eastAsia="Aptos" w:cs="Arial"/>
          <w:color w:val="000000" w:themeColor="text1"/>
        </w:rPr>
        <w:footnoteReference w:id="10"/>
      </w:r>
      <w:r w:rsidRPr="1402C43E">
        <w:rPr>
          <w:rFonts w:eastAsia="Aptos" w:cs="Arial"/>
          <w:color w:val="000000" w:themeColor="text1"/>
        </w:rPr>
        <w:t xml:space="preserve"> </w:t>
      </w:r>
    </w:p>
    <w:p w:rsidR="009D0C06" w:rsidP="0057784B" w:rsidRDefault="009D0C06" w14:paraId="7F5CB5CE" w14:textId="77777777">
      <w:pPr>
        <w:rPr>
          <w:rFonts w:eastAsia="Aptos" w:cs="Arial"/>
          <w:color w:val="000000" w:themeColor="text1"/>
        </w:rPr>
      </w:pPr>
    </w:p>
    <w:p w:rsidR="009D0C06" w:rsidP="0057784B" w:rsidRDefault="009D0C06" w14:paraId="22B789F0" w14:textId="040667A8">
      <w:pPr>
        <w:rPr>
          <w:rFonts w:eastAsia="Aptos" w:cs="Arial"/>
          <w:color w:val="000000" w:themeColor="text1"/>
        </w:rPr>
      </w:pPr>
      <w:r>
        <w:rPr>
          <w:rFonts w:eastAsia="Aptos" w:cs="Arial"/>
          <w:color w:val="000000" w:themeColor="text1"/>
        </w:rPr>
        <w:t>EZ co-financiert daarnaast projecten als onderdeel van het Digital Europe Programme.</w:t>
      </w:r>
      <w:r>
        <w:rPr>
          <w:rStyle w:val="Voetnootmarkering"/>
          <w:rFonts w:eastAsia="Aptos" w:cs="Arial"/>
          <w:color w:val="000000" w:themeColor="text1"/>
        </w:rPr>
        <w:footnoteReference w:id="11"/>
      </w:r>
      <w:r w:rsidRPr="00C92439">
        <w:t xml:space="preserve"> </w:t>
      </w:r>
      <w:r w:rsidRPr="00C92439">
        <w:rPr>
          <w:rFonts w:eastAsia="Aptos" w:cs="Arial"/>
          <w:color w:val="000000" w:themeColor="text1"/>
        </w:rPr>
        <w:t>Digital Europe is een fondsenprogramma van de Europese Commissie dat ontwikkeling en toepassing van digitale technologieën door ondernemingen, onderzoeksinstellingen, burgers en overheden stimuleert.</w:t>
      </w:r>
      <w:r>
        <w:rPr>
          <w:rFonts w:eastAsia="Aptos" w:cs="Arial"/>
          <w:color w:val="000000" w:themeColor="text1"/>
        </w:rPr>
        <w:t xml:space="preserve"> Een onderdeel hiervan </w:t>
      </w:r>
      <w:r w:rsidR="003C28E1">
        <w:rPr>
          <w:rFonts w:eastAsia="Aptos" w:cs="Arial"/>
          <w:color w:val="000000" w:themeColor="text1"/>
        </w:rPr>
        <w:t>zijn</w:t>
      </w:r>
      <w:r>
        <w:rPr>
          <w:rFonts w:eastAsia="Aptos" w:cs="Arial"/>
          <w:color w:val="000000" w:themeColor="text1"/>
        </w:rPr>
        <w:t xml:space="preserve"> calls die betrekking hebben op duurzame digitalisering, bijvoorbeeld als onderdeel van de Green Deal.</w:t>
      </w:r>
    </w:p>
    <w:p w:rsidR="009D0C06" w:rsidP="0057784B" w:rsidRDefault="009D0C06" w14:paraId="76337774" w14:textId="77777777">
      <w:pPr>
        <w:rPr>
          <w:rFonts w:eastAsia="Aptos" w:cs="Arial"/>
          <w:color w:val="000000" w:themeColor="text1"/>
        </w:rPr>
      </w:pPr>
    </w:p>
    <w:p w:rsidR="009D0C06" w:rsidP="0057784B" w:rsidRDefault="009D0C06" w14:paraId="2F7A90FB" w14:textId="77777777">
      <w:pPr>
        <w:rPr>
          <w:rFonts w:eastAsia="Verdana" w:cs="Verdana"/>
        </w:rPr>
      </w:pPr>
      <w:r w:rsidRPr="4859C114">
        <w:rPr>
          <w:rFonts w:eastAsia="Verdana" w:cs="Verdana"/>
          <w:color w:val="000000" w:themeColor="text1"/>
        </w:rPr>
        <w:t>Tot slot worden er ook vorderingen gemaakt op het gebied van inkoop.</w:t>
      </w:r>
      <w:r>
        <w:rPr>
          <w:rStyle w:val="Voetnootmarkering"/>
          <w:rFonts w:eastAsia="Verdana" w:cs="Verdana"/>
          <w:color w:val="000000" w:themeColor="text1"/>
          <w:szCs w:val="18"/>
        </w:rPr>
        <w:footnoteReference w:id="12"/>
      </w:r>
      <w:r w:rsidRPr="4859C114">
        <w:rPr>
          <w:rFonts w:eastAsia="Verdana" w:cs="Verdana"/>
          <w:color w:val="000000" w:themeColor="text1"/>
        </w:rPr>
        <w:t xml:space="preserve"> Het categorieplan 2025-2030 is gericht op toekomstbestendigheid, veiligheid, circulaire economie en grondstofonafhankelijkheid en kostenefficiency en ligt op schema om in Q2 2025 vastgesteld te worden. De specialistische expertise van de categorie wordt nu structureel betrokken bij de interdepartementale samenwerking achter het actieplan.</w:t>
      </w:r>
    </w:p>
    <w:p w:rsidR="009D0C06" w:rsidP="0057784B" w:rsidRDefault="009D0C06" w14:paraId="0C18C022" w14:textId="77777777">
      <w:pPr>
        <w:rPr>
          <w:u w:val="single"/>
        </w:rPr>
      </w:pPr>
    </w:p>
    <w:p w:rsidRPr="00392B4D" w:rsidR="009D0C06" w:rsidP="0057784B" w:rsidRDefault="009D0C06" w14:paraId="2C8F8EC0" w14:textId="77777777">
      <w:pPr>
        <w:rPr>
          <w:u w:val="single"/>
        </w:rPr>
      </w:pPr>
      <w:r w:rsidRPr="00392B4D">
        <w:rPr>
          <w:u w:val="single"/>
        </w:rPr>
        <w:t>Digitalisering inzetten voor verduurzaming</w:t>
      </w:r>
    </w:p>
    <w:p w:rsidRPr="00FF2ECD" w:rsidR="009D0C06" w:rsidP="0057784B" w:rsidRDefault="009D0C06" w14:paraId="1A6430A5" w14:textId="77777777">
      <w:pPr>
        <w:rPr>
          <w:rFonts w:eastAsia="Aptos" w:cs="Arial"/>
        </w:rPr>
      </w:pPr>
      <w:r w:rsidRPr="3F9528B8">
        <w:rPr>
          <w:rFonts w:eastAsia="Aptos" w:cs="Arial"/>
        </w:rPr>
        <w:t>Updates over het inzetten van digitalisering voor verduurzaming volgen grotendeels dit najaar. Wel is duidelijk dat hier veel kansen bestaan, bijvoorbeeld rondom maatschappelijke uitdagingen als netcongestie of het faciliteren van data delen voor innovatie en de circulaire economie.</w:t>
      </w:r>
    </w:p>
    <w:p w:rsidR="009D0C06" w:rsidP="0057784B" w:rsidRDefault="009D0C06" w14:paraId="10AAFC11" w14:textId="77777777">
      <w:pPr>
        <w:rPr>
          <w:rFonts w:eastAsia="Aptos" w:cs="Arial"/>
          <w:color w:val="000000" w:themeColor="text1"/>
        </w:rPr>
      </w:pPr>
    </w:p>
    <w:p w:rsidR="009D0C06" w:rsidP="0057784B" w:rsidRDefault="009D0C06" w14:paraId="0A94CEA7" w14:textId="6CBCBF59">
      <w:pPr>
        <w:rPr>
          <w:rFonts w:eastAsia="Verdana" w:cs="Verdana"/>
        </w:rPr>
      </w:pPr>
      <w:r w:rsidRPr="1402C43E">
        <w:rPr>
          <w:rFonts w:eastAsia="Verdana" w:cs="Verdana"/>
          <w:color w:val="000000" w:themeColor="text1"/>
        </w:rPr>
        <w:t>I</w:t>
      </w:r>
      <w:r w:rsidRPr="1402C43E">
        <w:rPr>
          <w:rFonts w:eastAsia="Verdana" w:cs="Verdana"/>
        </w:rPr>
        <w:t>n samenwerking met de Nationale Coalitie Duurzame Digitalisering en onderzoeksbureau TNO werkt EZ</w:t>
      </w:r>
      <w:r>
        <w:rPr>
          <w:rFonts w:eastAsia="Verdana" w:cs="Verdana"/>
        </w:rPr>
        <w:t xml:space="preserve"> eraan </w:t>
      </w:r>
      <w:r w:rsidRPr="1402C43E">
        <w:rPr>
          <w:rFonts w:eastAsia="Verdana" w:cs="Verdana"/>
        </w:rPr>
        <w:t>om de kansen en knelpunten van innovatieve start-ups en scale-ups in kaart te brengen.</w:t>
      </w:r>
      <w:r>
        <w:rPr>
          <w:rStyle w:val="Voetnootmarkering"/>
          <w:rFonts w:eastAsia="Verdana" w:cs="Verdana"/>
        </w:rPr>
        <w:footnoteReference w:id="13"/>
      </w:r>
      <w:r>
        <w:rPr>
          <w:rFonts w:eastAsia="Verdana" w:cs="Verdana"/>
        </w:rPr>
        <w:t xml:space="preserve"> </w:t>
      </w:r>
      <w:r w:rsidRPr="1402C43E">
        <w:rPr>
          <w:rFonts w:eastAsia="Verdana" w:cs="Verdana"/>
        </w:rPr>
        <w:t xml:space="preserve">Het gaat hierbij om aanbieders van zogenaamde Energie Management Systemen. Deze partijen hebben de potentie om een significante bijdrage te leveren het </w:t>
      </w:r>
      <w:r>
        <w:rPr>
          <w:rFonts w:eastAsia="Verdana" w:cs="Verdana"/>
        </w:rPr>
        <w:t>beter benutten</w:t>
      </w:r>
      <w:r w:rsidRPr="1402C43E">
        <w:rPr>
          <w:rFonts w:eastAsia="Verdana" w:cs="Verdana"/>
        </w:rPr>
        <w:t xml:space="preserve"> van het stroomnet. Er is een grote diversiteit aan Energie Management Systemen</w:t>
      </w:r>
      <w:r w:rsidR="003C28E1">
        <w:rPr>
          <w:rFonts w:eastAsia="Verdana" w:cs="Verdana"/>
        </w:rPr>
        <w:t>;</w:t>
      </w:r>
      <w:r w:rsidRPr="1402C43E">
        <w:rPr>
          <w:rFonts w:eastAsia="Verdana" w:cs="Verdana"/>
        </w:rPr>
        <w:t xml:space="preserve"> hier </w:t>
      </w:r>
      <w:r w:rsidRPr="1402C43E">
        <w:rPr>
          <w:rFonts w:eastAsia="Verdana" w:cs="Verdana"/>
        </w:rPr>
        <w:lastRenderedPageBreak/>
        <w:t>verricht EZ momenteel samen met TNO onderzoek naar. In de praktijk lukt het deze partijen niet altijd goed om hun behoeften onder de aandacht te brengen. Het is de bedoeling dat op basis van de kansen en knelpunten concrete vervolgacties worden geïdentificeerd.</w:t>
      </w:r>
      <w:r>
        <w:rPr>
          <w:rFonts w:eastAsia="Verdana" w:cs="Verdana"/>
        </w:rPr>
        <w:t xml:space="preserve"> </w:t>
      </w:r>
      <w:r w:rsidRPr="1402C43E">
        <w:rPr>
          <w:rFonts w:eastAsia="Verdana" w:cs="Verdana"/>
        </w:rPr>
        <w:t>Dit loopt in nauwe afstemming met KGG en de Actieagenda Digitalisering Energiesysteem zoals beschreven in het actieplan.</w:t>
      </w:r>
      <w:r w:rsidRPr="00BA4F37">
        <w:rPr>
          <w:rFonts w:eastAsia="Verdana" w:cs="Verdana"/>
        </w:rPr>
        <w:t xml:space="preserve"> </w:t>
      </w:r>
      <w:r w:rsidRPr="4859C114">
        <w:rPr>
          <w:rFonts w:eastAsia="Verdana" w:cs="Verdana"/>
        </w:rPr>
        <w:t>Hier kom ik eind van dit jaar op terug</w:t>
      </w:r>
      <w:r>
        <w:rPr>
          <w:rFonts w:eastAsia="Verdana" w:cs="Verdana"/>
        </w:rPr>
        <w:t>.</w:t>
      </w:r>
    </w:p>
    <w:p w:rsidR="009D0C06" w:rsidP="0057784B" w:rsidRDefault="009D0C06" w14:paraId="09C8922C" w14:textId="77777777">
      <w:pPr>
        <w:rPr>
          <w:rFonts w:eastAsia="Aptos" w:cs="Arial"/>
          <w:i/>
          <w:color w:val="000000" w:themeColor="text1"/>
        </w:rPr>
      </w:pPr>
    </w:p>
    <w:p w:rsidR="009D0C06" w:rsidDel="00630CDE" w:rsidP="0057784B" w:rsidRDefault="009D0C06" w14:paraId="6E9C499E" w14:textId="77777777">
      <w:pPr>
        <w:rPr>
          <w:rFonts w:eastAsia="Aptos" w:cs="Arial"/>
          <w:color w:val="000000" w:themeColor="text1"/>
        </w:rPr>
      </w:pPr>
      <w:r w:rsidRPr="18AA2F5F">
        <w:rPr>
          <w:rFonts w:eastAsia="Aptos" w:cs="Arial"/>
          <w:color w:val="000000" w:themeColor="text1"/>
        </w:rPr>
        <w:t xml:space="preserve">In opdracht van EZ coördineert TNO </w:t>
      </w:r>
      <w:r>
        <w:rPr>
          <w:rFonts w:eastAsia="Aptos" w:cs="Arial"/>
          <w:color w:val="000000" w:themeColor="text1"/>
        </w:rPr>
        <w:t xml:space="preserve">daarnaast </w:t>
      </w:r>
      <w:r w:rsidRPr="18AA2F5F">
        <w:rPr>
          <w:rFonts w:eastAsia="Aptos" w:cs="Arial"/>
          <w:color w:val="000000" w:themeColor="text1"/>
        </w:rPr>
        <w:t>het Centre of Excellence – Data Sharing &amp; Cloud.</w:t>
      </w:r>
      <w:r w:rsidRPr="18AA2F5F">
        <w:rPr>
          <w:rStyle w:val="Voetnootmarkering"/>
          <w:rFonts w:eastAsia="Aptos" w:cs="Arial"/>
          <w:color w:val="000000" w:themeColor="text1"/>
        </w:rPr>
        <w:footnoteReference w:id="14"/>
      </w:r>
      <w:r w:rsidRPr="18AA2F5F">
        <w:rPr>
          <w:rFonts w:eastAsia="Aptos" w:cs="Arial"/>
          <w:color w:val="000000" w:themeColor="text1"/>
        </w:rPr>
        <w:t xml:space="preserve"> Op basis van dit soort voorbeelden, zoals ook het onlangs gelanceerde Nederlands Materialen Observatorium, werken we toe naar een handelingsperspectief om de potentie van data delen voor optimaal materiaalgebruik te benutten</w:t>
      </w:r>
      <w:r>
        <w:rPr>
          <w:rFonts w:eastAsia="Aptos" w:cs="Arial"/>
          <w:color w:val="000000" w:themeColor="text1"/>
        </w:rPr>
        <w:t>.</w:t>
      </w:r>
      <w:r>
        <w:rPr>
          <w:rStyle w:val="Voetnootmarkering"/>
          <w:rFonts w:eastAsia="Aptos" w:cs="Arial"/>
          <w:color w:val="000000" w:themeColor="text1"/>
        </w:rPr>
        <w:footnoteReference w:id="15"/>
      </w:r>
    </w:p>
    <w:p w:rsidR="009D0C06" w:rsidP="0057784B" w:rsidRDefault="009D0C06" w14:paraId="1B4069CD" w14:textId="77777777">
      <w:pPr>
        <w:rPr>
          <w:rFonts w:eastAsia="Aptos" w:cs="Arial"/>
          <w:color w:val="000000" w:themeColor="text1"/>
        </w:rPr>
      </w:pPr>
    </w:p>
    <w:p w:rsidR="009D0C06" w:rsidP="0057784B" w:rsidRDefault="009D0C06" w14:paraId="112796F2" w14:textId="77777777">
      <w:pPr>
        <w:rPr>
          <w:rFonts w:eastAsia="Aptos" w:cs="Arial"/>
          <w:b/>
          <w:bCs/>
          <w:color w:val="000000" w:themeColor="text1"/>
        </w:rPr>
      </w:pPr>
      <w:r w:rsidRPr="1402C43E">
        <w:rPr>
          <w:rFonts w:eastAsia="Aptos" w:cs="Arial"/>
          <w:b/>
          <w:bCs/>
          <w:color w:val="000000" w:themeColor="text1"/>
        </w:rPr>
        <w:t>Ontwikkelingen op Europees en internationaal gebied</w:t>
      </w:r>
    </w:p>
    <w:p w:rsidR="009D0C06" w:rsidP="0057784B" w:rsidRDefault="009D0C06" w14:paraId="36D6819B" w14:textId="7D722551">
      <w:pPr>
        <w:rPr>
          <w:rFonts w:eastAsia="Aptos" w:cs="Arial"/>
          <w:color w:val="000000" w:themeColor="text1"/>
        </w:rPr>
      </w:pPr>
      <w:r w:rsidRPr="2EE2770C">
        <w:rPr>
          <w:rFonts w:eastAsia="Aptos" w:cs="Arial"/>
          <w:color w:val="000000" w:themeColor="text1"/>
        </w:rPr>
        <w:t xml:space="preserve">Een ander belangrijk aandachtspunt in het actieplan is het stimuleren van internationale en bilaterale </w:t>
      </w:r>
      <w:r>
        <w:rPr>
          <w:rFonts w:eastAsia="Aptos" w:cs="Arial"/>
          <w:color w:val="000000" w:themeColor="text1"/>
        </w:rPr>
        <w:t>samenwerking.</w:t>
      </w:r>
      <w:r>
        <w:rPr>
          <w:rStyle w:val="Voetnootmarkering"/>
          <w:rFonts w:eastAsia="Aptos" w:cs="Arial"/>
          <w:color w:val="000000" w:themeColor="text1"/>
        </w:rPr>
        <w:footnoteReference w:id="16"/>
      </w:r>
      <w:r w:rsidRPr="2EE2770C">
        <w:rPr>
          <w:rFonts w:eastAsia="Aptos" w:cs="Arial"/>
          <w:color w:val="000000" w:themeColor="text1"/>
        </w:rPr>
        <w:t xml:space="preserve"> Daarbij vind ik het belangrijk dat extra regeldruk wordt voorkomen. </w:t>
      </w:r>
    </w:p>
    <w:p w:rsidR="009D0C06" w:rsidP="0057784B" w:rsidRDefault="009D0C06" w14:paraId="5E36D9EB" w14:textId="77777777">
      <w:pPr>
        <w:rPr>
          <w:rFonts w:eastAsia="Aptos" w:cs="Arial"/>
          <w:color w:val="000000" w:themeColor="text1"/>
          <w:szCs w:val="18"/>
        </w:rPr>
      </w:pPr>
    </w:p>
    <w:p w:rsidR="009D0C06" w:rsidP="0057784B" w:rsidRDefault="009D0C06" w14:paraId="7952F890" w14:textId="77777777">
      <w:pPr>
        <w:rPr>
          <w:rFonts w:eastAsia="Aptos" w:cs="Arial"/>
          <w:color w:val="000000" w:themeColor="text1"/>
        </w:rPr>
      </w:pPr>
      <w:r>
        <w:rPr>
          <w:rFonts w:eastAsia="Aptos" w:cs="Arial"/>
          <w:color w:val="000000" w:themeColor="text1"/>
        </w:rPr>
        <w:t>Ik heb tijdens</w:t>
      </w:r>
      <w:r w:rsidRPr="18AA2F5F">
        <w:rPr>
          <w:rFonts w:eastAsia="Aptos" w:cs="Arial"/>
          <w:color w:val="000000" w:themeColor="text1"/>
        </w:rPr>
        <w:t xml:space="preserve"> de Telecomraad</w:t>
      </w:r>
      <w:r>
        <w:rPr>
          <w:rFonts w:eastAsia="Aptos" w:cs="Arial"/>
          <w:color w:val="000000" w:themeColor="text1"/>
        </w:rPr>
        <w:t xml:space="preserve"> </w:t>
      </w:r>
      <w:r w:rsidRPr="3F9528B8">
        <w:rPr>
          <w:rFonts w:eastAsia="Aptos" w:cs="Arial"/>
          <w:color w:val="000000" w:themeColor="text1"/>
        </w:rPr>
        <w:t xml:space="preserve">van 6 december </w:t>
      </w:r>
      <w:r>
        <w:rPr>
          <w:rFonts w:eastAsia="Aptos" w:cs="Arial"/>
          <w:color w:val="000000" w:themeColor="text1"/>
        </w:rPr>
        <w:t xml:space="preserve">2024 </w:t>
      </w:r>
      <w:r w:rsidRPr="18AA2F5F">
        <w:rPr>
          <w:rFonts w:eastAsia="Aptos" w:cs="Arial"/>
          <w:color w:val="000000" w:themeColor="text1"/>
        </w:rPr>
        <w:t xml:space="preserve"> het belang </w:t>
      </w:r>
      <w:r w:rsidRPr="3F9528B8">
        <w:rPr>
          <w:rFonts w:eastAsia="Aptos" w:cs="Arial"/>
          <w:color w:val="000000" w:themeColor="text1"/>
        </w:rPr>
        <w:t>onderstreept</w:t>
      </w:r>
      <w:r w:rsidRPr="18AA2F5F">
        <w:rPr>
          <w:rFonts w:eastAsia="Aptos" w:cs="Arial"/>
          <w:color w:val="000000" w:themeColor="text1"/>
        </w:rPr>
        <w:t xml:space="preserve"> van</w:t>
      </w:r>
      <w:r w:rsidRPr="3F9528B8">
        <w:rPr>
          <w:rFonts w:eastAsia="Aptos" w:cs="Arial"/>
          <w:color w:val="000000" w:themeColor="text1"/>
        </w:rPr>
        <w:t xml:space="preserve"> </w:t>
      </w:r>
      <w:r w:rsidRPr="18AA2F5F">
        <w:rPr>
          <w:rFonts w:eastAsia="Aptos" w:cs="Arial"/>
          <w:color w:val="000000" w:themeColor="text1"/>
        </w:rPr>
        <w:t>goede samenwerking tussen EU-lidstaten om ervaringen uit te wisselen rond de dubbele transitie van verduurzaming en digitalisering.</w:t>
      </w:r>
      <w:r w:rsidRPr="18AA2F5F">
        <w:rPr>
          <w:rStyle w:val="Voetnootmarkering"/>
          <w:rFonts w:eastAsia="Aptos" w:cs="Arial"/>
          <w:color w:val="000000" w:themeColor="text1"/>
        </w:rPr>
        <w:footnoteReference w:id="17"/>
      </w:r>
      <w:r w:rsidRPr="18AA2F5F">
        <w:rPr>
          <w:rFonts w:eastAsia="Aptos" w:cs="Arial"/>
          <w:color w:val="000000" w:themeColor="text1"/>
        </w:rPr>
        <w:t xml:space="preserve"> Dit omdat er al veel regelgeving is op het gebied van circulariteit, recycling en rapportageverplichtingen voor datacenters. Inzet van het kabinet is om de resultaten van dergelijke wetgeving tussentijds te analyseren, zodat de effectiviteit, de gevolgen voor regeldruk en ondernemers en de samenhang van Europese duurzame digitale wetgeving in kaart kunnen worden gebracht. </w:t>
      </w:r>
    </w:p>
    <w:p w:rsidR="009D0C06" w:rsidP="0057784B" w:rsidRDefault="009D0C06" w14:paraId="7F16B79A" w14:textId="77777777">
      <w:pPr>
        <w:rPr>
          <w:rFonts w:eastAsia="Aptos" w:cs="Arial"/>
          <w:color w:val="000000" w:themeColor="text1"/>
          <w:szCs w:val="18"/>
        </w:rPr>
      </w:pPr>
    </w:p>
    <w:p w:rsidR="009D0C06" w:rsidP="0057784B" w:rsidRDefault="009D0C06" w14:paraId="258E8290" w14:textId="77777777">
      <w:pPr>
        <w:rPr>
          <w:rFonts w:eastAsia="Aptos" w:cs="Arial"/>
          <w:color w:val="000000" w:themeColor="text1"/>
        </w:rPr>
      </w:pPr>
      <w:r w:rsidRPr="18AA2F5F">
        <w:rPr>
          <w:rFonts w:eastAsia="Aptos" w:cs="Arial"/>
          <w:color w:val="000000" w:themeColor="text1"/>
        </w:rPr>
        <w:t xml:space="preserve">Daarnaast is er op ambtelijk niveau aan de OESO werkgroep </w:t>
      </w:r>
      <w:r w:rsidRPr="3F9528B8">
        <w:rPr>
          <w:rFonts w:eastAsia="Aptos" w:cs="Arial"/>
          <w:i/>
          <w:iCs/>
          <w:color w:val="000000" w:themeColor="text1"/>
        </w:rPr>
        <w:t>Connectivity Services and Infrastructure</w:t>
      </w:r>
      <w:r w:rsidRPr="18AA2F5F">
        <w:rPr>
          <w:rFonts w:eastAsia="Aptos" w:cs="Arial"/>
          <w:color w:val="000000" w:themeColor="text1"/>
        </w:rPr>
        <w:t xml:space="preserve">s om de </w:t>
      </w:r>
      <w:r w:rsidRPr="3F9528B8">
        <w:rPr>
          <w:rFonts w:eastAsia="Aptos" w:cs="Arial"/>
          <w:i/>
          <w:iCs/>
          <w:color w:val="000000" w:themeColor="text1"/>
        </w:rPr>
        <w:t>Recommendation on Digital Technologies and the Environment</w:t>
      </w:r>
      <w:r w:rsidRPr="18AA2F5F">
        <w:rPr>
          <w:rFonts w:eastAsia="Aptos" w:cs="Arial"/>
          <w:color w:val="000000" w:themeColor="text1"/>
        </w:rPr>
        <w:t xml:space="preserve"> te herijken.</w:t>
      </w:r>
      <w:r w:rsidRPr="18AA2F5F">
        <w:rPr>
          <w:rStyle w:val="Voetnootmarkering"/>
          <w:rFonts w:eastAsia="Aptos" w:cs="Arial"/>
          <w:color w:val="000000" w:themeColor="text1"/>
        </w:rPr>
        <w:footnoteReference w:id="18"/>
      </w:r>
      <w:r w:rsidRPr="18AA2F5F">
        <w:rPr>
          <w:rFonts w:eastAsia="Aptos" w:cs="Arial"/>
          <w:color w:val="000000" w:themeColor="text1"/>
        </w:rPr>
        <w:t xml:space="preserve"> Ook is er samen met KGG op ambtelijk niveau bij de International Energy Agency deelgenomen aan de Global Conference on Energy and AI om kennis te vergaren en delen over de energie efficiëntie van AI, de inzet van AI voor duurzaamheid en de energie efficiëntie van datacenters.</w:t>
      </w:r>
      <w:r w:rsidRPr="18AA2F5F">
        <w:rPr>
          <w:rStyle w:val="Voetnootmarkering"/>
          <w:rFonts w:eastAsia="Aptos" w:cs="Arial"/>
          <w:color w:val="000000" w:themeColor="text1"/>
        </w:rPr>
        <w:footnoteReference w:id="19"/>
      </w:r>
      <w:r w:rsidRPr="18AA2F5F">
        <w:rPr>
          <w:rFonts w:eastAsia="Aptos" w:cs="Arial"/>
          <w:color w:val="000000" w:themeColor="text1"/>
        </w:rPr>
        <w:t xml:space="preserve"> EZ heeft als onderdeel van het Digital Decade van de Europese Commissie, ook deelgenomen aan een ‘Green IT’ best-practice accelerator om ons actieplan te presenteren.</w:t>
      </w:r>
    </w:p>
    <w:p w:rsidR="009D0C06" w:rsidP="0057784B" w:rsidRDefault="009D0C06" w14:paraId="67338C47" w14:textId="77777777">
      <w:pPr>
        <w:rPr>
          <w:rFonts w:eastAsia="Aptos" w:cs="Arial"/>
          <w:color w:val="000000" w:themeColor="text1"/>
          <w:szCs w:val="18"/>
        </w:rPr>
      </w:pPr>
    </w:p>
    <w:p w:rsidRPr="009D0C06" w:rsidR="00D15779" w:rsidP="0057784B" w:rsidRDefault="009D0C06" w14:paraId="5D20C533" w14:textId="6C7DE85E">
      <w:pPr>
        <w:rPr>
          <w:rFonts w:eastAsia="Aptos" w:cs="Arial"/>
          <w:color w:val="000000" w:themeColor="text1"/>
        </w:rPr>
      </w:pPr>
      <w:r w:rsidRPr="2A95626F">
        <w:rPr>
          <w:rFonts w:eastAsia="Aptos" w:cs="Arial"/>
          <w:color w:val="000000" w:themeColor="text1"/>
        </w:rPr>
        <w:t>Verder wordt er aansluiting gezocht op ontwikkelingen uit andere lidstaten en de Europese Commissie. Zo is er bijvoorbeeld</w:t>
      </w:r>
      <w:r>
        <w:rPr>
          <w:rFonts w:eastAsia="Aptos" w:cs="Arial"/>
          <w:color w:val="000000" w:themeColor="text1"/>
        </w:rPr>
        <w:t>,</w:t>
      </w:r>
      <w:r w:rsidRPr="2A95626F">
        <w:rPr>
          <w:rFonts w:eastAsia="Aptos" w:cs="Arial"/>
          <w:color w:val="000000" w:themeColor="text1"/>
        </w:rPr>
        <w:t xml:space="preserve"> ter opvolging van een toezegging gedaan tijdens het Commissiedebat Duurzame Digitalisering d.d. 21 maart 2024, </w:t>
      </w:r>
      <w:r w:rsidRPr="2A95626F">
        <w:rPr>
          <w:rFonts w:eastAsia="Aptos" w:cs="Arial"/>
          <w:color w:val="000000" w:themeColor="text1"/>
        </w:rPr>
        <w:lastRenderedPageBreak/>
        <w:t>contact met de Franse overheid over hun duurzaamheidsbeleid en wordt er kennis uitgewisseld over het meten van milieueffecten van digitale technologieën.</w:t>
      </w:r>
      <w:r w:rsidRPr="2A95626F">
        <w:rPr>
          <w:rStyle w:val="Voetnootmarkering"/>
          <w:rFonts w:eastAsia="Aptos" w:cs="Arial"/>
          <w:color w:val="000000" w:themeColor="text1"/>
        </w:rPr>
        <w:footnoteReference w:id="20"/>
      </w:r>
    </w:p>
    <w:p w:rsidR="001A6AF9" w:rsidP="0057784B" w:rsidRDefault="001A6AF9" w14:paraId="079117D0" w14:textId="77777777">
      <w:pPr>
        <w:rPr>
          <w:rFonts w:asciiTheme="minorHAnsi" w:hAnsiTheme="minorHAnsi"/>
          <w:sz w:val="22"/>
          <w:szCs w:val="18"/>
        </w:rPr>
      </w:pPr>
    </w:p>
    <w:p w:rsidRPr="005C65B5" w:rsidR="00591E4A" w:rsidP="0057784B" w:rsidRDefault="00591E4A" w14:paraId="644B3E28" w14:textId="77777777"/>
    <w:p w:rsidR="00C90702" w:rsidP="0057784B" w:rsidRDefault="00C90702" w14:paraId="4F5540B6" w14:textId="77777777"/>
    <w:p w:rsidRPr="005C65B5" w:rsidR="009D0C06" w:rsidP="0057784B" w:rsidRDefault="009D0C06" w14:paraId="52D3BFCE" w14:textId="77777777"/>
    <w:p w:rsidRPr="00591E4A" w:rsidR="00C90702" w:rsidP="0057784B" w:rsidRDefault="00A4070A" w14:paraId="14A068F3" w14:textId="77777777">
      <w:pPr>
        <w:rPr>
          <w:szCs w:val="18"/>
        </w:rPr>
      </w:pPr>
      <w:r>
        <w:rPr>
          <w:szCs w:val="18"/>
        </w:rPr>
        <w:t>Dirk Beljaarts</w:t>
      </w:r>
    </w:p>
    <w:p w:rsidRPr="00012B4F" w:rsidR="004E505E" w:rsidP="0057784B" w:rsidRDefault="00A4070A" w14:paraId="68E6FC28" w14:textId="77777777">
      <w:r w:rsidRPr="005C65B5">
        <w:t>Minister van Economische Zaken</w:t>
      </w:r>
    </w:p>
    <w:sectPr w:rsidRPr="00012B4F"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CC5E" w14:textId="77777777" w:rsidR="004A6CA0" w:rsidRDefault="004A6CA0">
      <w:r>
        <w:separator/>
      </w:r>
    </w:p>
    <w:p w14:paraId="6B0F0701" w14:textId="77777777" w:rsidR="004A6CA0" w:rsidRDefault="004A6CA0"/>
  </w:endnote>
  <w:endnote w:type="continuationSeparator" w:id="0">
    <w:p w14:paraId="3DF8ADE0" w14:textId="77777777" w:rsidR="004A6CA0" w:rsidRDefault="004A6CA0">
      <w:r>
        <w:continuationSeparator/>
      </w:r>
    </w:p>
    <w:p w14:paraId="08333EBF" w14:textId="77777777" w:rsidR="004A6CA0" w:rsidRDefault="004A6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3267" w14:textId="450D8D41" w:rsidR="005C2538" w:rsidRDefault="005C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341E" w14:textId="13F1F9EC"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BC0418" w14:paraId="42ED6102" w14:textId="77777777" w:rsidTr="006D1737">
      <w:trPr>
        <w:trHeight w:hRule="exact" w:val="240"/>
      </w:trPr>
      <w:tc>
        <w:tcPr>
          <w:tcW w:w="7601" w:type="dxa"/>
          <w:shd w:val="clear" w:color="auto" w:fill="auto"/>
        </w:tcPr>
        <w:p w14:paraId="2921127B" w14:textId="77777777" w:rsidR="006D1737" w:rsidRDefault="006D1737" w:rsidP="006D1737">
          <w:pPr>
            <w:pStyle w:val="Huisstijl-Rubricering"/>
          </w:pPr>
        </w:p>
      </w:tc>
      <w:tc>
        <w:tcPr>
          <w:tcW w:w="2156" w:type="dxa"/>
        </w:tcPr>
        <w:p w14:paraId="74CEB945" w14:textId="53EE4DE2" w:rsidR="006D1737" w:rsidRPr="00645414" w:rsidRDefault="00A4070A"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FD653C">
            <w:t>5</w:t>
          </w:r>
          <w:r w:rsidR="00D72F45">
            <w:fldChar w:fldCharType="end"/>
          </w:r>
          <w:r w:rsidRPr="00ED539E">
            <w:t xml:space="preserve"> </w:t>
          </w:r>
        </w:p>
      </w:tc>
      <w:tc>
        <w:tcPr>
          <w:tcW w:w="2156" w:type="dxa"/>
        </w:tcPr>
        <w:p w14:paraId="39A67BEF" w14:textId="77777777" w:rsidR="006D1737" w:rsidRPr="00645414" w:rsidRDefault="00A4070A" w:rsidP="006D1737">
          <w:pPr>
            <w:pStyle w:val="Huisstijl-Paginanummering"/>
          </w:pPr>
          <w:r w:rsidRPr="00645414">
            <w:t xml:space="preserve"> </w:t>
          </w:r>
        </w:p>
      </w:tc>
    </w:tr>
  </w:tbl>
  <w:p w14:paraId="27AF53C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C0418" w14:paraId="6FD71D9C" w14:textId="77777777" w:rsidTr="00CA6A25">
      <w:trPr>
        <w:trHeight w:hRule="exact" w:val="240"/>
      </w:trPr>
      <w:tc>
        <w:tcPr>
          <w:tcW w:w="7601" w:type="dxa"/>
          <w:shd w:val="clear" w:color="auto" w:fill="auto"/>
        </w:tcPr>
        <w:p w14:paraId="75BB1FAC" w14:textId="0FCF04A5" w:rsidR="00527BD4" w:rsidRDefault="00527BD4" w:rsidP="008C356D">
          <w:pPr>
            <w:pStyle w:val="Huisstijl-Rubricering"/>
          </w:pPr>
        </w:p>
      </w:tc>
      <w:tc>
        <w:tcPr>
          <w:tcW w:w="2170" w:type="dxa"/>
        </w:tcPr>
        <w:p w14:paraId="26BB05B8" w14:textId="6C4E38FA" w:rsidR="00527BD4" w:rsidRPr="00ED539E" w:rsidRDefault="00A4070A"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FD653C">
            <w:t>5</w:t>
          </w:r>
          <w:r w:rsidR="00D72F45">
            <w:fldChar w:fldCharType="end"/>
          </w:r>
        </w:p>
      </w:tc>
    </w:tr>
  </w:tbl>
  <w:p w14:paraId="2A97EB99" w14:textId="77777777" w:rsidR="00527BD4" w:rsidRPr="00BC3B53" w:rsidRDefault="00527BD4" w:rsidP="008C356D">
    <w:pPr>
      <w:pStyle w:val="Voettekst"/>
      <w:spacing w:line="240" w:lineRule="auto"/>
      <w:rPr>
        <w:sz w:val="2"/>
        <w:szCs w:val="2"/>
      </w:rPr>
    </w:pPr>
  </w:p>
  <w:p w14:paraId="2136253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9A2E" w14:textId="77777777" w:rsidR="004A6CA0" w:rsidRDefault="004A6CA0">
      <w:r>
        <w:separator/>
      </w:r>
    </w:p>
    <w:p w14:paraId="2A8F84A5" w14:textId="77777777" w:rsidR="004A6CA0" w:rsidRDefault="004A6CA0"/>
  </w:footnote>
  <w:footnote w:type="continuationSeparator" w:id="0">
    <w:p w14:paraId="6302E0A7" w14:textId="77777777" w:rsidR="004A6CA0" w:rsidRDefault="004A6CA0">
      <w:r>
        <w:continuationSeparator/>
      </w:r>
    </w:p>
    <w:p w14:paraId="00713F8A" w14:textId="77777777" w:rsidR="004A6CA0" w:rsidRDefault="004A6CA0"/>
  </w:footnote>
  <w:footnote w:id="1">
    <w:p w14:paraId="7A4F7F2A" w14:textId="77777777" w:rsidR="009D0C06" w:rsidRDefault="009D0C06" w:rsidP="009D0C06">
      <w:pPr>
        <w:pStyle w:val="Voetnoottekst"/>
      </w:pPr>
      <w:r>
        <w:rPr>
          <w:rStyle w:val="Voetnootmarkering"/>
        </w:rPr>
        <w:footnoteRef/>
      </w:r>
      <w:r>
        <w:t xml:space="preserve"> Te raadplegen via: </w:t>
      </w:r>
      <w:hyperlink r:id="rId1" w:history="1">
        <w:r w:rsidRPr="1402C43E">
          <w:rPr>
            <w:rStyle w:val="Hyperlink"/>
          </w:rPr>
          <w:t>Analyse systeemkansen energieflexibiliteit clouddiensten</w:t>
        </w:r>
      </w:hyperlink>
      <w:r>
        <w:t>. Actie 2.a.2, Actieplan Duurzame Digitalisering.</w:t>
      </w:r>
    </w:p>
  </w:footnote>
  <w:footnote w:id="2">
    <w:p w14:paraId="56CE70EF" w14:textId="77777777" w:rsidR="009D0C06" w:rsidRDefault="009D0C06" w:rsidP="009D0C06">
      <w:pPr>
        <w:pStyle w:val="Voetnoottekst"/>
      </w:pPr>
      <w:r w:rsidRPr="1402C43E">
        <w:rPr>
          <w:rStyle w:val="Voetnootmarkering"/>
        </w:rPr>
        <w:footnoteRef/>
      </w:r>
      <w:r>
        <w:t xml:space="preserve"> Actie 3.a.1, Actieplan Duurzame Digitalisering.</w:t>
      </w:r>
    </w:p>
  </w:footnote>
  <w:footnote w:id="3">
    <w:p w14:paraId="48CF5245" w14:textId="77777777" w:rsidR="009D0C06" w:rsidRDefault="009D0C06" w:rsidP="009D0C06">
      <w:pPr>
        <w:pStyle w:val="Voetnoottekst"/>
      </w:pPr>
      <w:r w:rsidRPr="1402C43E">
        <w:rPr>
          <w:rStyle w:val="Voetnootmarkering"/>
        </w:rPr>
        <w:footnoteRef/>
      </w:r>
      <w:r>
        <w:t xml:space="preserve"> Actie 3.b.6, Actieplan Duurzame Digitalisering.</w:t>
      </w:r>
    </w:p>
  </w:footnote>
  <w:footnote w:id="4">
    <w:p w14:paraId="54940BEA" w14:textId="77777777" w:rsidR="009D0C06" w:rsidRDefault="009D0C06" w:rsidP="009D0C06">
      <w:pPr>
        <w:pStyle w:val="Voetnoottekst"/>
      </w:pPr>
      <w:r w:rsidRPr="1402C43E">
        <w:rPr>
          <w:rStyle w:val="Voetnootmarkering"/>
        </w:rPr>
        <w:footnoteRef/>
      </w:r>
      <w:r>
        <w:t xml:space="preserve"> Actie 3.a.3 en 3.a.5, Actieplan Duurzame Digitalisering.</w:t>
      </w:r>
    </w:p>
  </w:footnote>
  <w:footnote w:id="5">
    <w:p w14:paraId="4E99EA98" w14:textId="77777777" w:rsidR="009D0C06" w:rsidRDefault="009D0C06" w:rsidP="009D0C06">
      <w:pPr>
        <w:pStyle w:val="Voetnoottekst"/>
      </w:pPr>
      <w:r w:rsidRPr="1402C43E">
        <w:rPr>
          <w:rStyle w:val="Voetnootmarkering"/>
        </w:rPr>
        <w:footnoteRef/>
      </w:r>
      <w:r>
        <w:t xml:space="preserve"> Actie 3.b.2, Actieplan Duurzame Digitalisering.</w:t>
      </w:r>
    </w:p>
  </w:footnote>
  <w:footnote w:id="6">
    <w:p w14:paraId="01C9BA37" w14:textId="77777777" w:rsidR="009D0C06" w:rsidRDefault="009D0C06" w:rsidP="009D0C06">
      <w:pPr>
        <w:pStyle w:val="Voetnoottekst"/>
      </w:pPr>
      <w:r>
        <w:rPr>
          <w:rStyle w:val="Voetnootmarkering"/>
        </w:rPr>
        <w:footnoteRef/>
      </w:r>
      <w:r>
        <w:t xml:space="preserve"> Te raadplegen via: </w:t>
      </w:r>
      <w:hyperlink r:id="rId2" w:history="1">
        <w:r w:rsidRPr="00DF1D9A">
          <w:rPr>
            <w:rStyle w:val="Hyperlink"/>
          </w:rPr>
          <w:t>Nationale Coalitie Duurzame Digitalisering</w:t>
        </w:r>
      </w:hyperlink>
      <w:r>
        <w:t xml:space="preserve"> </w:t>
      </w:r>
    </w:p>
  </w:footnote>
  <w:footnote w:id="7">
    <w:p w14:paraId="32F98029" w14:textId="77777777" w:rsidR="009D0C06" w:rsidRDefault="009D0C06" w:rsidP="009D0C06">
      <w:pPr>
        <w:pStyle w:val="Voetnoottekst"/>
      </w:pPr>
      <w:r>
        <w:rPr>
          <w:rStyle w:val="Voetnootmarkering"/>
        </w:rPr>
        <w:footnoteRef/>
      </w:r>
      <w:r>
        <w:t xml:space="preserve"> Te raadplegen via: </w:t>
      </w:r>
      <w:hyperlink r:id="rId3" w:history="1">
        <w:r>
          <w:rPr>
            <w:rStyle w:val="Hyperlink"/>
          </w:rPr>
          <w:t>Nationale Coalitie Duurzame Digitalisering manifest</w:t>
        </w:r>
      </w:hyperlink>
    </w:p>
  </w:footnote>
  <w:footnote w:id="8">
    <w:p w14:paraId="28B676DF" w14:textId="77777777" w:rsidR="009D0C06" w:rsidRDefault="009D0C06" w:rsidP="009D0C06">
      <w:pPr>
        <w:pStyle w:val="Voetnoottekst"/>
      </w:pPr>
      <w:r>
        <w:rPr>
          <w:rStyle w:val="Voetnootmarkering"/>
        </w:rPr>
        <w:footnoteRef/>
      </w:r>
      <w:r>
        <w:t xml:space="preserve"> Te raadplegen via: </w:t>
      </w:r>
      <w:hyperlink r:id="rId4" w:history="1">
        <w:r>
          <w:rPr>
            <w:rStyle w:val="Hyperlink"/>
          </w:rPr>
          <w:t>Motie van het lid Kathmann c.s. over een integraal plan voor duurzame digitalisering</w:t>
        </w:r>
      </w:hyperlink>
    </w:p>
  </w:footnote>
  <w:footnote w:id="9">
    <w:p w14:paraId="7AFB088C" w14:textId="77777777" w:rsidR="009D0C06" w:rsidRDefault="009D0C06" w:rsidP="009D0C06">
      <w:pPr>
        <w:pStyle w:val="Voetnoottekst"/>
      </w:pPr>
      <w:r w:rsidRPr="1402C43E">
        <w:rPr>
          <w:rStyle w:val="Voetnootmarkering"/>
        </w:rPr>
        <w:footnoteRef/>
      </w:r>
      <w:r>
        <w:t xml:space="preserve"> Actie 1.a.1, Actieplan Duurzame Digitalisering.</w:t>
      </w:r>
    </w:p>
  </w:footnote>
  <w:footnote w:id="10">
    <w:p w14:paraId="0B83E444" w14:textId="77777777" w:rsidR="009D0C06" w:rsidRPr="00ED4159" w:rsidRDefault="009D0C06" w:rsidP="009D0C06">
      <w:pPr>
        <w:pStyle w:val="Voetnoottekst"/>
      </w:pPr>
      <w:r>
        <w:rPr>
          <w:rStyle w:val="Voetnootmarkering"/>
        </w:rPr>
        <w:footnoteRef/>
      </w:r>
      <w:r w:rsidRPr="00CA6D6E">
        <w:t xml:space="preserve"> Actie 1.a.2</w:t>
      </w:r>
      <w:r>
        <w:t>, Actieplan Duurzame Digitalisering.</w:t>
      </w:r>
    </w:p>
  </w:footnote>
  <w:footnote w:id="11">
    <w:p w14:paraId="5DD8AC7D" w14:textId="77777777" w:rsidR="009D0C06" w:rsidRPr="00ED4159" w:rsidRDefault="009D0C06" w:rsidP="009D0C06">
      <w:pPr>
        <w:pStyle w:val="Voetnoottekst"/>
      </w:pPr>
      <w:r>
        <w:rPr>
          <w:rStyle w:val="Voetnootmarkering"/>
        </w:rPr>
        <w:footnoteRef/>
      </w:r>
      <w:r w:rsidRPr="00CA6D6E">
        <w:t xml:space="preserve"> Actie 1.a.4</w:t>
      </w:r>
      <w:r>
        <w:t>, Actieplan Duurzame Digitalisering.</w:t>
      </w:r>
    </w:p>
  </w:footnote>
  <w:footnote w:id="12">
    <w:p w14:paraId="5C5E228E" w14:textId="77777777" w:rsidR="009D0C06" w:rsidRDefault="009D0C06" w:rsidP="009D0C06">
      <w:pPr>
        <w:pStyle w:val="Voetnoottekst"/>
      </w:pPr>
      <w:r>
        <w:rPr>
          <w:rStyle w:val="Voetnootmarkering"/>
        </w:rPr>
        <w:footnoteRef/>
      </w:r>
      <w:r>
        <w:t xml:space="preserve"> Actie 1.c.6, Actieplan Duurzame Digitalisering.</w:t>
      </w:r>
    </w:p>
  </w:footnote>
  <w:footnote w:id="13">
    <w:p w14:paraId="2260980D" w14:textId="77777777" w:rsidR="009D0C06" w:rsidRPr="00ED4159" w:rsidRDefault="009D0C06" w:rsidP="009D0C06">
      <w:pPr>
        <w:pStyle w:val="Voetnoottekst"/>
      </w:pPr>
      <w:r>
        <w:rPr>
          <w:rStyle w:val="Voetnootmarkering"/>
        </w:rPr>
        <w:footnoteRef/>
      </w:r>
      <w:r w:rsidRPr="00CA6D6E">
        <w:t xml:space="preserve"> Actie 2.a.1</w:t>
      </w:r>
      <w:r>
        <w:t>, Actieplan Duurzame Digitalisering.</w:t>
      </w:r>
    </w:p>
  </w:footnote>
  <w:footnote w:id="14">
    <w:p w14:paraId="6EB5E4DD" w14:textId="77777777" w:rsidR="009D0C06" w:rsidRPr="009E47F7" w:rsidRDefault="009D0C06" w:rsidP="009D0C06">
      <w:pPr>
        <w:pStyle w:val="Voetnoottekst"/>
        <w:rPr>
          <w:lang w:val="en-US"/>
        </w:rPr>
      </w:pPr>
      <w:r w:rsidRPr="18AA2F5F">
        <w:rPr>
          <w:rStyle w:val="Voetnootmarkering"/>
        </w:rPr>
        <w:footnoteRef/>
      </w:r>
      <w:r w:rsidRPr="009E47F7">
        <w:rPr>
          <w:lang w:val="en-US"/>
        </w:rPr>
        <w:t xml:space="preserve"> Meer informatie: </w:t>
      </w:r>
      <w:hyperlink r:id="rId5">
        <w:r w:rsidRPr="009E47F7">
          <w:rPr>
            <w:rStyle w:val="Hyperlink"/>
            <w:lang w:val="en-US"/>
          </w:rPr>
          <w:t>Centre of Excellence for Data Sharing &amp; Cloud</w:t>
        </w:r>
      </w:hyperlink>
    </w:p>
  </w:footnote>
  <w:footnote w:id="15">
    <w:p w14:paraId="5319F0B0" w14:textId="77777777" w:rsidR="009D0C06" w:rsidRDefault="009D0C06" w:rsidP="009D0C06">
      <w:pPr>
        <w:pStyle w:val="Voetnoottekst"/>
      </w:pPr>
      <w:r>
        <w:rPr>
          <w:rStyle w:val="Voetnootmarkering"/>
        </w:rPr>
        <w:footnoteRef/>
      </w:r>
      <w:r>
        <w:t xml:space="preserve"> Actie 2.b.1, Actieplan Duurzame Digitalisering.</w:t>
      </w:r>
    </w:p>
  </w:footnote>
  <w:footnote w:id="16">
    <w:p w14:paraId="25337A43" w14:textId="77777777" w:rsidR="009D0C06" w:rsidRDefault="009D0C06" w:rsidP="009D0C06">
      <w:pPr>
        <w:pStyle w:val="Voetnoottekst"/>
      </w:pPr>
      <w:r>
        <w:rPr>
          <w:rStyle w:val="Voetnootmarkering"/>
        </w:rPr>
        <w:footnoteRef/>
      </w:r>
      <w:r>
        <w:t xml:space="preserve"> Actie 3.b.4, Actieplan Duurzame Digitalisering.</w:t>
      </w:r>
    </w:p>
  </w:footnote>
  <w:footnote w:id="17">
    <w:p w14:paraId="42E62C83" w14:textId="77777777" w:rsidR="009D0C06" w:rsidRDefault="009D0C06" w:rsidP="009D0C06">
      <w:pPr>
        <w:pStyle w:val="Voetnoottekst"/>
      </w:pPr>
      <w:r>
        <w:rPr>
          <w:rStyle w:val="Voetnootmarkering"/>
        </w:rPr>
        <w:footnoteRef/>
      </w:r>
      <w:r>
        <w:t xml:space="preserve"> Te raadplegen via: </w:t>
      </w:r>
      <w:hyperlink r:id="rId6" w:history="1">
        <w:r w:rsidRPr="0089008D">
          <w:rPr>
            <w:rStyle w:val="Hyperlink"/>
          </w:rPr>
          <w:t>https://open.overheid.nl/documenten/121fb755-6702-4c62-810b-fa00333dc0b1/file</w:t>
        </w:r>
      </w:hyperlink>
      <w:r>
        <w:t xml:space="preserve"> </w:t>
      </w:r>
    </w:p>
  </w:footnote>
  <w:footnote w:id="18">
    <w:p w14:paraId="13468512" w14:textId="77777777" w:rsidR="009D0C06" w:rsidRPr="00D41630" w:rsidRDefault="009D0C06" w:rsidP="009D0C06">
      <w:pPr>
        <w:pStyle w:val="Voetnoottekst"/>
        <w:rPr>
          <w:lang w:val="en-GB"/>
        </w:rPr>
      </w:pPr>
      <w:r>
        <w:rPr>
          <w:rStyle w:val="Voetnootmarkering"/>
        </w:rPr>
        <w:footnoteRef/>
      </w:r>
      <w:r w:rsidRPr="00D41630">
        <w:rPr>
          <w:lang w:val="en-GB"/>
        </w:rPr>
        <w:t xml:space="preserve"> Te raadplegen via: </w:t>
      </w:r>
      <w:hyperlink r:id="rId7" w:history="1">
        <w:r w:rsidRPr="00D41630">
          <w:rPr>
            <w:rStyle w:val="Hyperlink"/>
            <w:lang w:val="en-GB"/>
          </w:rPr>
          <w:t>The environmental sustainability of communication networks | OECD</w:t>
        </w:r>
      </w:hyperlink>
    </w:p>
  </w:footnote>
  <w:footnote w:id="19">
    <w:p w14:paraId="136BB119" w14:textId="77777777" w:rsidR="009D0C06" w:rsidRPr="00864AE4" w:rsidRDefault="009D0C06" w:rsidP="009D0C06">
      <w:pPr>
        <w:pStyle w:val="Voetnoottekst"/>
      </w:pPr>
      <w:r>
        <w:rPr>
          <w:rStyle w:val="Voetnootmarkering"/>
        </w:rPr>
        <w:footnoteRef/>
      </w:r>
      <w:r w:rsidRPr="00864AE4">
        <w:t xml:space="preserve"> Meer informatie:</w:t>
      </w:r>
      <w:r w:rsidRPr="00864AE4">
        <w:rPr>
          <w:sz w:val="18"/>
          <w:szCs w:val="24"/>
        </w:rPr>
        <w:t xml:space="preserve"> </w:t>
      </w:r>
      <w:hyperlink r:id="rId8" w:history="1">
        <w:r w:rsidRPr="003420AC">
          <w:rPr>
            <w:rStyle w:val="Hyperlink"/>
          </w:rPr>
          <w:t>Global Conference on Energy &amp; AI - Event - IEA</w:t>
        </w:r>
      </w:hyperlink>
    </w:p>
  </w:footnote>
  <w:footnote w:id="20">
    <w:p w14:paraId="2575D058" w14:textId="77777777" w:rsidR="009D0C06" w:rsidRDefault="009D0C06" w:rsidP="009D0C06">
      <w:pPr>
        <w:pStyle w:val="Voetnoottekst"/>
      </w:pPr>
      <w:r>
        <w:rPr>
          <w:rStyle w:val="Voetnootmarkering"/>
        </w:rPr>
        <w:footnoteRef/>
      </w:r>
      <w:r>
        <w:t xml:space="preserve"> Actie 3.b.5, Actieplan Duurzame Digitalisering.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8E6F" w14:textId="77777777" w:rsidR="00A4070A" w:rsidRDefault="00A4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C0418" w14:paraId="63E5F90A" w14:textId="77777777" w:rsidTr="00A50CF6">
      <w:tc>
        <w:tcPr>
          <w:tcW w:w="2156" w:type="dxa"/>
          <w:shd w:val="clear" w:color="auto" w:fill="auto"/>
        </w:tcPr>
        <w:p w14:paraId="3012FFA4" w14:textId="77777777" w:rsidR="00527BD4" w:rsidRPr="00624D22" w:rsidRDefault="00A4070A" w:rsidP="00A50CF6">
          <w:pPr>
            <w:pStyle w:val="Huisstijl-Adres"/>
            <w:rPr>
              <w:b/>
            </w:rPr>
          </w:pPr>
          <w:r>
            <w:rPr>
              <w:b/>
            </w:rPr>
            <w:t xml:space="preserve">Directoraat-generaal Economie en Digitalisering </w:t>
          </w:r>
        </w:p>
      </w:tc>
    </w:tr>
    <w:tr w:rsidR="00BC0418" w14:paraId="109A6200" w14:textId="77777777" w:rsidTr="00A50CF6">
      <w:trPr>
        <w:trHeight w:hRule="exact" w:val="200"/>
      </w:trPr>
      <w:tc>
        <w:tcPr>
          <w:tcW w:w="2156" w:type="dxa"/>
          <w:shd w:val="clear" w:color="auto" w:fill="auto"/>
        </w:tcPr>
        <w:p w14:paraId="088FD2E5" w14:textId="77777777" w:rsidR="00527BD4" w:rsidRPr="005819CE" w:rsidRDefault="00527BD4" w:rsidP="00A50CF6"/>
      </w:tc>
    </w:tr>
    <w:tr w:rsidR="00BC0418" w14:paraId="24EE62A8" w14:textId="77777777" w:rsidTr="00502512">
      <w:trPr>
        <w:trHeight w:hRule="exact" w:val="774"/>
      </w:trPr>
      <w:tc>
        <w:tcPr>
          <w:tcW w:w="2156" w:type="dxa"/>
          <w:shd w:val="clear" w:color="auto" w:fill="auto"/>
        </w:tcPr>
        <w:p w14:paraId="0DAE666E" w14:textId="77777777" w:rsidR="00527BD4" w:rsidRDefault="00527BD4" w:rsidP="003A5290">
          <w:pPr>
            <w:pStyle w:val="Huisstijl-Kopje"/>
          </w:pPr>
        </w:p>
        <w:p w14:paraId="769C47EC" w14:textId="77777777" w:rsidR="00502512" w:rsidRPr="00502512" w:rsidRDefault="00A4070A" w:rsidP="003A5290">
          <w:pPr>
            <w:pStyle w:val="Huisstijl-Kopje"/>
            <w:rPr>
              <w:b w:val="0"/>
            </w:rPr>
          </w:pPr>
          <w:r>
            <w:rPr>
              <w:b w:val="0"/>
            </w:rPr>
            <w:t>DGED-DE</w:t>
          </w:r>
          <w:r w:rsidRPr="00502512">
            <w:rPr>
              <w:b w:val="0"/>
            </w:rPr>
            <w:t xml:space="preserve"> / </w:t>
          </w:r>
          <w:r>
            <w:rPr>
              <w:b w:val="0"/>
            </w:rPr>
            <w:t>97019799</w:t>
          </w:r>
        </w:p>
        <w:p w14:paraId="64803140" w14:textId="77777777" w:rsidR="00527BD4" w:rsidRPr="005819CE" w:rsidRDefault="00527BD4" w:rsidP="00361A56">
          <w:pPr>
            <w:pStyle w:val="Huisstijl-Kopje"/>
          </w:pPr>
        </w:p>
      </w:tc>
    </w:tr>
  </w:tbl>
  <w:p w14:paraId="684B8AEA" w14:textId="77777777" w:rsidR="00527BD4" w:rsidRDefault="00527BD4" w:rsidP="008C356D">
    <w:pPr>
      <w:pStyle w:val="Koptekst"/>
      <w:rPr>
        <w:rFonts w:cs="Verdana-Bold"/>
        <w:b/>
        <w:bCs/>
        <w:smallCaps/>
        <w:szCs w:val="18"/>
      </w:rPr>
    </w:pPr>
  </w:p>
  <w:p w14:paraId="351D2294" w14:textId="77777777" w:rsidR="00527BD4" w:rsidRDefault="00527BD4" w:rsidP="008C356D"/>
  <w:p w14:paraId="39C44D00" w14:textId="77777777" w:rsidR="00527BD4" w:rsidRPr="00740712" w:rsidRDefault="00527BD4" w:rsidP="008C356D"/>
  <w:p w14:paraId="3ACACC8C" w14:textId="77777777" w:rsidR="00527BD4" w:rsidRPr="00217880" w:rsidRDefault="00527BD4" w:rsidP="008C356D">
    <w:pPr>
      <w:spacing w:line="0" w:lineRule="atLeast"/>
      <w:rPr>
        <w:sz w:val="2"/>
        <w:szCs w:val="2"/>
      </w:rPr>
    </w:pPr>
  </w:p>
  <w:p w14:paraId="1115DEA5" w14:textId="77777777" w:rsidR="00527BD4" w:rsidRDefault="00527BD4" w:rsidP="004F44C2">
    <w:pPr>
      <w:pStyle w:val="Koptekst"/>
      <w:rPr>
        <w:rFonts w:cs="Verdana-Bold"/>
        <w:b/>
        <w:bCs/>
        <w:smallCaps/>
        <w:szCs w:val="18"/>
      </w:rPr>
    </w:pPr>
  </w:p>
  <w:p w14:paraId="0F0B13DF" w14:textId="77777777" w:rsidR="00527BD4" w:rsidRDefault="00527BD4" w:rsidP="004F44C2"/>
  <w:p w14:paraId="370600C5" w14:textId="77777777" w:rsidR="00624D22" w:rsidRDefault="00624D22" w:rsidP="004F44C2"/>
  <w:p w14:paraId="7C58463A" w14:textId="77777777" w:rsidR="00624D22" w:rsidRDefault="00624D22" w:rsidP="004F44C2"/>
  <w:p w14:paraId="618B15E8" w14:textId="77777777" w:rsidR="00527BD4" w:rsidRPr="00740712" w:rsidRDefault="00527BD4" w:rsidP="004F44C2"/>
  <w:p w14:paraId="2FD4426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C0418" w14:paraId="73A26C37" w14:textId="77777777" w:rsidTr="00751A6A">
      <w:trPr>
        <w:trHeight w:val="2636"/>
      </w:trPr>
      <w:tc>
        <w:tcPr>
          <w:tcW w:w="737" w:type="dxa"/>
          <w:shd w:val="clear" w:color="auto" w:fill="auto"/>
        </w:tcPr>
        <w:p w14:paraId="35317FC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7005AA6" w14:textId="77777777" w:rsidR="00527BD4" w:rsidRDefault="00A4070A"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1A41D980" wp14:editId="6B41B19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91E78FC" w14:textId="77777777" w:rsidR="00527BD4" w:rsidRDefault="00527BD4" w:rsidP="00D0609E">
    <w:pPr>
      <w:framePr w:w="6340" w:h="2750" w:hRule="exact" w:hSpace="180" w:wrap="around" w:vAnchor="page" w:hAnchor="text" w:x="3873" w:y="-140"/>
    </w:pPr>
  </w:p>
  <w:p w14:paraId="611430E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C0418" w:rsidRPr="004C3FF1" w14:paraId="5F7103D1" w14:textId="77777777" w:rsidTr="00A50CF6">
      <w:tc>
        <w:tcPr>
          <w:tcW w:w="2160" w:type="dxa"/>
          <w:shd w:val="clear" w:color="auto" w:fill="auto"/>
        </w:tcPr>
        <w:p w14:paraId="5EA47065" w14:textId="77777777" w:rsidR="00527BD4" w:rsidRPr="00781DCA" w:rsidRDefault="00A4070A" w:rsidP="00A50CF6">
          <w:pPr>
            <w:pStyle w:val="Huisstijl-Adres"/>
            <w:rPr>
              <w:b/>
            </w:rPr>
          </w:pPr>
          <w:r>
            <w:rPr>
              <w:b/>
            </w:rPr>
            <w:t xml:space="preserve">Directoraat-generaal Economie en Digitalisering </w:t>
          </w:r>
          <w:r w:rsidRPr="005819CE">
            <w:rPr>
              <w:b/>
            </w:rPr>
            <w:br/>
          </w:r>
          <w:r>
            <w:t>Directie Digitale Economie</w:t>
          </w:r>
        </w:p>
        <w:p w14:paraId="6578BD2A" w14:textId="77777777" w:rsidR="00527BD4" w:rsidRPr="00BE5ED9" w:rsidRDefault="00A4070A" w:rsidP="00A50CF6">
          <w:pPr>
            <w:pStyle w:val="Huisstijl-Adres"/>
          </w:pPr>
          <w:r>
            <w:rPr>
              <w:b/>
            </w:rPr>
            <w:t>Bezoekadres</w:t>
          </w:r>
          <w:r>
            <w:rPr>
              <w:b/>
            </w:rPr>
            <w:br/>
          </w:r>
          <w:r>
            <w:t>Bezuidenhoutseweg 73</w:t>
          </w:r>
          <w:r w:rsidRPr="005819CE">
            <w:br/>
          </w:r>
          <w:r>
            <w:t>2594 AC Den Haag</w:t>
          </w:r>
        </w:p>
        <w:p w14:paraId="63FDD25E" w14:textId="77777777" w:rsidR="00EF495B" w:rsidRDefault="00A4070A" w:rsidP="0098788A">
          <w:pPr>
            <w:pStyle w:val="Huisstijl-Adres"/>
          </w:pPr>
          <w:r>
            <w:rPr>
              <w:b/>
            </w:rPr>
            <w:t>Postadres</w:t>
          </w:r>
          <w:r>
            <w:rPr>
              <w:b/>
            </w:rPr>
            <w:br/>
          </w:r>
          <w:r>
            <w:t>Postbus 20401</w:t>
          </w:r>
          <w:r w:rsidRPr="005819CE">
            <w:br/>
            <w:t>2500 E</w:t>
          </w:r>
          <w:r>
            <w:t>K</w:t>
          </w:r>
          <w:r w:rsidRPr="005819CE">
            <w:t xml:space="preserve"> Den Haag</w:t>
          </w:r>
        </w:p>
        <w:p w14:paraId="1B7C3F63" w14:textId="77777777" w:rsidR="00EF495B" w:rsidRPr="005B3814" w:rsidRDefault="00A4070A" w:rsidP="0098788A">
          <w:pPr>
            <w:pStyle w:val="Huisstijl-Adres"/>
          </w:pPr>
          <w:r>
            <w:rPr>
              <w:b/>
            </w:rPr>
            <w:t>Overheidsidentificatienr</w:t>
          </w:r>
          <w:r>
            <w:rPr>
              <w:b/>
            </w:rPr>
            <w:br/>
          </w:r>
          <w:r w:rsidRPr="005B3814">
            <w:t>00000001003214369000</w:t>
          </w:r>
        </w:p>
        <w:p w14:paraId="01E59425" w14:textId="6670725B" w:rsidR="00527BD4" w:rsidRPr="0057784B" w:rsidRDefault="00A4070A"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C0418" w:rsidRPr="004C3FF1" w14:paraId="24596414" w14:textId="77777777" w:rsidTr="00A50CF6">
      <w:trPr>
        <w:trHeight w:hRule="exact" w:val="200"/>
      </w:trPr>
      <w:tc>
        <w:tcPr>
          <w:tcW w:w="2160" w:type="dxa"/>
          <w:shd w:val="clear" w:color="auto" w:fill="auto"/>
        </w:tcPr>
        <w:p w14:paraId="0DAC417F" w14:textId="77777777" w:rsidR="00527BD4" w:rsidRPr="00D71182" w:rsidRDefault="00527BD4" w:rsidP="00A50CF6">
          <w:pPr>
            <w:rPr>
              <w:lang w:val="fr-FR"/>
            </w:rPr>
          </w:pPr>
        </w:p>
      </w:tc>
    </w:tr>
    <w:tr w:rsidR="00BC0418" w14:paraId="3AC78ECC" w14:textId="77777777" w:rsidTr="00A50CF6">
      <w:tc>
        <w:tcPr>
          <w:tcW w:w="2160" w:type="dxa"/>
          <w:shd w:val="clear" w:color="auto" w:fill="auto"/>
        </w:tcPr>
        <w:p w14:paraId="14611CEC" w14:textId="77777777" w:rsidR="000C0163" w:rsidRPr="005819CE" w:rsidRDefault="00A4070A" w:rsidP="000C0163">
          <w:pPr>
            <w:pStyle w:val="Huisstijl-Kopje"/>
          </w:pPr>
          <w:r>
            <w:t>Ons kenmerk</w:t>
          </w:r>
        </w:p>
        <w:p w14:paraId="6C9F526A" w14:textId="77777777" w:rsidR="000C0163" w:rsidRPr="005819CE" w:rsidRDefault="00A4070A" w:rsidP="000C0163">
          <w:pPr>
            <w:pStyle w:val="Huisstijl-Gegeven"/>
          </w:pPr>
          <w:r>
            <w:t>DGED-DE</w:t>
          </w:r>
          <w:r w:rsidR="00926AE2">
            <w:t xml:space="preserve"> / </w:t>
          </w:r>
          <w:r>
            <w:t>97019799</w:t>
          </w:r>
        </w:p>
        <w:p w14:paraId="73CA8119" w14:textId="77777777" w:rsidR="00527BD4" w:rsidRPr="005819CE" w:rsidRDefault="00527BD4" w:rsidP="0057784B">
          <w:pPr>
            <w:pStyle w:val="Huisstijl-Kopje"/>
          </w:pPr>
        </w:p>
      </w:tc>
    </w:tr>
  </w:tbl>
  <w:p w14:paraId="14BE058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C0418" w14:paraId="46F5566B" w14:textId="77777777" w:rsidTr="00C37826">
      <w:trPr>
        <w:trHeight w:val="400"/>
      </w:trPr>
      <w:tc>
        <w:tcPr>
          <w:tcW w:w="7371" w:type="dxa"/>
          <w:gridSpan w:val="2"/>
          <w:shd w:val="clear" w:color="auto" w:fill="auto"/>
        </w:tcPr>
        <w:p w14:paraId="58E792BE" w14:textId="77777777" w:rsidR="00527BD4" w:rsidRPr="00BC3B53" w:rsidRDefault="00A4070A"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BC0418" w14:paraId="40450CCC" w14:textId="77777777" w:rsidTr="00C37826">
      <w:tc>
        <w:tcPr>
          <w:tcW w:w="7371" w:type="dxa"/>
          <w:gridSpan w:val="2"/>
          <w:shd w:val="clear" w:color="auto" w:fill="auto"/>
        </w:tcPr>
        <w:p w14:paraId="4D012714" w14:textId="77777777" w:rsidR="00527BD4" w:rsidRPr="00983E8F" w:rsidRDefault="00527BD4" w:rsidP="00A50CF6">
          <w:pPr>
            <w:pStyle w:val="Huisstijl-Rubricering"/>
          </w:pPr>
        </w:p>
      </w:tc>
    </w:tr>
    <w:tr w:rsidR="00BC0418" w14:paraId="7FF4E725" w14:textId="77777777" w:rsidTr="00C37826">
      <w:trPr>
        <w:trHeight w:hRule="exact" w:val="2440"/>
      </w:trPr>
      <w:tc>
        <w:tcPr>
          <w:tcW w:w="7371" w:type="dxa"/>
          <w:gridSpan w:val="2"/>
          <w:shd w:val="clear" w:color="auto" w:fill="auto"/>
        </w:tcPr>
        <w:p w14:paraId="3408C27B" w14:textId="77777777" w:rsidR="00527BD4" w:rsidRDefault="00A4070A" w:rsidP="00A50CF6">
          <w:pPr>
            <w:pStyle w:val="Huisstijl-NAW"/>
          </w:pPr>
          <w:r>
            <w:t xml:space="preserve">De Voorzitter van de Tweede Kamer </w:t>
          </w:r>
        </w:p>
        <w:p w14:paraId="4F19B064" w14:textId="77777777" w:rsidR="00D87195" w:rsidRDefault="00A4070A" w:rsidP="00D87195">
          <w:pPr>
            <w:pStyle w:val="Huisstijl-NAW"/>
          </w:pPr>
          <w:r>
            <w:t>der Staten-Generaal</w:t>
          </w:r>
        </w:p>
        <w:p w14:paraId="2790BFA6" w14:textId="77777777" w:rsidR="00EA0F13" w:rsidRDefault="00A4070A" w:rsidP="00EA0F13">
          <w:pPr>
            <w:rPr>
              <w:szCs w:val="18"/>
            </w:rPr>
          </w:pPr>
          <w:r>
            <w:rPr>
              <w:szCs w:val="18"/>
            </w:rPr>
            <w:t>Prinses Irenestraat 6</w:t>
          </w:r>
        </w:p>
        <w:p w14:paraId="77151C8B" w14:textId="77777777" w:rsidR="00985E56" w:rsidRDefault="00A4070A" w:rsidP="00EA0F13">
          <w:r>
            <w:rPr>
              <w:szCs w:val="18"/>
            </w:rPr>
            <w:t>2595 BD  DEN HAAG</w:t>
          </w:r>
        </w:p>
      </w:tc>
    </w:tr>
    <w:tr w:rsidR="00BC0418" w14:paraId="4F7DF384" w14:textId="77777777" w:rsidTr="00C37826">
      <w:trPr>
        <w:trHeight w:hRule="exact" w:val="400"/>
      </w:trPr>
      <w:tc>
        <w:tcPr>
          <w:tcW w:w="7371" w:type="dxa"/>
          <w:gridSpan w:val="2"/>
          <w:shd w:val="clear" w:color="auto" w:fill="auto"/>
        </w:tcPr>
        <w:p w14:paraId="715470F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C0418" w14:paraId="3AF85875" w14:textId="77777777" w:rsidTr="00C37826">
      <w:trPr>
        <w:trHeight w:val="240"/>
      </w:trPr>
      <w:tc>
        <w:tcPr>
          <w:tcW w:w="709" w:type="dxa"/>
          <w:shd w:val="clear" w:color="auto" w:fill="auto"/>
        </w:tcPr>
        <w:p w14:paraId="2DF3F5AE" w14:textId="77777777" w:rsidR="00527BD4" w:rsidRPr="00C37826" w:rsidRDefault="00A4070A" w:rsidP="00A50CF6">
          <w:pPr>
            <w:rPr>
              <w:szCs w:val="18"/>
            </w:rPr>
          </w:pPr>
          <w:r>
            <w:rPr>
              <w:szCs w:val="18"/>
            </w:rPr>
            <w:t>Datum</w:t>
          </w:r>
        </w:p>
      </w:tc>
      <w:tc>
        <w:tcPr>
          <w:tcW w:w="6662" w:type="dxa"/>
          <w:shd w:val="clear" w:color="auto" w:fill="auto"/>
        </w:tcPr>
        <w:p w14:paraId="0324EF2E" w14:textId="5EF5909B" w:rsidR="00527BD4" w:rsidRPr="007709EF" w:rsidRDefault="00FD653C" w:rsidP="00A50CF6">
          <w:r>
            <w:t>20 maart 2025</w:t>
          </w:r>
        </w:p>
      </w:tc>
    </w:tr>
    <w:tr w:rsidR="00BC0418" w14:paraId="7440F924" w14:textId="77777777" w:rsidTr="00C37826">
      <w:trPr>
        <w:trHeight w:val="240"/>
      </w:trPr>
      <w:tc>
        <w:tcPr>
          <w:tcW w:w="709" w:type="dxa"/>
          <w:shd w:val="clear" w:color="auto" w:fill="auto"/>
        </w:tcPr>
        <w:p w14:paraId="64664271" w14:textId="77777777" w:rsidR="00527BD4" w:rsidRPr="00C37826" w:rsidRDefault="00A4070A" w:rsidP="00A50CF6">
          <w:pPr>
            <w:rPr>
              <w:szCs w:val="18"/>
            </w:rPr>
          </w:pPr>
          <w:r>
            <w:rPr>
              <w:szCs w:val="18"/>
            </w:rPr>
            <w:t>Betreft</w:t>
          </w:r>
        </w:p>
      </w:tc>
      <w:tc>
        <w:tcPr>
          <w:tcW w:w="6662" w:type="dxa"/>
          <w:shd w:val="clear" w:color="auto" w:fill="auto"/>
        </w:tcPr>
        <w:p w14:paraId="420FD3E6" w14:textId="77777777" w:rsidR="00527BD4" w:rsidRPr="007709EF" w:rsidRDefault="00A4070A" w:rsidP="00A50CF6">
          <w:r>
            <w:t>Update duurzame digitalisering</w:t>
          </w:r>
        </w:p>
      </w:tc>
    </w:tr>
  </w:tbl>
  <w:p w14:paraId="7BA2CB1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FD2B30A">
      <w:start w:val="1"/>
      <w:numFmt w:val="bullet"/>
      <w:pStyle w:val="Lijstopsomteken"/>
      <w:lvlText w:val="•"/>
      <w:lvlJc w:val="left"/>
      <w:pPr>
        <w:tabs>
          <w:tab w:val="num" w:pos="227"/>
        </w:tabs>
        <w:ind w:left="227" w:hanging="227"/>
      </w:pPr>
      <w:rPr>
        <w:rFonts w:ascii="Verdana" w:hAnsi="Verdana" w:hint="default"/>
        <w:sz w:val="18"/>
        <w:szCs w:val="18"/>
      </w:rPr>
    </w:lvl>
    <w:lvl w:ilvl="1" w:tplc="2CF2ADC4" w:tentative="1">
      <w:start w:val="1"/>
      <w:numFmt w:val="bullet"/>
      <w:lvlText w:val="o"/>
      <w:lvlJc w:val="left"/>
      <w:pPr>
        <w:tabs>
          <w:tab w:val="num" w:pos="1440"/>
        </w:tabs>
        <w:ind w:left="1440" w:hanging="360"/>
      </w:pPr>
      <w:rPr>
        <w:rFonts w:ascii="Courier New" w:hAnsi="Courier New" w:cs="Courier New" w:hint="default"/>
      </w:rPr>
    </w:lvl>
    <w:lvl w:ilvl="2" w:tplc="BC023B2C" w:tentative="1">
      <w:start w:val="1"/>
      <w:numFmt w:val="bullet"/>
      <w:lvlText w:val=""/>
      <w:lvlJc w:val="left"/>
      <w:pPr>
        <w:tabs>
          <w:tab w:val="num" w:pos="2160"/>
        </w:tabs>
        <w:ind w:left="2160" w:hanging="360"/>
      </w:pPr>
      <w:rPr>
        <w:rFonts w:ascii="Wingdings" w:hAnsi="Wingdings" w:hint="default"/>
      </w:rPr>
    </w:lvl>
    <w:lvl w:ilvl="3" w:tplc="5430377E" w:tentative="1">
      <w:start w:val="1"/>
      <w:numFmt w:val="bullet"/>
      <w:lvlText w:val=""/>
      <w:lvlJc w:val="left"/>
      <w:pPr>
        <w:tabs>
          <w:tab w:val="num" w:pos="2880"/>
        </w:tabs>
        <w:ind w:left="2880" w:hanging="360"/>
      </w:pPr>
      <w:rPr>
        <w:rFonts w:ascii="Symbol" w:hAnsi="Symbol" w:hint="default"/>
      </w:rPr>
    </w:lvl>
    <w:lvl w:ilvl="4" w:tplc="4D4259E2" w:tentative="1">
      <w:start w:val="1"/>
      <w:numFmt w:val="bullet"/>
      <w:lvlText w:val="o"/>
      <w:lvlJc w:val="left"/>
      <w:pPr>
        <w:tabs>
          <w:tab w:val="num" w:pos="3600"/>
        </w:tabs>
        <w:ind w:left="3600" w:hanging="360"/>
      </w:pPr>
      <w:rPr>
        <w:rFonts w:ascii="Courier New" w:hAnsi="Courier New" w:cs="Courier New" w:hint="default"/>
      </w:rPr>
    </w:lvl>
    <w:lvl w:ilvl="5" w:tplc="B85EA1C8" w:tentative="1">
      <w:start w:val="1"/>
      <w:numFmt w:val="bullet"/>
      <w:lvlText w:val=""/>
      <w:lvlJc w:val="left"/>
      <w:pPr>
        <w:tabs>
          <w:tab w:val="num" w:pos="4320"/>
        </w:tabs>
        <w:ind w:left="4320" w:hanging="360"/>
      </w:pPr>
      <w:rPr>
        <w:rFonts w:ascii="Wingdings" w:hAnsi="Wingdings" w:hint="default"/>
      </w:rPr>
    </w:lvl>
    <w:lvl w:ilvl="6" w:tplc="176CCBB2" w:tentative="1">
      <w:start w:val="1"/>
      <w:numFmt w:val="bullet"/>
      <w:lvlText w:val=""/>
      <w:lvlJc w:val="left"/>
      <w:pPr>
        <w:tabs>
          <w:tab w:val="num" w:pos="5040"/>
        </w:tabs>
        <w:ind w:left="5040" w:hanging="360"/>
      </w:pPr>
      <w:rPr>
        <w:rFonts w:ascii="Symbol" w:hAnsi="Symbol" w:hint="default"/>
      </w:rPr>
    </w:lvl>
    <w:lvl w:ilvl="7" w:tplc="04CA2BF0" w:tentative="1">
      <w:start w:val="1"/>
      <w:numFmt w:val="bullet"/>
      <w:lvlText w:val="o"/>
      <w:lvlJc w:val="left"/>
      <w:pPr>
        <w:tabs>
          <w:tab w:val="num" w:pos="5760"/>
        </w:tabs>
        <w:ind w:left="5760" w:hanging="360"/>
      </w:pPr>
      <w:rPr>
        <w:rFonts w:ascii="Courier New" w:hAnsi="Courier New" w:cs="Courier New" w:hint="default"/>
      </w:rPr>
    </w:lvl>
    <w:lvl w:ilvl="8" w:tplc="105CD5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B3813C0">
      <w:start w:val="1"/>
      <w:numFmt w:val="bullet"/>
      <w:pStyle w:val="Lijstopsomteken2"/>
      <w:lvlText w:val="–"/>
      <w:lvlJc w:val="left"/>
      <w:pPr>
        <w:tabs>
          <w:tab w:val="num" w:pos="227"/>
        </w:tabs>
        <w:ind w:left="227" w:firstLine="0"/>
      </w:pPr>
      <w:rPr>
        <w:rFonts w:ascii="Verdana" w:hAnsi="Verdana" w:hint="default"/>
      </w:rPr>
    </w:lvl>
    <w:lvl w:ilvl="1" w:tplc="1488E270" w:tentative="1">
      <w:start w:val="1"/>
      <w:numFmt w:val="bullet"/>
      <w:lvlText w:val="o"/>
      <w:lvlJc w:val="left"/>
      <w:pPr>
        <w:tabs>
          <w:tab w:val="num" w:pos="1440"/>
        </w:tabs>
        <w:ind w:left="1440" w:hanging="360"/>
      </w:pPr>
      <w:rPr>
        <w:rFonts w:ascii="Courier New" w:hAnsi="Courier New" w:cs="Courier New" w:hint="default"/>
      </w:rPr>
    </w:lvl>
    <w:lvl w:ilvl="2" w:tplc="808E6C98" w:tentative="1">
      <w:start w:val="1"/>
      <w:numFmt w:val="bullet"/>
      <w:lvlText w:val=""/>
      <w:lvlJc w:val="left"/>
      <w:pPr>
        <w:tabs>
          <w:tab w:val="num" w:pos="2160"/>
        </w:tabs>
        <w:ind w:left="2160" w:hanging="360"/>
      </w:pPr>
      <w:rPr>
        <w:rFonts w:ascii="Wingdings" w:hAnsi="Wingdings" w:hint="default"/>
      </w:rPr>
    </w:lvl>
    <w:lvl w:ilvl="3" w:tplc="6EE6EAD8" w:tentative="1">
      <w:start w:val="1"/>
      <w:numFmt w:val="bullet"/>
      <w:lvlText w:val=""/>
      <w:lvlJc w:val="left"/>
      <w:pPr>
        <w:tabs>
          <w:tab w:val="num" w:pos="2880"/>
        </w:tabs>
        <w:ind w:left="2880" w:hanging="360"/>
      </w:pPr>
      <w:rPr>
        <w:rFonts w:ascii="Symbol" w:hAnsi="Symbol" w:hint="default"/>
      </w:rPr>
    </w:lvl>
    <w:lvl w:ilvl="4" w:tplc="0A744C66" w:tentative="1">
      <w:start w:val="1"/>
      <w:numFmt w:val="bullet"/>
      <w:lvlText w:val="o"/>
      <w:lvlJc w:val="left"/>
      <w:pPr>
        <w:tabs>
          <w:tab w:val="num" w:pos="3600"/>
        </w:tabs>
        <w:ind w:left="3600" w:hanging="360"/>
      </w:pPr>
      <w:rPr>
        <w:rFonts w:ascii="Courier New" w:hAnsi="Courier New" w:cs="Courier New" w:hint="default"/>
      </w:rPr>
    </w:lvl>
    <w:lvl w:ilvl="5" w:tplc="4C5CFEB2" w:tentative="1">
      <w:start w:val="1"/>
      <w:numFmt w:val="bullet"/>
      <w:lvlText w:val=""/>
      <w:lvlJc w:val="left"/>
      <w:pPr>
        <w:tabs>
          <w:tab w:val="num" w:pos="4320"/>
        </w:tabs>
        <w:ind w:left="4320" w:hanging="360"/>
      </w:pPr>
      <w:rPr>
        <w:rFonts w:ascii="Wingdings" w:hAnsi="Wingdings" w:hint="default"/>
      </w:rPr>
    </w:lvl>
    <w:lvl w:ilvl="6" w:tplc="AA4841F8" w:tentative="1">
      <w:start w:val="1"/>
      <w:numFmt w:val="bullet"/>
      <w:lvlText w:val=""/>
      <w:lvlJc w:val="left"/>
      <w:pPr>
        <w:tabs>
          <w:tab w:val="num" w:pos="5040"/>
        </w:tabs>
        <w:ind w:left="5040" w:hanging="360"/>
      </w:pPr>
      <w:rPr>
        <w:rFonts w:ascii="Symbol" w:hAnsi="Symbol" w:hint="default"/>
      </w:rPr>
    </w:lvl>
    <w:lvl w:ilvl="7" w:tplc="28824FD0" w:tentative="1">
      <w:start w:val="1"/>
      <w:numFmt w:val="bullet"/>
      <w:lvlText w:val="o"/>
      <w:lvlJc w:val="left"/>
      <w:pPr>
        <w:tabs>
          <w:tab w:val="num" w:pos="5760"/>
        </w:tabs>
        <w:ind w:left="5760" w:hanging="360"/>
      </w:pPr>
      <w:rPr>
        <w:rFonts w:ascii="Courier New" w:hAnsi="Courier New" w:cs="Courier New" w:hint="default"/>
      </w:rPr>
    </w:lvl>
    <w:lvl w:ilvl="8" w:tplc="2CC03D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E752C7E2">
      <w:numFmt w:val="bullet"/>
      <w:lvlText w:val="-"/>
      <w:lvlJc w:val="left"/>
      <w:pPr>
        <w:ind w:left="720" w:hanging="360"/>
      </w:pPr>
      <w:rPr>
        <w:rFonts w:ascii="Calibri" w:eastAsia="Times New Roman" w:hAnsi="Calibri" w:cs="Calibri" w:hint="default"/>
      </w:rPr>
    </w:lvl>
    <w:lvl w:ilvl="1" w:tplc="BC687754">
      <w:start w:val="1"/>
      <w:numFmt w:val="bullet"/>
      <w:lvlText w:val="o"/>
      <w:lvlJc w:val="left"/>
      <w:pPr>
        <w:ind w:left="1440" w:hanging="360"/>
      </w:pPr>
      <w:rPr>
        <w:rFonts w:ascii="Courier New" w:hAnsi="Courier New" w:cs="Courier New" w:hint="default"/>
      </w:rPr>
    </w:lvl>
    <w:lvl w:ilvl="2" w:tplc="5B5C3E06">
      <w:start w:val="1"/>
      <w:numFmt w:val="bullet"/>
      <w:lvlText w:val=""/>
      <w:lvlJc w:val="left"/>
      <w:pPr>
        <w:ind w:left="2160" w:hanging="360"/>
      </w:pPr>
      <w:rPr>
        <w:rFonts w:ascii="Wingdings" w:hAnsi="Wingdings" w:hint="default"/>
      </w:rPr>
    </w:lvl>
    <w:lvl w:ilvl="3" w:tplc="F6B2C9E0">
      <w:start w:val="1"/>
      <w:numFmt w:val="bullet"/>
      <w:lvlText w:val=""/>
      <w:lvlJc w:val="left"/>
      <w:pPr>
        <w:ind w:left="2880" w:hanging="360"/>
      </w:pPr>
      <w:rPr>
        <w:rFonts w:ascii="Symbol" w:hAnsi="Symbol" w:hint="default"/>
      </w:rPr>
    </w:lvl>
    <w:lvl w:ilvl="4" w:tplc="37CE5194">
      <w:start w:val="1"/>
      <w:numFmt w:val="bullet"/>
      <w:lvlText w:val="o"/>
      <w:lvlJc w:val="left"/>
      <w:pPr>
        <w:ind w:left="3600" w:hanging="360"/>
      </w:pPr>
      <w:rPr>
        <w:rFonts w:ascii="Courier New" w:hAnsi="Courier New" w:cs="Courier New" w:hint="default"/>
      </w:rPr>
    </w:lvl>
    <w:lvl w:ilvl="5" w:tplc="F08264C4">
      <w:start w:val="1"/>
      <w:numFmt w:val="bullet"/>
      <w:lvlText w:val=""/>
      <w:lvlJc w:val="left"/>
      <w:pPr>
        <w:ind w:left="4320" w:hanging="360"/>
      </w:pPr>
      <w:rPr>
        <w:rFonts w:ascii="Wingdings" w:hAnsi="Wingdings" w:hint="default"/>
      </w:rPr>
    </w:lvl>
    <w:lvl w:ilvl="6" w:tplc="3F9CBEE6">
      <w:start w:val="1"/>
      <w:numFmt w:val="bullet"/>
      <w:lvlText w:val=""/>
      <w:lvlJc w:val="left"/>
      <w:pPr>
        <w:ind w:left="5040" w:hanging="360"/>
      </w:pPr>
      <w:rPr>
        <w:rFonts w:ascii="Symbol" w:hAnsi="Symbol" w:hint="default"/>
      </w:rPr>
    </w:lvl>
    <w:lvl w:ilvl="7" w:tplc="25C67E4E">
      <w:start w:val="1"/>
      <w:numFmt w:val="bullet"/>
      <w:lvlText w:val="o"/>
      <w:lvlJc w:val="left"/>
      <w:pPr>
        <w:ind w:left="5760" w:hanging="360"/>
      </w:pPr>
      <w:rPr>
        <w:rFonts w:ascii="Courier New" w:hAnsi="Courier New" w:cs="Courier New" w:hint="default"/>
      </w:rPr>
    </w:lvl>
    <w:lvl w:ilvl="8" w:tplc="0E4E490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93133158">
    <w:abstractNumId w:val="10"/>
  </w:num>
  <w:num w:numId="2" w16cid:durableId="628978428">
    <w:abstractNumId w:val="7"/>
  </w:num>
  <w:num w:numId="3" w16cid:durableId="199442224">
    <w:abstractNumId w:val="6"/>
  </w:num>
  <w:num w:numId="4" w16cid:durableId="117336378">
    <w:abstractNumId w:val="5"/>
  </w:num>
  <w:num w:numId="5" w16cid:durableId="1572424323">
    <w:abstractNumId w:val="4"/>
  </w:num>
  <w:num w:numId="6" w16cid:durableId="1034311144">
    <w:abstractNumId w:val="8"/>
  </w:num>
  <w:num w:numId="7" w16cid:durableId="865950036">
    <w:abstractNumId w:val="3"/>
  </w:num>
  <w:num w:numId="8" w16cid:durableId="510679503">
    <w:abstractNumId w:val="2"/>
  </w:num>
  <w:num w:numId="9" w16cid:durableId="1762750186">
    <w:abstractNumId w:val="1"/>
  </w:num>
  <w:num w:numId="10" w16cid:durableId="1806193505">
    <w:abstractNumId w:val="0"/>
  </w:num>
  <w:num w:numId="11" w16cid:durableId="1209874731">
    <w:abstractNumId w:val="9"/>
  </w:num>
  <w:num w:numId="12" w16cid:durableId="76442714">
    <w:abstractNumId w:val="11"/>
  </w:num>
  <w:num w:numId="13" w16cid:durableId="1476874728">
    <w:abstractNumId w:val="14"/>
  </w:num>
  <w:num w:numId="14" w16cid:durableId="524372443">
    <w:abstractNumId w:val="12"/>
  </w:num>
  <w:num w:numId="15" w16cid:durableId="82261899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53D9D"/>
    <w:rsid w:val="0006024D"/>
    <w:rsid w:val="00071F28"/>
    <w:rsid w:val="00074079"/>
    <w:rsid w:val="00082E4A"/>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143A7"/>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D80"/>
    <w:rsid w:val="003B7EE7"/>
    <w:rsid w:val="003C28E1"/>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A6CA0"/>
    <w:rsid w:val="004B5465"/>
    <w:rsid w:val="004B70F0"/>
    <w:rsid w:val="004C3FF1"/>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7784B"/>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D0C06"/>
    <w:rsid w:val="009E107A"/>
    <w:rsid w:val="009F3259"/>
    <w:rsid w:val="00A056DE"/>
    <w:rsid w:val="00A128AD"/>
    <w:rsid w:val="00A21E76"/>
    <w:rsid w:val="00A23BC8"/>
    <w:rsid w:val="00A245F8"/>
    <w:rsid w:val="00A25032"/>
    <w:rsid w:val="00A30E68"/>
    <w:rsid w:val="00A31933"/>
    <w:rsid w:val="00A329D2"/>
    <w:rsid w:val="00A34AA0"/>
    <w:rsid w:val="00A3715C"/>
    <w:rsid w:val="00A4070A"/>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20F"/>
    <w:rsid w:val="00AA7FC9"/>
    <w:rsid w:val="00AB237D"/>
    <w:rsid w:val="00AB5933"/>
    <w:rsid w:val="00AE013D"/>
    <w:rsid w:val="00AE11B7"/>
    <w:rsid w:val="00AE7F68"/>
    <w:rsid w:val="00AF2321"/>
    <w:rsid w:val="00AF3AFC"/>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3D71"/>
    <w:rsid w:val="00B80E8A"/>
    <w:rsid w:val="00B824BA"/>
    <w:rsid w:val="00B91CFC"/>
    <w:rsid w:val="00B93893"/>
    <w:rsid w:val="00BA1397"/>
    <w:rsid w:val="00BA7E0A"/>
    <w:rsid w:val="00BC0418"/>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2B92"/>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5674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D653C"/>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37866"/>
  <w15:docId w15:val="{34320C68-C4CE-46E3-99EB-90F28D7F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D0C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ea.org/events/global-conference-on-energy-ai" TargetMode="External"/><Relationship Id="rId3" Type="http://schemas.openxmlformats.org/officeDocument/2006/relationships/hyperlink" Target="https://amsterdameconomicboard.com/wp-content/uploads/2022/10/NCDD-Manifest-11-10-1.pdf" TargetMode="External"/><Relationship Id="rId7" Type="http://schemas.openxmlformats.org/officeDocument/2006/relationships/hyperlink" Target="https://www.oecd.org/en/publications/the-environmental-sustainability-of-communication-networks_d1cb2210-en.html?adestraproject=Science%2C%20Technology%20and%20Innovation&amp;utm_campaign=STI%20News%205%20March%20-%20Greener%20communication%20networks%20and%20AI&amp;utm_content=Read%20the%20paper&amp;utm_term=sti&amp;utm_medium=email&amp;utm_source=Adestra" TargetMode="External"/><Relationship Id="rId2" Type="http://schemas.openxmlformats.org/officeDocument/2006/relationships/hyperlink" Target="https://coalitieduurzamedigitalisering.nl/" TargetMode="External"/><Relationship Id="rId1" Type="http://schemas.openxmlformats.org/officeDocument/2006/relationships/hyperlink" Target="https://topsectorenergie.nl/documents/1242/Dialogic_-_Analyse_systeemkansen_energieflexibiliteit_clouddiensten_-_final.pdf" TargetMode="External"/><Relationship Id="rId6" Type="http://schemas.openxmlformats.org/officeDocument/2006/relationships/hyperlink" Target="https://open.overheid.nl/documenten/121fb755-6702-4c62-810b-fa00333dc0b1/file" TargetMode="External"/><Relationship Id="rId5" Type="http://schemas.openxmlformats.org/officeDocument/2006/relationships/hyperlink" Target="https://coe-dsc.nl/" TargetMode="External"/><Relationship Id="rId4" Type="http://schemas.openxmlformats.org/officeDocument/2006/relationships/hyperlink" Target="https://www.tweedekamer.nl/kamerstukken/moties/detail?id=2022D47350&amp;did=2022D4735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1339</ap:Words>
  <ap:Characters>8103</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2009-07-01T14:30:00.0000000Z</lastPrinted>
  <dcterms:created xsi:type="dcterms:W3CDTF">2025-03-17T11:46:00.0000000Z</dcterms:created>
  <dcterms:modified xsi:type="dcterms:W3CDTF">2025-03-20T13:38:00.0000000Z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morssinkm</vt:lpwstr>
  </property>
  <property fmtid="{D5CDD505-2E9C-101B-9397-08002B2CF9AE}" pid="3" name="AUTHOR_ID">
    <vt:lpwstr>morssinkm</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Update duurzame digitalisering</vt:lpwstr>
  </property>
  <property fmtid="{D5CDD505-2E9C-101B-9397-08002B2CF9AE}" pid="11" name="documentId">
    <vt:lpwstr>documentId</vt:lpwstr>
  </property>
  <property fmtid="{D5CDD505-2E9C-101B-9397-08002B2CF9AE}" pid="12" name="Header">
    <vt:lpwstr>Commissiebrief - EZ</vt:lpwstr>
  </property>
  <property fmtid="{D5CDD505-2E9C-101B-9397-08002B2CF9AE}" pid="13" name="HeaderId">
    <vt:lpwstr>605BDF3504754F2D90320EECD9696205</vt:lpwstr>
  </property>
  <property fmtid="{D5CDD505-2E9C-101B-9397-08002B2CF9AE}" pid="14" name="Template">
    <vt:lpwstr>Commissiebrief - EZ</vt:lpwstr>
  </property>
  <property fmtid="{D5CDD505-2E9C-101B-9397-08002B2CF9AE}" pid="15" name="TemplateId">
    <vt:lpwstr>C994C1381ABB4ADDACC65B5F17CA1D67</vt:lpwstr>
  </property>
  <property fmtid="{D5CDD505-2E9C-101B-9397-08002B2CF9AE}" pid="16" name="TYPE_ID">
    <vt:lpwstr>Brief</vt:lpwstr>
  </property>
  <property fmtid="{D5CDD505-2E9C-101B-9397-08002B2CF9AE}" pid="17" name="Typist">
    <vt:lpwstr>morssinkm</vt:lpwstr>
  </property>
</Properties>
</file>