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243" w:rsidRDefault="001856D0" w14:paraId="6346A2A6" w14:textId="445B0B4F">
      <w:pPr>
        <w:autoSpaceDE w:val="0"/>
        <w:autoSpaceDN w:val="0"/>
        <w:adjustRightInd w:val="0"/>
        <w:spacing w:before="0" w:after="0"/>
        <w:ind w:left="1416" w:hanging="1371"/>
        <w:rPr>
          <w:b/>
          <w:bCs/>
          <w:sz w:val="23"/>
          <w:szCs w:val="23"/>
        </w:rPr>
      </w:pPr>
      <w:r>
        <w:rPr>
          <w:b/>
          <w:bCs/>
          <w:sz w:val="23"/>
          <w:szCs w:val="23"/>
        </w:rPr>
        <w:t>36600-VII</w:t>
      </w:r>
      <w:r>
        <w:rPr>
          <w:b/>
          <w:bCs/>
          <w:sz w:val="23"/>
          <w:szCs w:val="23"/>
        </w:rPr>
        <w:tab/>
      </w:r>
      <w:r w:rsidRPr="005354F3" w:rsidR="005354F3">
        <w:rPr>
          <w:b/>
          <w:bCs/>
          <w:sz w:val="23"/>
          <w:szCs w:val="23"/>
        </w:rPr>
        <w:t>Vaststelling van de begrotingsstaten van het Ministerie van Binnenlandse Zaken en Koninkrijksrelaties (VII) voor het jaar 2025</w:t>
      </w:r>
    </w:p>
    <w:p w:rsidR="00C91243" w:rsidRDefault="00C91243" w14:paraId="27DAAFF2" w14:textId="77777777">
      <w:pPr>
        <w:autoSpaceDE w:val="0"/>
        <w:autoSpaceDN w:val="0"/>
        <w:adjustRightInd w:val="0"/>
        <w:spacing w:before="0" w:after="0"/>
        <w:ind w:left="1416" w:hanging="1371"/>
        <w:rPr>
          <w:b/>
        </w:rPr>
      </w:pPr>
    </w:p>
    <w:p w:rsidR="00C91243" w:rsidRDefault="001856D0" w14:paraId="0B9C9123" w14:textId="3F4CC1FA">
      <w:pPr>
        <w:rPr>
          <w:b/>
        </w:rPr>
      </w:pPr>
      <w:r>
        <w:rPr>
          <w:b/>
        </w:rPr>
        <w:t xml:space="preserve">nr. </w:t>
      </w:r>
      <w:r>
        <w:rPr>
          <w:b/>
        </w:rPr>
        <w:tab/>
      </w:r>
      <w:r>
        <w:rPr>
          <w:b/>
        </w:rPr>
        <w:tab/>
        <w:t xml:space="preserve">Lijst van vragen </w:t>
      </w:r>
    </w:p>
    <w:p w:rsidR="00C91243" w:rsidRDefault="001856D0" w14:paraId="1078A45D" w14:textId="77777777">
      <w:r>
        <w:tab/>
      </w:r>
      <w:r>
        <w:tab/>
      </w:r>
    </w:p>
    <w:p w:rsidR="00C91243" w:rsidRDefault="001856D0" w14:paraId="7F46438C" w14:textId="77777777">
      <w:pPr>
        <w:ind w:left="702" w:firstLine="708"/>
        <w:rPr>
          <w:i/>
        </w:rPr>
      </w:pPr>
      <w:r>
        <w:t xml:space="preserve">Vastgesteld </w:t>
      </w:r>
      <w:r>
        <w:rPr>
          <w:i/>
        </w:rPr>
        <w:t>(wordt door griffie ingevuld als antwoorden er zijn)</w:t>
      </w:r>
    </w:p>
    <w:p w:rsidR="00C91243" w:rsidRDefault="001856D0" w14:paraId="459A41CD" w14:textId="5AD3E2BE">
      <w:pPr>
        <w:ind w:left="1410"/>
      </w:pPr>
      <w:r>
        <w:t>De vaste commissie voor</w:t>
      </w:r>
      <w:r w:rsidR="00520B3A">
        <w:t xml:space="preserve"> Binnenlandse Zaken</w:t>
      </w:r>
      <w:r>
        <w:t xml:space="preserve"> heeft een aantal vragen voorgelegd aan de </w:t>
      </w:r>
      <w:r w:rsidR="00520B3A">
        <w:t xml:space="preserve">minister van Binnenlandse Zaken en Koninkrijksrelaties </w:t>
      </w:r>
      <w:r>
        <w:t xml:space="preserve">over </w:t>
      </w:r>
      <w:r w:rsidR="00520B3A">
        <w:t xml:space="preserve">de Contourennota constitutionele toetsing </w:t>
      </w:r>
      <w:r w:rsidRPr="00520B3A">
        <w:t>(</w:t>
      </w:r>
      <w:r w:rsidR="00520B3A">
        <w:t xml:space="preserve">Kamerstuk </w:t>
      </w:r>
      <w:r w:rsidRPr="00520B3A">
        <w:t>36600-VII, nr. 129).</w:t>
      </w:r>
    </w:p>
    <w:p w:rsidR="00C91243" w:rsidRDefault="00C91243" w14:paraId="7ADAC8E7" w14:textId="77777777">
      <w:pPr>
        <w:spacing w:before="0" w:after="0"/>
      </w:pPr>
    </w:p>
    <w:p w:rsidR="00C91243" w:rsidRDefault="001856D0" w14:paraId="365A2DB2" w14:textId="77777777">
      <w:pPr>
        <w:spacing w:before="0" w:after="0"/>
        <w:ind w:left="703" w:firstLine="709"/>
      </w:pPr>
      <w:r>
        <w:t xml:space="preserve">Voorzitter van de commissie, </w:t>
      </w:r>
    </w:p>
    <w:p w:rsidR="00C91243" w:rsidRDefault="001856D0" w14:paraId="3C97CF2B" w14:textId="648585E8">
      <w:pPr>
        <w:spacing w:before="0" w:after="0"/>
      </w:pPr>
      <w:r>
        <w:tab/>
      </w:r>
      <w:r>
        <w:tab/>
      </w:r>
      <w:r w:rsidR="00520B3A">
        <w:t>De Vree</w:t>
      </w:r>
    </w:p>
    <w:p w:rsidR="00C91243" w:rsidRDefault="001856D0" w14:paraId="26F385BB" w14:textId="77777777">
      <w:pPr>
        <w:spacing w:before="0" w:after="0"/>
      </w:pPr>
      <w:r>
        <w:tab/>
      </w:r>
      <w:r>
        <w:tab/>
      </w:r>
    </w:p>
    <w:p w:rsidR="00C91243" w:rsidRDefault="001856D0" w14:paraId="675E19FE" w14:textId="77777777">
      <w:pPr>
        <w:spacing w:before="0" w:after="0"/>
      </w:pPr>
      <w:r>
        <w:tab/>
      </w:r>
      <w:r>
        <w:tab/>
        <w:t>Griffier van de commissie,</w:t>
      </w:r>
    </w:p>
    <w:p w:rsidR="00C91243" w:rsidRDefault="001856D0" w14:paraId="201814EB" w14:textId="2390FB07">
      <w:pPr>
        <w:spacing w:before="0" w:after="0"/>
      </w:pPr>
      <w:r>
        <w:tab/>
      </w:r>
      <w:r>
        <w:tab/>
      </w:r>
      <w:r w:rsidR="00520B3A">
        <w:t>Honsbeek</w:t>
      </w:r>
    </w:p>
    <w:p w:rsidR="00C91243" w:rsidRDefault="00C91243" w14:paraId="56E7479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91243" w:rsidTr="00E7153D" w14:paraId="28649AD8" w14:textId="77777777">
        <w:trPr>
          <w:cantSplit/>
        </w:trPr>
        <w:tc>
          <w:tcPr>
            <w:tcW w:w="567" w:type="dxa"/>
          </w:tcPr>
          <w:p w:rsidR="00C91243" w:rsidRDefault="001856D0" w14:paraId="01B1A1D5" w14:textId="77777777">
            <w:bookmarkStart w:name="bmkStartTabel" w:id="0"/>
            <w:bookmarkEnd w:id="0"/>
            <w:r>
              <w:t>Nr</w:t>
            </w:r>
          </w:p>
        </w:tc>
        <w:tc>
          <w:tcPr>
            <w:tcW w:w="6521" w:type="dxa"/>
          </w:tcPr>
          <w:p w:rsidR="00C91243" w:rsidRDefault="001856D0" w14:paraId="169A0A2D" w14:textId="77777777">
            <w:r>
              <w:t>Vraag</w:t>
            </w:r>
          </w:p>
        </w:tc>
        <w:tc>
          <w:tcPr>
            <w:tcW w:w="850" w:type="dxa"/>
          </w:tcPr>
          <w:p w:rsidR="00C91243" w:rsidRDefault="001856D0" w14:paraId="2E8510C1" w14:textId="77777777">
            <w:pPr>
              <w:jc w:val="right"/>
            </w:pPr>
            <w:r>
              <w:t>Bijlage</w:t>
            </w:r>
          </w:p>
        </w:tc>
        <w:tc>
          <w:tcPr>
            <w:tcW w:w="992" w:type="dxa"/>
          </w:tcPr>
          <w:p w:rsidR="00C91243" w:rsidP="00E7153D" w:rsidRDefault="001856D0" w14:paraId="41E093A1" w14:textId="77777777">
            <w:pPr>
              <w:jc w:val="right"/>
            </w:pPr>
            <w:r>
              <w:t>Blz. (van)</w:t>
            </w:r>
          </w:p>
        </w:tc>
        <w:tc>
          <w:tcPr>
            <w:tcW w:w="567" w:type="dxa"/>
          </w:tcPr>
          <w:p w:rsidR="00C91243" w:rsidP="00E7153D" w:rsidRDefault="001856D0" w14:paraId="5F8C6752" w14:textId="77777777">
            <w:pPr>
              <w:jc w:val="center"/>
            </w:pPr>
            <w:r>
              <w:t>t/m</w:t>
            </w:r>
          </w:p>
        </w:tc>
      </w:tr>
      <w:tr w:rsidR="00C91243" w:rsidTr="00E7153D" w14:paraId="15631F26" w14:textId="77777777">
        <w:tc>
          <w:tcPr>
            <w:tcW w:w="567" w:type="dxa"/>
          </w:tcPr>
          <w:p w:rsidR="00C91243" w:rsidRDefault="001856D0" w14:paraId="36951315" w14:textId="77777777">
            <w:r>
              <w:t>1</w:t>
            </w:r>
          </w:p>
        </w:tc>
        <w:tc>
          <w:tcPr>
            <w:tcW w:w="6521" w:type="dxa"/>
          </w:tcPr>
          <w:p w:rsidR="00C91243" w:rsidRDefault="001856D0" w14:paraId="1009D277" w14:textId="77777777">
            <w:r>
              <w:t>Kunt u aangeven welke wetswijzigingen ten aanzien van de invoering van constitutionele toetsing wanneer verwacht kunnen worden door de Kamer?</w:t>
            </w:r>
          </w:p>
        </w:tc>
        <w:tc>
          <w:tcPr>
            <w:tcW w:w="850" w:type="dxa"/>
          </w:tcPr>
          <w:p w:rsidR="00C91243" w:rsidRDefault="00C91243" w14:paraId="63DBDDCB" w14:textId="77777777">
            <w:pPr>
              <w:jc w:val="right"/>
            </w:pPr>
          </w:p>
        </w:tc>
        <w:tc>
          <w:tcPr>
            <w:tcW w:w="992" w:type="dxa"/>
          </w:tcPr>
          <w:p w:rsidR="00C91243" w:rsidRDefault="00C91243" w14:paraId="04D8A84A" w14:textId="77777777">
            <w:pPr>
              <w:jc w:val="right"/>
            </w:pPr>
          </w:p>
        </w:tc>
        <w:tc>
          <w:tcPr>
            <w:tcW w:w="567" w:type="dxa"/>
            <w:tcBorders>
              <w:left w:val="nil"/>
            </w:tcBorders>
          </w:tcPr>
          <w:p w:rsidR="00C91243" w:rsidRDefault="001856D0" w14:paraId="06BCD5CF" w14:textId="77777777">
            <w:pPr>
              <w:jc w:val="right"/>
            </w:pPr>
            <w:r>
              <w:t xml:space="preserve"> </w:t>
            </w:r>
          </w:p>
        </w:tc>
      </w:tr>
      <w:tr w:rsidR="00C91243" w:rsidTr="00E7153D" w14:paraId="1328E56B" w14:textId="77777777">
        <w:tc>
          <w:tcPr>
            <w:tcW w:w="567" w:type="dxa"/>
          </w:tcPr>
          <w:p w:rsidR="00C91243" w:rsidRDefault="001856D0" w14:paraId="16AEAA15" w14:textId="77777777">
            <w:r>
              <w:t>2</w:t>
            </w:r>
          </w:p>
        </w:tc>
        <w:tc>
          <w:tcPr>
            <w:tcW w:w="6521" w:type="dxa"/>
          </w:tcPr>
          <w:p w:rsidR="00C91243" w:rsidRDefault="001856D0" w14:paraId="45BFA0B9" w14:textId="77777777">
            <w:r>
              <w:t>Kunt u aangeven hoe de eerste grondwetswijziging (artikel 120 Grondwet) eruit zou moeten komen te zien? En kunt u aangeven wat het betekent dat het verbod op constitutionele toetsing slechts gedeeltelijk wordt opgeheven?</w:t>
            </w:r>
          </w:p>
        </w:tc>
        <w:tc>
          <w:tcPr>
            <w:tcW w:w="850" w:type="dxa"/>
          </w:tcPr>
          <w:p w:rsidR="00C91243" w:rsidRDefault="00C91243" w14:paraId="6385C2C7" w14:textId="77777777">
            <w:pPr>
              <w:jc w:val="right"/>
            </w:pPr>
          </w:p>
        </w:tc>
        <w:tc>
          <w:tcPr>
            <w:tcW w:w="992" w:type="dxa"/>
          </w:tcPr>
          <w:p w:rsidR="00C91243" w:rsidRDefault="00C91243" w14:paraId="1D8E49E0" w14:textId="77777777">
            <w:pPr>
              <w:jc w:val="right"/>
            </w:pPr>
          </w:p>
        </w:tc>
        <w:tc>
          <w:tcPr>
            <w:tcW w:w="567" w:type="dxa"/>
            <w:tcBorders>
              <w:left w:val="nil"/>
            </w:tcBorders>
          </w:tcPr>
          <w:p w:rsidR="00C91243" w:rsidRDefault="001856D0" w14:paraId="76B4DA55" w14:textId="77777777">
            <w:pPr>
              <w:jc w:val="right"/>
            </w:pPr>
            <w:r>
              <w:t xml:space="preserve"> </w:t>
            </w:r>
          </w:p>
        </w:tc>
      </w:tr>
      <w:tr w:rsidR="00C91243" w:rsidTr="00E7153D" w14:paraId="4A54232F" w14:textId="77777777">
        <w:tc>
          <w:tcPr>
            <w:tcW w:w="567" w:type="dxa"/>
          </w:tcPr>
          <w:p w:rsidR="00C91243" w:rsidRDefault="001856D0" w14:paraId="22F5FB23" w14:textId="77777777">
            <w:r>
              <w:t>3</w:t>
            </w:r>
          </w:p>
        </w:tc>
        <w:tc>
          <w:tcPr>
            <w:tcW w:w="6521" w:type="dxa"/>
          </w:tcPr>
          <w:p w:rsidR="00C91243" w:rsidRDefault="001856D0" w14:paraId="51B02935" w14:textId="77777777">
            <w:r>
              <w:t>Kunt u aangeven of het rondetafelgesprek over sociale grondrechten nog tot voortschrijdend inzicht op het ministerie heeft geleid?</w:t>
            </w:r>
          </w:p>
        </w:tc>
        <w:tc>
          <w:tcPr>
            <w:tcW w:w="850" w:type="dxa"/>
          </w:tcPr>
          <w:p w:rsidR="00C91243" w:rsidRDefault="00C91243" w14:paraId="6E29B8A2" w14:textId="77777777">
            <w:pPr>
              <w:jc w:val="right"/>
            </w:pPr>
          </w:p>
        </w:tc>
        <w:tc>
          <w:tcPr>
            <w:tcW w:w="992" w:type="dxa"/>
          </w:tcPr>
          <w:p w:rsidR="00C91243" w:rsidRDefault="00C91243" w14:paraId="519D0BA6" w14:textId="77777777">
            <w:pPr>
              <w:jc w:val="right"/>
            </w:pPr>
          </w:p>
        </w:tc>
        <w:tc>
          <w:tcPr>
            <w:tcW w:w="567" w:type="dxa"/>
            <w:tcBorders>
              <w:left w:val="nil"/>
            </w:tcBorders>
          </w:tcPr>
          <w:p w:rsidR="00C91243" w:rsidRDefault="001856D0" w14:paraId="10D4AF42" w14:textId="77777777">
            <w:pPr>
              <w:jc w:val="right"/>
            </w:pPr>
            <w:r>
              <w:t xml:space="preserve"> </w:t>
            </w:r>
          </w:p>
        </w:tc>
      </w:tr>
      <w:tr w:rsidR="00C91243" w:rsidTr="00E7153D" w14:paraId="1A37087C" w14:textId="77777777">
        <w:tc>
          <w:tcPr>
            <w:tcW w:w="567" w:type="dxa"/>
          </w:tcPr>
          <w:p w:rsidR="00C91243" w:rsidRDefault="001856D0" w14:paraId="18D6A25C" w14:textId="77777777">
            <w:r>
              <w:t>4</w:t>
            </w:r>
          </w:p>
        </w:tc>
        <w:tc>
          <w:tcPr>
            <w:tcW w:w="6521" w:type="dxa"/>
          </w:tcPr>
          <w:p w:rsidR="00C91243" w:rsidRDefault="001856D0" w14:paraId="7D1F668E" w14:textId="77777777">
            <w:r>
              <w:t>Kunt u een uitputtende lijst geven van de klassieke grondrechten?</w:t>
            </w:r>
          </w:p>
        </w:tc>
        <w:tc>
          <w:tcPr>
            <w:tcW w:w="850" w:type="dxa"/>
          </w:tcPr>
          <w:p w:rsidR="00C91243" w:rsidRDefault="00C91243" w14:paraId="38AE4C33" w14:textId="77777777">
            <w:pPr>
              <w:jc w:val="right"/>
            </w:pPr>
          </w:p>
        </w:tc>
        <w:tc>
          <w:tcPr>
            <w:tcW w:w="992" w:type="dxa"/>
          </w:tcPr>
          <w:p w:rsidR="00C91243" w:rsidRDefault="00C91243" w14:paraId="11AE08B0" w14:textId="77777777">
            <w:pPr>
              <w:jc w:val="right"/>
            </w:pPr>
          </w:p>
        </w:tc>
        <w:tc>
          <w:tcPr>
            <w:tcW w:w="567" w:type="dxa"/>
            <w:tcBorders>
              <w:left w:val="nil"/>
            </w:tcBorders>
          </w:tcPr>
          <w:p w:rsidR="00C91243" w:rsidRDefault="001856D0" w14:paraId="5C8FF857" w14:textId="77777777">
            <w:pPr>
              <w:jc w:val="right"/>
            </w:pPr>
            <w:r>
              <w:t xml:space="preserve"> </w:t>
            </w:r>
          </w:p>
        </w:tc>
      </w:tr>
      <w:tr w:rsidR="00C91243" w:rsidTr="00E7153D" w14:paraId="09D2D142" w14:textId="77777777">
        <w:tc>
          <w:tcPr>
            <w:tcW w:w="567" w:type="dxa"/>
          </w:tcPr>
          <w:p w:rsidR="00C91243" w:rsidRDefault="001856D0" w14:paraId="4C4D3F95" w14:textId="77777777">
            <w:r>
              <w:t>5</w:t>
            </w:r>
          </w:p>
        </w:tc>
        <w:tc>
          <w:tcPr>
            <w:tcW w:w="6521" w:type="dxa"/>
          </w:tcPr>
          <w:p w:rsidR="00C91243" w:rsidRDefault="001856D0" w14:paraId="4A8D1C5B" w14:textId="77777777">
            <w:r>
              <w:t>Kunt u een uitputtende lijst geven van de sociale grondrechten?</w:t>
            </w:r>
          </w:p>
        </w:tc>
        <w:tc>
          <w:tcPr>
            <w:tcW w:w="850" w:type="dxa"/>
          </w:tcPr>
          <w:p w:rsidR="00C91243" w:rsidRDefault="00C91243" w14:paraId="2285B81C" w14:textId="77777777">
            <w:pPr>
              <w:jc w:val="right"/>
            </w:pPr>
          </w:p>
        </w:tc>
        <w:tc>
          <w:tcPr>
            <w:tcW w:w="992" w:type="dxa"/>
          </w:tcPr>
          <w:p w:rsidR="00C91243" w:rsidRDefault="00C91243" w14:paraId="7EF4D6F8" w14:textId="77777777">
            <w:pPr>
              <w:jc w:val="right"/>
            </w:pPr>
          </w:p>
        </w:tc>
        <w:tc>
          <w:tcPr>
            <w:tcW w:w="567" w:type="dxa"/>
            <w:tcBorders>
              <w:left w:val="nil"/>
            </w:tcBorders>
          </w:tcPr>
          <w:p w:rsidR="00C91243" w:rsidRDefault="001856D0" w14:paraId="11E7EF44" w14:textId="77777777">
            <w:pPr>
              <w:jc w:val="right"/>
            </w:pPr>
            <w:r>
              <w:t xml:space="preserve"> </w:t>
            </w:r>
          </w:p>
        </w:tc>
      </w:tr>
      <w:tr w:rsidR="00C91243" w:rsidTr="00E7153D" w14:paraId="7CA3D1B0" w14:textId="77777777">
        <w:tc>
          <w:tcPr>
            <w:tcW w:w="567" w:type="dxa"/>
          </w:tcPr>
          <w:p w:rsidR="00C91243" w:rsidRDefault="001856D0" w14:paraId="77B28460" w14:textId="77777777">
            <w:r>
              <w:t>6</w:t>
            </w:r>
          </w:p>
        </w:tc>
        <w:tc>
          <w:tcPr>
            <w:tcW w:w="6521" w:type="dxa"/>
          </w:tcPr>
          <w:p w:rsidR="00C91243" w:rsidRDefault="001856D0" w14:paraId="168D47F2" w14:textId="77777777">
            <w:r>
              <w:t>Kunt u een uitputtende lijst geven van de geschreven en ongeschreven algemene rechtsbeginselen?</w:t>
            </w:r>
          </w:p>
        </w:tc>
        <w:tc>
          <w:tcPr>
            <w:tcW w:w="850" w:type="dxa"/>
          </w:tcPr>
          <w:p w:rsidR="00C91243" w:rsidRDefault="00C91243" w14:paraId="450DC623" w14:textId="77777777">
            <w:pPr>
              <w:jc w:val="right"/>
            </w:pPr>
          </w:p>
        </w:tc>
        <w:tc>
          <w:tcPr>
            <w:tcW w:w="992" w:type="dxa"/>
          </w:tcPr>
          <w:p w:rsidR="00C91243" w:rsidRDefault="00C91243" w14:paraId="3C770189" w14:textId="77777777">
            <w:pPr>
              <w:jc w:val="right"/>
            </w:pPr>
          </w:p>
        </w:tc>
        <w:tc>
          <w:tcPr>
            <w:tcW w:w="567" w:type="dxa"/>
            <w:tcBorders>
              <w:left w:val="nil"/>
            </w:tcBorders>
          </w:tcPr>
          <w:p w:rsidR="00C91243" w:rsidRDefault="001856D0" w14:paraId="3C82AFEC" w14:textId="77777777">
            <w:pPr>
              <w:jc w:val="right"/>
            </w:pPr>
            <w:r>
              <w:t xml:space="preserve"> </w:t>
            </w:r>
          </w:p>
        </w:tc>
      </w:tr>
      <w:tr w:rsidR="00C91243" w:rsidTr="00E7153D" w14:paraId="021C66A6" w14:textId="77777777">
        <w:tc>
          <w:tcPr>
            <w:tcW w:w="567" w:type="dxa"/>
          </w:tcPr>
          <w:p w:rsidR="00C91243" w:rsidRDefault="001856D0" w14:paraId="33B04ECA" w14:textId="77777777">
            <w:r>
              <w:t>7</w:t>
            </w:r>
          </w:p>
        </w:tc>
        <w:tc>
          <w:tcPr>
            <w:tcW w:w="6521" w:type="dxa"/>
          </w:tcPr>
          <w:p w:rsidR="00C91243" w:rsidRDefault="001856D0" w14:paraId="0DCB6CFC" w14:textId="77777777">
            <w:r>
              <w:t>Welke kosten zijn gemoeid met het oprichten van een constitutioneel hof?</w:t>
            </w:r>
          </w:p>
        </w:tc>
        <w:tc>
          <w:tcPr>
            <w:tcW w:w="850" w:type="dxa"/>
          </w:tcPr>
          <w:p w:rsidR="00C91243" w:rsidRDefault="00C91243" w14:paraId="5020AB9B" w14:textId="77777777">
            <w:pPr>
              <w:jc w:val="right"/>
            </w:pPr>
          </w:p>
        </w:tc>
        <w:tc>
          <w:tcPr>
            <w:tcW w:w="992" w:type="dxa"/>
          </w:tcPr>
          <w:p w:rsidR="00C91243" w:rsidRDefault="00C91243" w14:paraId="10642BA8" w14:textId="77777777">
            <w:pPr>
              <w:jc w:val="right"/>
            </w:pPr>
          </w:p>
        </w:tc>
        <w:tc>
          <w:tcPr>
            <w:tcW w:w="567" w:type="dxa"/>
            <w:tcBorders>
              <w:left w:val="nil"/>
            </w:tcBorders>
          </w:tcPr>
          <w:p w:rsidR="00C91243" w:rsidRDefault="001856D0" w14:paraId="6DEB9768" w14:textId="77777777">
            <w:pPr>
              <w:jc w:val="right"/>
            </w:pPr>
            <w:r>
              <w:t xml:space="preserve"> </w:t>
            </w:r>
          </w:p>
        </w:tc>
      </w:tr>
      <w:tr w:rsidR="00C91243" w:rsidTr="00E7153D" w14:paraId="630DACB2" w14:textId="77777777">
        <w:tc>
          <w:tcPr>
            <w:tcW w:w="567" w:type="dxa"/>
          </w:tcPr>
          <w:p w:rsidR="00C91243" w:rsidRDefault="001856D0" w14:paraId="169A9725" w14:textId="77777777">
            <w:r>
              <w:t>8</w:t>
            </w:r>
          </w:p>
        </w:tc>
        <w:tc>
          <w:tcPr>
            <w:tcW w:w="6521" w:type="dxa"/>
          </w:tcPr>
          <w:p w:rsidR="00C91243" w:rsidRDefault="001856D0" w14:paraId="43A519B2" w14:textId="77777777">
            <w:r>
              <w:t>Kunt u toelichten waarom verschillende Europese landen hebben gekozen voor de instelling van een grondwettelijk hof?</w:t>
            </w:r>
          </w:p>
        </w:tc>
        <w:tc>
          <w:tcPr>
            <w:tcW w:w="850" w:type="dxa"/>
          </w:tcPr>
          <w:p w:rsidR="00C91243" w:rsidRDefault="00C91243" w14:paraId="2FD7956F" w14:textId="77777777">
            <w:pPr>
              <w:jc w:val="right"/>
            </w:pPr>
          </w:p>
        </w:tc>
        <w:tc>
          <w:tcPr>
            <w:tcW w:w="992" w:type="dxa"/>
          </w:tcPr>
          <w:p w:rsidR="00C91243" w:rsidRDefault="00C91243" w14:paraId="7C8CA002" w14:textId="77777777">
            <w:pPr>
              <w:jc w:val="right"/>
            </w:pPr>
          </w:p>
        </w:tc>
        <w:tc>
          <w:tcPr>
            <w:tcW w:w="567" w:type="dxa"/>
            <w:tcBorders>
              <w:left w:val="nil"/>
            </w:tcBorders>
          </w:tcPr>
          <w:p w:rsidR="00C91243" w:rsidRDefault="001856D0" w14:paraId="39E36104" w14:textId="77777777">
            <w:pPr>
              <w:jc w:val="right"/>
            </w:pPr>
            <w:r>
              <w:t xml:space="preserve"> </w:t>
            </w:r>
          </w:p>
        </w:tc>
      </w:tr>
      <w:tr w:rsidR="00C91243" w:rsidTr="00E7153D" w14:paraId="3E79284E" w14:textId="77777777">
        <w:tc>
          <w:tcPr>
            <w:tcW w:w="567" w:type="dxa"/>
          </w:tcPr>
          <w:p w:rsidR="00C91243" w:rsidRDefault="001856D0" w14:paraId="1EA70521" w14:textId="77777777">
            <w:r>
              <w:t>9</w:t>
            </w:r>
          </w:p>
        </w:tc>
        <w:tc>
          <w:tcPr>
            <w:tcW w:w="6521" w:type="dxa"/>
          </w:tcPr>
          <w:p w:rsidR="00C91243" w:rsidRDefault="001856D0" w14:paraId="087C7C03" w14:textId="77777777">
            <w:r>
              <w:t>Kunt u uiteenzetten in hoeverre een grondwettelijk hof wenselijk of onwenselijk is binnen het Nederlandse rechtssysteem, dat wordt gekenmerkt door gespecialiseerde gerechtelijke instanties?</w:t>
            </w:r>
          </w:p>
        </w:tc>
        <w:tc>
          <w:tcPr>
            <w:tcW w:w="850" w:type="dxa"/>
          </w:tcPr>
          <w:p w:rsidR="00C91243" w:rsidRDefault="00C91243" w14:paraId="2AAE3B55" w14:textId="77777777">
            <w:pPr>
              <w:jc w:val="right"/>
            </w:pPr>
          </w:p>
        </w:tc>
        <w:tc>
          <w:tcPr>
            <w:tcW w:w="992" w:type="dxa"/>
          </w:tcPr>
          <w:p w:rsidR="00C91243" w:rsidRDefault="00C91243" w14:paraId="79270737" w14:textId="77777777">
            <w:pPr>
              <w:jc w:val="right"/>
            </w:pPr>
          </w:p>
        </w:tc>
        <w:tc>
          <w:tcPr>
            <w:tcW w:w="567" w:type="dxa"/>
            <w:tcBorders>
              <w:left w:val="nil"/>
            </w:tcBorders>
          </w:tcPr>
          <w:p w:rsidR="00C91243" w:rsidRDefault="001856D0" w14:paraId="694CB2ED" w14:textId="77777777">
            <w:pPr>
              <w:jc w:val="right"/>
            </w:pPr>
            <w:r>
              <w:t xml:space="preserve"> </w:t>
            </w:r>
          </w:p>
        </w:tc>
      </w:tr>
      <w:tr w:rsidR="00C91243" w:rsidTr="00E7153D" w14:paraId="2ECEF15B" w14:textId="77777777">
        <w:tc>
          <w:tcPr>
            <w:tcW w:w="567" w:type="dxa"/>
          </w:tcPr>
          <w:p w:rsidR="00C91243" w:rsidRDefault="001856D0" w14:paraId="490C1BFE" w14:textId="77777777">
            <w:r>
              <w:t>10</w:t>
            </w:r>
          </w:p>
        </w:tc>
        <w:tc>
          <w:tcPr>
            <w:tcW w:w="6521" w:type="dxa"/>
          </w:tcPr>
          <w:p w:rsidR="00C91243" w:rsidRDefault="001856D0" w14:paraId="709AA913" w14:textId="77777777">
            <w:r>
              <w:t>Bent u voornemens om het grondwettelijk hof de mogelijkheid te geven voorlopige voorzieningen te treffen in gevallen waarin ernstige twijfels bestaan over de rechtmatigheid van een wet?</w:t>
            </w:r>
          </w:p>
        </w:tc>
        <w:tc>
          <w:tcPr>
            <w:tcW w:w="850" w:type="dxa"/>
          </w:tcPr>
          <w:p w:rsidR="00C91243" w:rsidRDefault="00C91243" w14:paraId="78553AE1" w14:textId="77777777">
            <w:pPr>
              <w:jc w:val="right"/>
            </w:pPr>
          </w:p>
        </w:tc>
        <w:tc>
          <w:tcPr>
            <w:tcW w:w="992" w:type="dxa"/>
          </w:tcPr>
          <w:p w:rsidR="00C91243" w:rsidRDefault="00C91243" w14:paraId="78C0C90A" w14:textId="77777777">
            <w:pPr>
              <w:jc w:val="right"/>
            </w:pPr>
          </w:p>
        </w:tc>
        <w:tc>
          <w:tcPr>
            <w:tcW w:w="567" w:type="dxa"/>
            <w:tcBorders>
              <w:left w:val="nil"/>
            </w:tcBorders>
          </w:tcPr>
          <w:p w:rsidR="00C91243" w:rsidRDefault="001856D0" w14:paraId="16ED75DA" w14:textId="77777777">
            <w:pPr>
              <w:jc w:val="right"/>
            </w:pPr>
            <w:r>
              <w:t xml:space="preserve"> </w:t>
            </w:r>
          </w:p>
        </w:tc>
      </w:tr>
      <w:tr w:rsidR="00C91243" w:rsidTr="00E7153D" w14:paraId="0F3FC47F" w14:textId="77777777">
        <w:tc>
          <w:tcPr>
            <w:tcW w:w="567" w:type="dxa"/>
          </w:tcPr>
          <w:p w:rsidR="00C91243" w:rsidRDefault="001856D0" w14:paraId="540DFCA2" w14:textId="77777777">
            <w:r>
              <w:t>11</w:t>
            </w:r>
          </w:p>
        </w:tc>
        <w:tc>
          <w:tcPr>
            <w:tcW w:w="6521" w:type="dxa"/>
          </w:tcPr>
          <w:p w:rsidR="00C91243" w:rsidRDefault="001856D0" w14:paraId="37A1C51E" w14:textId="77777777">
            <w:r>
              <w:t>Kunt u, op basis van eerdere rechtszaken, een inschatting geven hoeveel jaar een rechtszaak duurt vanaf de start van de procedure bij de rechtbank tot het moment waarop de Hoge Raad een finaal oordeel velt? Hoe verhouden deze doorlooptijden zich tot de verwachte doorlooptijd bij een grondwettelijk hof?</w:t>
            </w:r>
          </w:p>
        </w:tc>
        <w:tc>
          <w:tcPr>
            <w:tcW w:w="850" w:type="dxa"/>
          </w:tcPr>
          <w:p w:rsidR="00C91243" w:rsidRDefault="00C91243" w14:paraId="5413E9D0" w14:textId="77777777">
            <w:pPr>
              <w:jc w:val="right"/>
            </w:pPr>
          </w:p>
        </w:tc>
        <w:tc>
          <w:tcPr>
            <w:tcW w:w="992" w:type="dxa"/>
          </w:tcPr>
          <w:p w:rsidR="00C91243" w:rsidRDefault="00C91243" w14:paraId="1AFDA935" w14:textId="77777777">
            <w:pPr>
              <w:jc w:val="right"/>
            </w:pPr>
          </w:p>
        </w:tc>
        <w:tc>
          <w:tcPr>
            <w:tcW w:w="567" w:type="dxa"/>
            <w:tcBorders>
              <w:left w:val="nil"/>
            </w:tcBorders>
          </w:tcPr>
          <w:p w:rsidR="00C91243" w:rsidRDefault="001856D0" w14:paraId="1051052A" w14:textId="77777777">
            <w:pPr>
              <w:jc w:val="right"/>
            </w:pPr>
            <w:r>
              <w:t xml:space="preserve"> </w:t>
            </w:r>
          </w:p>
        </w:tc>
      </w:tr>
      <w:tr w:rsidR="00C91243" w:rsidTr="00E7153D" w14:paraId="7CE74E37" w14:textId="77777777">
        <w:tc>
          <w:tcPr>
            <w:tcW w:w="567" w:type="dxa"/>
          </w:tcPr>
          <w:p w:rsidR="00C91243" w:rsidRDefault="001856D0" w14:paraId="1C62045F" w14:textId="77777777">
            <w:r>
              <w:t>12</w:t>
            </w:r>
          </w:p>
        </w:tc>
        <w:tc>
          <w:tcPr>
            <w:tcW w:w="6521" w:type="dxa"/>
          </w:tcPr>
          <w:p w:rsidR="00C91243" w:rsidRDefault="001856D0" w14:paraId="774E67E1" w14:textId="77777777">
            <w:r>
              <w:t>Wanneer verwacht u dat het onderzoek of bepaalde interinstitutionele bepalingen ook toetsbaar kunnen worden door het grondwettelijk hof gereed zal zijn? Wie gaat dat onderzoek uitvoeren? Wordt in dat onderzoek ook meegenomen het eventueel toevoegen van “enkele andere aanverwante bepalingen” waaraan getoetst zou kunnen worden en zo ja, om welke bepalingen zou het gaan?</w:t>
            </w:r>
          </w:p>
        </w:tc>
        <w:tc>
          <w:tcPr>
            <w:tcW w:w="850" w:type="dxa"/>
          </w:tcPr>
          <w:p w:rsidR="00C91243" w:rsidRDefault="00C91243" w14:paraId="15F42BDC" w14:textId="77777777">
            <w:pPr>
              <w:jc w:val="right"/>
            </w:pPr>
          </w:p>
        </w:tc>
        <w:tc>
          <w:tcPr>
            <w:tcW w:w="992" w:type="dxa"/>
          </w:tcPr>
          <w:p w:rsidR="00C91243" w:rsidRDefault="001856D0" w14:paraId="534359FB" w14:textId="77777777">
            <w:pPr>
              <w:jc w:val="right"/>
            </w:pPr>
            <w:r>
              <w:t>3</w:t>
            </w:r>
          </w:p>
        </w:tc>
        <w:tc>
          <w:tcPr>
            <w:tcW w:w="567" w:type="dxa"/>
            <w:tcBorders>
              <w:left w:val="nil"/>
            </w:tcBorders>
          </w:tcPr>
          <w:p w:rsidR="00C91243" w:rsidRDefault="001856D0" w14:paraId="59DFE1D3" w14:textId="77777777">
            <w:pPr>
              <w:jc w:val="right"/>
            </w:pPr>
            <w:r>
              <w:t xml:space="preserve"> </w:t>
            </w:r>
          </w:p>
        </w:tc>
      </w:tr>
      <w:tr w:rsidR="00C91243" w:rsidTr="00E7153D" w14:paraId="15135486" w14:textId="77777777">
        <w:tc>
          <w:tcPr>
            <w:tcW w:w="567" w:type="dxa"/>
          </w:tcPr>
          <w:p w:rsidR="00C91243" w:rsidRDefault="001856D0" w14:paraId="50B089C4" w14:textId="77777777">
            <w:r>
              <w:t>13</w:t>
            </w:r>
          </w:p>
        </w:tc>
        <w:tc>
          <w:tcPr>
            <w:tcW w:w="6521" w:type="dxa"/>
          </w:tcPr>
          <w:p w:rsidR="00C91243" w:rsidRDefault="001856D0" w14:paraId="1FA212BA" w14:textId="77777777">
            <w:r>
              <w:t>Op welke wijze kan de algemene bepaling worden gebruikt als interpretatief hulpmiddel binnen de rechtspraktijk?</w:t>
            </w:r>
          </w:p>
        </w:tc>
        <w:tc>
          <w:tcPr>
            <w:tcW w:w="850" w:type="dxa"/>
          </w:tcPr>
          <w:p w:rsidR="00C91243" w:rsidRDefault="00C91243" w14:paraId="27B519FA" w14:textId="77777777">
            <w:pPr>
              <w:jc w:val="right"/>
            </w:pPr>
          </w:p>
        </w:tc>
        <w:tc>
          <w:tcPr>
            <w:tcW w:w="992" w:type="dxa"/>
          </w:tcPr>
          <w:p w:rsidR="00C91243" w:rsidRDefault="001856D0" w14:paraId="69B24C55" w14:textId="77777777">
            <w:pPr>
              <w:jc w:val="right"/>
            </w:pPr>
            <w:r>
              <w:t>7</w:t>
            </w:r>
          </w:p>
        </w:tc>
        <w:tc>
          <w:tcPr>
            <w:tcW w:w="567" w:type="dxa"/>
            <w:tcBorders>
              <w:left w:val="nil"/>
            </w:tcBorders>
          </w:tcPr>
          <w:p w:rsidR="00C91243" w:rsidRDefault="001856D0" w14:paraId="782741C7" w14:textId="77777777">
            <w:pPr>
              <w:jc w:val="right"/>
            </w:pPr>
            <w:r>
              <w:t xml:space="preserve"> </w:t>
            </w:r>
          </w:p>
        </w:tc>
      </w:tr>
      <w:tr w:rsidR="00C91243" w:rsidTr="00E7153D" w14:paraId="59832706" w14:textId="77777777">
        <w:tc>
          <w:tcPr>
            <w:tcW w:w="567" w:type="dxa"/>
          </w:tcPr>
          <w:p w:rsidR="00C91243" w:rsidRDefault="001856D0" w14:paraId="219E5B71" w14:textId="77777777">
            <w:r>
              <w:t>14</w:t>
            </w:r>
          </w:p>
        </w:tc>
        <w:tc>
          <w:tcPr>
            <w:tcW w:w="6521" w:type="dxa"/>
          </w:tcPr>
          <w:p w:rsidR="00C91243" w:rsidRDefault="001856D0" w14:paraId="5326D1D2" w14:textId="77777777">
            <w:r>
              <w:t>Waar hangt de keuze tussen een beperking per grondrecht of een algemene beperkingsclausule vanaf?</w:t>
            </w:r>
          </w:p>
        </w:tc>
        <w:tc>
          <w:tcPr>
            <w:tcW w:w="850" w:type="dxa"/>
          </w:tcPr>
          <w:p w:rsidR="00C91243" w:rsidRDefault="00C91243" w14:paraId="134C41FA" w14:textId="77777777">
            <w:pPr>
              <w:jc w:val="right"/>
            </w:pPr>
          </w:p>
        </w:tc>
        <w:tc>
          <w:tcPr>
            <w:tcW w:w="992" w:type="dxa"/>
          </w:tcPr>
          <w:p w:rsidR="00C91243" w:rsidRDefault="001856D0" w14:paraId="6F8BE1BE" w14:textId="77777777">
            <w:pPr>
              <w:jc w:val="right"/>
            </w:pPr>
            <w:r>
              <w:t>9</w:t>
            </w:r>
          </w:p>
        </w:tc>
        <w:tc>
          <w:tcPr>
            <w:tcW w:w="567" w:type="dxa"/>
            <w:tcBorders>
              <w:left w:val="nil"/>
            </w:tcBorders>
          </w:tcPr>
          <w:p w:rsidR="00C91243" w:rsidRDefault="001856D0" w14:paraId="646032A1" w14:textId="77777777">
            <w:pPr>
              <w:jc w:val="right"/>
            </w:pPr>
            <w:r>
              <w:t xml:space="preserve"> </w:t>
            </w:r>
          </w:p>
        </w:tc>
      </w:tr>
      <w:tr w:rsidR="00C91243" w:rsidTr="00E7153D" w14:paraId="15B4DA29" w14:textId="77777777">
        <w:tc>
          <w:tcPr>
            <w:tcW w:w="567" w:type="dxa"/>
          </w:tcPr>
          <w:p w:rsidR="00C91243" w:rsidRDefault="001856D0" w14:paraId="177CF789" w14:textId="77777777">
            <w:r>
              <w:lastRenderedPageBreak/>
              <w:t>15</w:t>
            </w:r>
          </w:p>
        </w:tc>
        <w:tc>
          <w:tcPr>
            <w:tcW w:w="6521" w:type="dxa"/>
          </w:tcPr>
          <w:p w:rsidR="00C91243" w:rsidRDefault="001856D0" w14:paraId="3030FAE4" w14:textId="77777777">
            <w:r>
              <w:t>Wat wordt bedoeld met “proportionele verhouding tussen het doel van de beperking en de aantasting van het grondrecht”? In hoeverre wordt met “proportioneel” hetzelfde bedoeld als met het begrip “evenredig”?</w:t>
            </w:r>
          </w:p>
        </w:tc>
        <w:tc>
          <w:tcPr>
            <w:tcW w:w="850" w:type="dxa"/>
          </w:tcPr>
          <w:p w:rsidR="00C91243" w:rsidRDefault="00C91243" w14:paraId="6215D88A" w14:textId="77777777">
            <w:pPr>
              <w:jc w:val="right"/>
            </w:pPr>
          </w:p>
        </w:tc>
        <w:tc>
          <w:tcPr>
            <w:tcW w:w="992" w:type="dxa"/>
          </w:tcPr>
          <w:p w:rsidR="00C91243" w:rsidRDefault="001856D0" w14:paraId="7B210C8E" w14:textId="77777777">
            <w:pPr>
              <w:jc w:val="right"/>
            </w:pPr>
            <w:r>
              <w:t>9</w:t>
            </w:r>
          </w:p>
        </w:tc>
        <w:tc>
          <w:tcPr>
            <w:tcW w:w="567" w:type="dxa"/>
            <w:tcBorders>
              <w:left w:val="nil"/>
            </w:tcBorders>
          </w:tcPr>
          <w:p w:rsidR="00C91243" w:rsidRDefault="001856D0" w14:paraId="3DEBAF67" w14:textId="77777777">
            <w:pPr>
              <w:jc w:val="right"/>
            </w:pPr>
            <w:r>
              <w:t xml:space="preserve"> </w:t>
            </w:r>
          </w:p>
        </w:tc>
      </w:tr>
      <w:tr w:rsidR="00C91243" w:rsidTr="00E7153D" w14:paraId="4D77265E" w14:textId="77777777">
        <w:tc>
          <w:tcPr>
            <w:tcW w:w="567" w:type="dxa"/>
          </w:tcPr>
          <w:p w:rsidR="00C91243" w:rsidRDefault="001856D0" w14:paraId="56222545" w14:textId="77777777">
            <w:r>
              <w:t>16</w:t>
            </w:r>
          </w:p>
        </w:tc>
        <w:tc>
          <w:tcPr>
            <w:tcW w:w="6521" w:type="dxa"/>
          </w:tcPr>
          <w:p w:rsidR="00C91243" w:rsidRDefault="001856D0" w14:paraId="76FCA1C1" w14:textId="77777777">
            <w:r>
              <w:t>Kunt u een overzicht geven van alle mogelijke juridische procedures (bestuursrechtelijk, civielrechtelijk en strafrechtelijk) die rechtszoekenden moeten doorlopen om finale duidelijkheid te krijgen, wanneer Nederland geen grondwettelijk hof zou hebben waar alle grondwetsvragen samenkomen?</w:t>
            </w:r>
          </w:p>
        </w:tc>
        <w:tc>
          <w:tcPr>
            <w:tcW w:w="850" w:type="dxa"/>
          </w:tcPr>
          <w:p w:rsidR="00C91243" w:rsidRDefault="00C91243" w14:paraId="54D65336" w14:textId="77777777">
            <w:pPr>
              <w:jc w:val="right"/>
            </w:pPr>
          </w:p>
        </w:tc>
        <w:tc>
          <w:tcPr>
            <w:tcW w:w="992" w:type="dxa"/>
          </w:tcPr>
          <w:p w:rsidR="00C91243" w:rsidRDefault="001856D0" w14:paraId="3D432040" w14:textId="77777777">
            <w:pPr>
              <w:jc w:val="right"/>
            </w:pPr>
            <w:r>
              <w:t>11</w:t>
            </w:r>
          </w:p>
        </w:tc>
        <w:tc>
          <w:tcPr>
            <w:tcW w:w="567" w:type="dxa"/>
            <w:tcBorders>
              <w:left w:val="nil"/>
            </w:tcBorders>
          </w:tcPr>
          <w:p w:rsidR="00C91243" w:rsidRDefault="001856D0" w14:paraId="533904BA" w14:textId="77777777">
            <w:pPr>
              <w:jc w:val="right"/>
            </w:pPr>
            <w:r>
              <w:t xml:space="preserve"> </w:t>
            </w:r>
          </w:p>
        </w:tc>
      </w:tr>
      <w:tr w:rsidR="00C91243" w:rsidTr="00E7153D" w14:paraId="2696892F" w14:textId="77777777">
        <w:tc>
          <w:tcPr>
            <w:tcW w:w="567" w:type="dxa"/>
          </w:tcPr>
          <w:p w:rsidR="00C91243" w:rsidRDefault="001856D0" w14:paraId="6F07B2F8" w14:textId="77777777">
            <w:r>
              <w:t>17</w:t>
            </w:r>
          </w:p>
        </w:tc>
        <w:tc>
          <w:tcPr>
            <w:tcW w:w="6521" w:type="dxa"/>
          </w:tcPr>
          <w:p w:rsidR="00C91243" w:rsidRDefault="001856D0" w14:paraId="1569D799" w14:textId="2CF3B680">
            <w:r>
              <w:t>Kunt</w:t>
            </w:r>
            <w:r w:rsidR="009221D2">
              <w:t xml:space="preserve"> u</w:t>
            </w:r>
            <w:r>
              <w:t xml:space="preserve"> uitleggen waarom u heeft gekozen voor een gemengd model waarin rechtszoekenden niet rechtstreeks een zaak kunnen aanspannen bij het grondwettelijk hof maar alleen toegang hebben via de lokale rechtbanken?</w:t>
            </w:r>
          </w:p>
        </w:tc>
        <w:tc>
          <w:tcPr>
            <w:tcW w:w="850" w:type="dxa"/>
          </w:tcPr>
          <w:p w:rsidR="00C91243" w:rsidRDefault="00C91243" w14:paraId="1880B3AB" w14:textId="77777777">
            <w:pPr>
              <w:jc w:val="right"/>
            </w:pPr>
          </w:p>
        </w:tc>
        <w:tc>
          <w:tcPr>
            <w:tcW w:w="992" w:type="dxa"/>
          </w:tcPr>
          <w:p w:rsidR="00C91243" w:rsidRDefault="001856D0" w14:paraId="1C796B9C" w14:textId="77777777">
            <w:pPr>
              <w:jc w:val="right"/>
            </w:pPr>
            <w:r>
              <w:t>13</w:t>
            </w:r>
          </w:p>
        </w:tc>
        <w:tc>
          <w:tcPr>
            <w:tcW w:w="567" w:type="dxa"/>
            <w:tcBorders>
              <w:left w:val="nil"/>
            </w:tcBorders>
          </w:tcPr>
          <w:p w:rsidR="00C91243" w:rsidRDefault="001856D0" w14:paraId="7921F3E5" w14:textId="77777777">
            <w:pPr>
              <w:jc w:val="right"/>
            </w:pPr>
            <w:r>
              <w:t xml:space="preserve"> </w:t>
            </w:r>
          </w:p>
        </w:tc>
      </w:tr>
      <w:tr w:rsidR="00C91243" w:rsidTr="00E7153D" w14:paraId="61FCFAE6" w14:textId="77777777">
        <w:tc>
          <w:tcPr>
            <w:tcW w:w="567" w:type="dxa"/>
          </w:tcPr>
          <w:p w:rsidR="00C91243" w:rsidRDefault="001856D0" w14:paraId="7819A69D" w14:textId="77777777">
            <w:r>
              <w:t>18</w:t>
            </w:r>
          </w:p>
        </w:tc>
        <w:tc>
          <w:tcPr>
            <w:tcW w:w="6521" w:type="dxa"/>
          </w:tcPr>
          <w:p w:rsidR="00C91243" w:rsidRDefault="001856D0" w14:paraId="0B19CD60" w14:textId="77777777">
            <w:r>
              <w:t>Waarom is het volgens u belangrijk dat er rechtseenheid bestaat omtrent de uitleg van de Grondwet?</w:t>
            </w:r>
          </w:p>
        </w:tc>
        <w:tc>
          <w:tcPr>
            <w:tcW w:w="850" w:type="dxa"/>
          </w:tcPr>
          <w:p w:rsidR="00C91243" w:rsidRDefault="00C91243" w14:paraId="77E8848F" w14:textId="77777777">
            <w:pPr>
              <w:jc w:val="right"/>
            </w:pPr>
          </w:p>
        </w:tc>
        <w:tc>
          <w:tcPr>
            <w:tcW w:w="992" w:type="dxa"/>
          </w:tcPr>
          <w:p w:rsidR="00C91243" w:rsidRDefault="001856D0" w14:paraId="2E3253FE" w14:textId="77777777">
            <w:pPr>
              <w:jc w:val="right"/>
            </w:pPr>
            <w:r>
              <w:t>13</w:t>
            </w:r>
          </w:p>
        </w:tc>
        <w:tc>
          <w:tcPr>
            <w:tcW w:w="567" w:type="dxa"/>
            <w:tcBorders>
              <w:left w:val="nil"/>
            </w:tcBorders>
          </w:tcPr>
          <w:p w:rsidR="00C91243" w:rsidRDefault="001856D0" w14:paraId="5BCCFC6E" w14:textId="77777777">
            <w:pPr>
              <w:jc w:val="right"/>
            </w:pPr>
            <w:r>
              <w:t xml:space="preserve"> </w:t>
            </w:r>
          </w:p>
        </w:tc>
      </w:tr>
      <w:tr w:rsidR="00C91243" w:rsidTr="00E7153D" w14:paraId="70A41901" w14:textId="77777777">
        <w:tc>
          <w:tcPr>
            <w:tcW w:w="567" w:type="dxa"/>
          </w:tcPr>
          <w:p w:rsidR="00C91243" w:rsidRDefault="001856D0" w14:paraId="41323BD2" w14:textId="77777777">
            <w:r>
              <w:t>19</w:t>
            </w:r>
          </w:p>
        </w:tc>
        <w:tc>
          <w:tcPr>
            <w:tcW w:w="6521" w:type="dxa"/>
          </w:tcPr>
          <w:p w:rsidR="00C91243" w:rsidRDefault="001856D0" w14:paraId="3F2DC134" w14:textId="77777777">
            <w:r>
              <w:t>Hoe kan worden gewaarborgd dat de toetsing aan de Grondwet leidt tot voldoende rechtseenheid en een consistente uitleg van grondwetsartikelen?</w:t>
            </w:r>
          </w:p>
        </w:tc>
        <w:tc>
          <w:tcPr>
            <w:tcW w:w="850" w:type="dxa"/>
          </w:tcPr>
          <w:p w:rsidR="00C91243" w:rsidRDefault="00C91243" w14:paraId="5959C088" w14:textId="77777777">
            <w:pPr>
              <w:jc w:val="right"/>
            </w:pPr>
          </w:p>
        </w:tc>
        <w:tc>
          <w:tcPr>
            <w:tcW w:w="992" w:type="dxa"/>
          </w:tcPr>
          <w:p w:rsidR="00C91243" w:rsidRDefault="001856D0" w14:paraId="633BF6AC" w14:textId="77777777">
            <w:pPr>
              <w:jc w:val="right"/>
            </w:pPr>
            <w:r>
              <w:t>13</w:t>
            </w:r>
          </w:p>
        </w:tc>
        <w:tc>
          <w:tcPr>
            <w:tcW w:w="567" w:type="dxa"/>
            <w:tcBorders>
              <w:left w:val="nil"/>
            </w:tcBorders>
          </w:tcPr>
          <w:p w:rsidR="00C91243" w:rsidRDefault="001856D0" w14:paraId="0E731973" w14:textId="77777777">
            <w:pPr>
              <w:jc w:val="right"/>
            </w:pPr>
            <w:r>
              <w:t xml:space="preserve"> </w:t>
            </w:r>
          </w:p>
        </w:tc>
      </w:tr>
      <w:tr w:rsidR="00C91243" w:rsidTr="00E7153D" w14:paraId="252604C0" w14:textId="77777777">
        <w:tc>
          <w:tcPr>
            <w:tcW w:w="567" w:type="dxa"/>
          </w:tcPr>
          <w:p w:rsidR="00C91243" w:rsidRDefault="001856D0" w14:paraId="62603F76" w14:textId="77777777">
            <w:r>
              <w:t>20</w:t>
            </w:r>
          </w:p>
        </w:tc>
        <w:tc>
          <w:tcPr>
            <w:tcW w:w="6521" w:type="dxa"/>
          </w:tcPr>
          <w:p w:rsidR="00C91243" w:rsidRDefault="001856D0" w14:paraId="216F74B3" w14:textId="77777777">
            <w:r>
              <w:t>Wat wordt verstaan onder de begrippen "zaaksoverstijgend belang" en "bijzonder gewicht", en hoe kunnen deze concreet worden ingevuld?</w:t>
            </w:r>
          </w:p>
        </w:tc>
        <w:tc>
          <w:tcPr>
            <w:tcW w:w="850" w:type="dxa"/>
          </w:tcPr>
          <w:p w:rsidR="00C91243" w:rsidRDefault="00C91243" w14:paraId="4BDCC0E8" w14:textId="77777777">
            <w:pPr>
              <w:jc w:val="right"/>
            </w:pPr>
          </w:p>
        </w:tc>
        <w:tc>
          <w:tcPr>
            <w:tcW w:w="992" w:type="dxa"/>
          </w:tcPr>
          <w:p w:rsidR="00C91243" w:rsidRDefault="001856D0" w14:paraId="6EE161DD" w14:textId="77777777">
            <w:pPr>
              <w:jc w:val="right"/>
            </w:pPr>
            <w:r>
              <w:t>13</w:t>
            </w:r>
          </w:p>
        </w:tc>
        <w:tc>
          <w:tcPr>
            <w:tcW w:w="567" w:type="dxa"/>
            <w:tcBorders>
              <w:left w:val="nil"/>
            </w:tcBorders>
          </w:tcPr>
          <w:p w:rsidR="00C91243" w:rsidRDefault="001856D0" w14:paraId="57745677" w14:textId="77777777">
            <w:pPr>
              <w:jc w:val="right"/>
            </w:pPr>
            <w:r>
              <w:t xml:space="preserve"> </w:t>
            </w:r>
          </w:p>
        </w:tc>
      </w:tr>
      <w:tr w:rsidR="00C91243" w:rsidTr="00E7153D" w14:paraId="0D1D0B47" w14:textId="77777777">
        <w:tc>
          <w:tcPr>
            <w:tcW w:w="567" w:type="dxa"/>
          </w:tcPr>
          <w:p w:rsidR="00C91243" w:rsidRDefault="001856D0" w14:paraId="3E90F458" w14:textId="77777777">
            <w:r>
              <w:t>21</w:t>
            </w:r>
          </w:p>
        </w:tc>
        <w:tc>
          <w:tcPr>
            <w:tcW w:w="6521" w:type="dxa"/>
          </w:tcPr>
          <w:p w:rsidR="00C91243" w:rsidRDefault="001856D0" w14:paraId="59FAAF74" w14:textId="77777777">
            <w:r>
              <w:t>Kunt u een ruwe inschatting maken van de proceskosten (advocatenkosten, griffiekosten) die mensen moeten betalen bij een procedure waarin er over drie instanties, tot aan de Hoge Raad, is doorgeprocedeerd? Hoe verhouden deze kosten zich tot de verwachte kosten van een procedure bij een grondwettelijk hof?</w:t>
            </w:r>
          </w:p>
        </w:tc>
        <w:tc>
          <w:tcPr>
            <w:tcW w:w="850" w:type="dxa"/>
          </w:tcPr>
          <w:p w:rsidR="00C91243" w:rsidRDefault="00C91243" w14:paraId="0129ED08" w14:textId="77777777">
            <w:pPr>
              <w:jc w:val="right"/>
            </w:pPr>
          </w:p>
        </w:tc>
        <w:tc>
          <w:tcPr>
            <w:tcW w:w="992" w:type="dxa"/>
          </w:tcPr>
          <w:p w:rsidR="00C91243" w:rsidRDefault="001856D0" w14:paraId="4076F0FF" w14:textId="77777777">
            <w:pPr>
              <w:jc w:val="right"/>
            </w:pPr>
            <w:r>
              <w:t>13</w:t>
            </w:r>
          </w:p>
        </w:tc>
        <w:tc>
          <w:tcPr>
            <w:tcW w:w="567" w:type="dxa"/>
            <w:tcBorders>
              <w:left w:val="nil"/>
            </w:tcBorders>
          </w:tcPr>
          <w:p w:rsidR="00C91243" w:rsidRDefault="001856D0" w14:paraId="2E083D1B" w14:textId="77777777">
            <w:pPr>
              <w:jc w:val="right"/>
            </w:pPr>
            <w:r>
              <w:t xml:space="preserve"> </w:t>
            </w:r>
          </w:p>
        </w:tc>
      </w:tr>
      <w:tr w:rsidR="00C91243" w:rsidTr="00E7153D" w14:paraId="51288F81" w14:textId="77777777">
        <w:tc>
          <w:tcPr>
            <w:tcW w:w="567" w:type="dxa"/>
          </w:tcPr>
          <w:p w:rsidR="00C91243" w:rsidRDefault="001856D0" w14:paraId="2E466DCC" w14:textId="77777777">
            <w:r>
              <w:t>22</w:t>
            </w:r>
          </w:p>
        </w:tc>
        <w:tc>
          <w:tcPr>
            <w:tcW w:w="6521" w:type="dxa"/>
          </w:tcPr>
          <w:p w:rsidR="00C91243" w:rsidRDefault="001856D0" w14:paraId="5EEEFE21" w14:textId="77777777">
            <w:r>
              <w:t>Kunt u toelichten waarom het essentieel is dat er snel en definitief duidelijkheid wordt verschaft over rechtsvragen die betrekking hebben op grondwetsartikelen?</w:t>
            </w:r>
          </w:p>
        </w:tc>
        <w:tc>
          <w:tcPr>
            <w:tcW w:w="850" w:type="dxa"/>
          </w:tcPr>
          <w:p w:rsidR="00C91243" w:rsidRDefault="00C91243" w14:paraId="11981BB9" w14:textId="77777777">
            <w:pPr>
              <w:jc w:val="right"/>
            </w:pPr>
          </w:p>
        </w:tc>
        <w:tc>
          <w:tcPr>
            <w:tcW w:w="992" w:type="dxa"/>
          </w:tcPr>
          <w:p w:rsidR="00C91243" w:rsidRDefault="001856D0" w14:paraId="136C329F" w14:textId="77777777">
            <w:pPr>
              <w:jc w:val="right"/>
            </w:pPr>
            <w:r>
              <w:t>13</w:t>
            </w:r>
          </w:p>
        </w:tc>
        <w:tc>
          <w:tcPr>
            <w:tcW w:w="567" w:type="dxa"/>
            <w:tcBorders>
              <w:left w:val="nil"/>
            </w:tcBorders>
          </w:tcPr>
          <w:p w:rsidR="00C91243" w:rsidRDefault="001856D0" w14:paraId="38DEA9E5" w14:textId="77777777">
            <w:pPr>
              <w:jc w:val="right"/>
            </w:pPr>
            <w:r>
              <w:t xml:space="preserve"> </w:t>
            </w:r>
          </w:p>
        </w:tc>
      </w:tr>
      <w:tr w:rsidR="00C91243" w:rsidTr="00E7153D" w14:paraId="646657F2" w14:textId="77777777">
        <w:tc>
          <w:tcPr>
            <w:tcW w:w="567" w:type="dxa"/>
          </w:tcPr>
          <w:p w:rsidR="00C91243" w:rsidRDefault="001856D0" w14:paraId="1C16357C" w14:textId="77777777">
            <w:r>
              <w:t>23</w:t>
            </w:r>
          </w:p>
        </w:tc>
        <w:tc>
          <w:tcPr>
            <w:tcW w:w="6521" w:type="dxa"/>
          </w:tcPr>
          <w:p w:rsidR="00C91243" w:rsidRDefault="001856D0" w14:paraId="1B0EA5EC" w14:textId="77777777">
            <w:r>
              <w:t>In welke mate vormen proceskosten voor rechtszoekenden een belemmering om een juridische procedure te starten?</w:t>
            </w:r>
          </w:p>
        </w:tc>
        <w:tc>
          <w:tcPr>
            <w:tcW w:w="850" w:type="dxa"/>
          </w:tcPr>
          <w:p w:rsidR="00C91243" w:rsidRDefault="00C91243" w14:paraId="1C001A57" w14:textId="77777777">
            <w:pPr>
              <w:jc w:val="right"/>
            </w:pPr>
          </w:p>
        </w:tc>
        <w:tc>
          <w:tcPr>
            <w:tcW w:w="992" w:type="dxa"/>
          </w:tcPr>
          <w:p w:rsidR="00C91243" w:rsidRDefault="001856D0" w14:paraId="4AFF39A5" w14:textId="77777777">
            <w:pPr>
              <w:jc w:val="right"/>
            </w:pPr>
            <w:r>
              <w:t>13</w:t>
            </w:r>
          </w:p>
        </w:tc>
        <w:tc>
          <w:tcPr>
            <w:tcW w:w="567" w:type="dxa"/>
            <w:tcBorders>
              <w:left w:val="nil"/>
            </w:tcBorders>
          </w:tcPr>
          <w:p w:rsidR="00C91243" w:rsidRDefault="001856D0" w14:paraId="3C535811" w14:textId="77777777">
            <w:pPr>
              <w:jc w:val="right"/>
            </w:pPr>
            <w:r>
              <w:t xml:space="preserve"> </w:t>
            </w:r>
          </w:p>
        </w:tc>
      </w:tr>
      <w:tr w:rsidR="00C91243" w:rsidTr="00E7153D" w14:paraId="3CB8AA20" w14:textId="77777777">
        <w:tc>
          <w:tcPr>
            <w:tcW w:w="567" w:type="dxa"/>
          </w:tcPr>
          <w:p w:rsidR="00C91243" w:rsidRDefault="001856D0" w14:paraId="4548BB9A" w14:textId="77777777">
            <w:r>
              <w:t>24</w:t>
            </w:r>
          </w:p>
        </w:tc>
        <w:tc>
          <w:tcPr>
            <w:tcW w:w="6521" w:type="dxa"/>
          </w:tcPr>
          <w:p w:rsidR="00C91243" w:rsidRDefault="001856D0" w14:paraId="1251D0E0" w14:textId="77777777">
            <w:r>
              <w:t>Kunt u concrete voorbeelden geven van de rechtsgevolgen die grondwettelijke hoven in andere Europese landen kunnen vaststellen?</w:t>
            </w:r>
          </w:p>
        </w:tc>
        <w:tc>
          <w:tcPr>
            <w:tcW w:w="850" w:type="dxa"/>
          </w:tcPr>
          <w:p w:rsidR="00C91243" w:rsidRDefault="00C91243" w14:paraId="67C6D141" w14:textId="77777777">
            <w:pPr>
              <w:jc w:val="right"/>
            </w:pPr>
          </w:p>
        </w:tc>
        <w:tc>
          <w:tcPr>
            <w:tcW w:w="992" w:type="dxa"/>
          </w:tcPr>
          <w:p w:rsidR="00C91243" w:rsidRDefault="001856D0" w14:paraId="51568713" w14:textId="77777777">
            <w:pPr>
              <w:jc w:val="right"/>
            </w:pPr>
            <w:r>
              <w:t>15</w:t>
            </w:r>
          </w:p>
        </w:tc>
        <w:tc>
          <w:tcPr>
            <w:tcW w:w="567" w:type="dxa"/>
            <w:tcBorders>
              <w:left w:val="nil"/>
            </w:tcBorders>
          </w:tcPr>
          <w:p w:rsidR="00C91243" w:rsidRDefault="001856D0" w14:paraId="7F88C348" w14:textId="77777777">
            <w:pPr>
              <w:jc w:val="right"/>
            </w:pPr>
            <w:r>
              <w:t xml:space="preserve"> </w:t>
            </w:r>
          </w:p>
        </w:tc>
      </w:tr>
      <w:tr w:rsidR="00C91243" w:rsidTr="00E7153D" w14:paraId="023D5C61" w14:textId="77777777">
        <w:tc>
          <w:tcPr>
            <w:tcW w:w="567" w:type="dxa"/>
          </w:tcPr>
          <w:p w:rsidR="00C91243" w:rsidRDefault="001856D0" w14:paraId="136368F7" w14:textId="77777777">
            <w:r>
              <w:t>25</w:t>
            </w:r>
          </w:p>
        </w:tc>
        <w:tc>
          <w:tcPr>
            <w:tcW w:w="6521" w:type="dxa"/>
          </w:tcPr>
          <w:p w:rsidR="00C91243" w:rsidRDefault="001856D0" w14:paraId="67BE8F50" w14:textId="77777777">
            <w:r>
              <w:t>Indien een wettelijk voorschrift fundamenteel in strijd is met de Grondwet, hoe kan worden gewaarborgd dat deze wet nimmer rechtskracht verkrijgt?</w:t>
            </w:r>
          </w:p>
        </w:tc>
        <w:tc>
          <w:tcPr>
            <w:tcW w:w="850" w:type="dxa"/>
          </w:tcPr>
          <w:p w:rsidR="00C91243" w:rsidRDefault="00C91243" w14:paraId="148CEA20" w14:textId="77777777">
            <w:pPr>
              <w:jc w:val="right"/>
            </w:pPr>
          </w:p>
        </w:tc>
        <w:tc>
          <w:tcPr>
            <w:tcW w:w="992" w:type="dxa"/>
          </w:tcPr>
          <w:p w:rsidR="00C91243" w:rsidRDefault="001856D0" w14:paraId="7CFE7CFA" w14:textId="77777777">
            <w:pPr>
              <w:jc w:val="right"/>
            </w:pPr>
            <w:r>
              <w:t>15</w:t>
            </w:r>
          </w:p>
        </w:tc>
        <w:tc>
          <w:tcPr>
            <w:tcW w:w="567" w:type="dxa"/>
            <w:tcBorders>
              <w:left w:val="nil"/>
            </w:tcBorders>
          </w:tcPr>
          <w:p w:rsidR="00C91243" w:rsidRDefault="001856D0" w14:paraId="4A0D7B3B" w14:textId="77777777">
            <w:pPr>
              <w:jc w:val="right"/>
            </w:pPr>
            <w:r>
              <w:t xml:space="preserve"> </w:t>
            </w:r>
          </w:p>
        </w:tc>
      </w:tr>
      <w:tr w:rsidR="00C91243" w:rsidTr="00E7153D" w14:paraId="40162872" w14:textId="77777777">
        <w:tc>
          <w:tcPr>
            <w:tcW w:w="567" w:type="dxa"/>
          </w:tcPr>
          <w:p w:rsidR="00C91243" w:rsidRDefault="001856D0" w14:paraId="070DB5D5" w14:textId="77777777">
            <w:r>
              <w:t>26</w:t>
            </w:r>
          </w:p>
        </w:tc>
        <w:tc>
          <w:tcPr>
            <w:tcW w:w="6521" w:type="dxa"/>
          </w:tcPr>
          <w:p w:rsidR="00C91243" w:rsidRDefault="001856D0" w14:paraId="34054F86" w14:textId="0CD1943B">
            <w:r>
              <w:t>In hoeverre leidt het hanteren van hetzelfde toetsingskader voor het hof als het gaat om</w:t>
            </w:r>
            <w:r w:rsidR="009221D2">
              <w:t xml:space="preserve"> de</w:t>
            </w:r>
            <w:r>
              <w:t xml:space="preserve"> beoordeling van lagere regelgeving en besluiten als bij toetsing van wetten, te weten de klassieke grondrechten, tot ongelijkheid voor de rechtzoekenden, omdat de gewone rechter bij lagere regelgeving kan toetsen aan de hele Grondwet?</w:t>
            </w:r>
          </w:p>
        </w:tc>
        <w:tc>
          <w:tcPr>
            <w:tcW w:w="850" w:type="dxa"/>
          </w:tcPr>
          <w:p w:rsidR="00C91243" w:rsidRDefault="00C91243" w14:paraId="4AC8996B" w14:textId="77777777">
            <w:pPr>
              <w:jc w:val="right"/>
            </w:pPr>
          </w:p>
        </w:tc>
        <w:tc>
          <w:tcPr>
            <w:tcW w:w="992" w:type="dxa"/>
          </w:tcPr>
          <w:p w:rsidR="00C91243" w:rsidRDefault="001856D0" w14:paraId="0CB26EFC" w14:textId="77777777">
            <w:pPr>
              <w:jc w:val="right"/>
            </w:pPr>
            <w:r>
              <w:t>18</w:t>
            </w:r>
          </w:p>
        </w:tc>
        <w:tc>
          <w:tcPr>
            <w:tcW w:w="567" w:type="dxa"/>
            <w:tcBorders>
              <w:left w:val="nil"/>
            </w:tcBorders>
          </w:tcPr>
          <w:p w:rsidR="00C91243" w:rsidRDefault="001856D0" w14:paraId="345871E5" w14:textId="77777777">
            <w:pPr>
              <w:jc w:val="right"/>
            </w:pPr>
            <w:r>
              <w:t xml:space="preserve"> </w:t>
            </w:r>
          </w:p>
        </w:tc>
      </w:tr>
    </w:tbl>
    <w:p w:rsidR="00C91243" w:rsidRDefault="00C91243" w14:paraId="2D1A777B" w14:textId="77777777"/>
    <w:sectPr w:rsidR="00C91243" w:rsidSect="00884F45">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D5D2" w14:textId="77777777" w:rsidR="00A93080" w:rsidRDefault="00A93080">
      <w:pPr>
        <w:spacing w:before="0" w:after="0"/>
      </w:pPr>
      <w:r>
        <w:separator/>
      </w:r>
    </w:p>
  </w:endnote>
  <w:endnote w:type="continuationSeparator" w:id="0">
    <w:p w14:paraId="0B002E49" w14:textId="77777777" w:rsidR="00A93080" w:rsidRDefault="00A930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40C7" w14:textId="77777777" w:rsidR="00C91243" w:rsidRDefault="00C912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563F" w14:textId="77777777" w:rsidR="00C91243" w:rsidRDefault="001856D0">
    <w:pPr>
      <w:pStyle w:val="Voettekst"/>
    </w:pPr>
    <w:r>
      <w:t xml:space="preserve">Totaallijst feitelijke vragen Contourennota constitutionele toetsing (36600-VII-129)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6B10" w14:textId="77777777" w:rsidR="00C91243" w:rsidRDefault="00C912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49FF" w14:textId="77777777" w:rsidR="00A93080" w:rsidRDefault="00A93080">
      <w:pPr>
        <w:spacing w:before="0" w:after="0"/>
      </w:pPr>
      <w:r>
        <w:separator/>
      </w:r>
    </w:p>
  </w:footnote>
  <w:footnote w:type="continuationSeparator" w:id="0">
    <w:p w14:paraId="60FA3D1E" w14:textId="77777777" w:rsidR="00A93080" w:rsidRDefault="00A930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F284" w14:textId="77777777" w:rsidR="00C91243" w:rsidRDefault="00C912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4537" w14:textId="77777777" w:rsidR="00C91243" w:rsidRDefault="00C912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A101" w14:textId="77777777" w:rsidR="00C91243" w:rsidRDefault="00C912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E4117"/>
    <w:rsid w:val="00337F43"/>
    <w:rsid w:val="003D44DD"/>
    <w:rsid w:val="004B26AB"/>
    <w:rsid w:val="00520B3A"/>
    <w:rsid w:val="005354F3"/>
    <w:rsid w:val="005543A7"/>
    <w:rsid w:val="00884F45"/>
    <w:rsid w:val="00894624"/>
    <w:rsid w:val="009221D2"/>
    <w:rsid w:val="00A46A62"/>
    <w:rsid w:val="00A77C3E"/>
    <w:rsid w:val="00A93080"/>
    <w:rsid w:val="00B915EC"/>
    <w:rsid w:val="00C91243"/>
    <w:rsid w:val="00CD46B3"/>
    <w:rsid w:val="00E7153D"/>
    <w:rsid w:val="00FA2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26C42A"/>
  <w15:docId w15:val="{81EC91AB-2519-4314-836E-A8158723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804</ap:Words>
  <ap:Characters>4427</ap:Characters>
  <ap:DocSecurity>4</ap:DocSecurity>
  <ap:Lines>36</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2025-03-20T14:20:00.0000000Z</dcterms:created>
  <dcterms:modified xsi:type="dcterms:W3CDTF">2025-03-20T14:20:00.0000000Z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1fd465ea-bf84-42e3-871b-74c066bd16a4</vt:lpwstr>
  </property>
</Properties>
</file>