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6A2" w:rsidRDefault="00351B9B" w14:paraId="401CF1F3" w14:textId="77777777">
      <w:r>
        <w:t>Geachte voorzitter,</w:t>
      </w:r>
    </w:p>
    <w:p w:rsidR="009816A2" w:rsidRDefault="009816A2" w14:paraId="317ACA4D" w14:textId="77777777"/>
    <w:p w:rsidR="00351B9B" w:rsidP="00351B9B" w:rsidRDefault="00351B9B" w14:paraId="4EAFA957" w14:textId="77777777">
      <w:r w:rsidRPr="00A24FF0">
        <w:t xml:space="preserve">In opdracht van het ministerie van Financiën </w:t>
      </w:r>
      <w:r>
        <w:t xml:space="preserve">en het ministerie van Volkshuisvesting en Ruimtelijke Ordening </w:t>
      </w:r>
      <w:r w:rsidRPr="00A24FF0">
        <w:t xml:space="preserve">evalueerde onderzoeksbureau Stichting Economisch Onderzoek (SEO) </w:t>
      </w:r>
      <w:r>
        <w:t>vier vrijstellingen in de overdrachtsbelasting die verband houden met de woningmarkt. Dit is het vervolg op evaluatie van de Wet differentiatie overdrachtsbelasting en verhoging van het algemene tarief naar 10,4% dat ik op 17 september 2024 met uw Kamer heb gedeeld.</w:t>
      </w:r>
      <w:r>
        <w:rPr>
          <w:rStyle w:val="Voetnootmarkering"/>
        </w:rPr>
        <w:footnoteReference w:id="1"/>
      </w:r>
      <w:r>
        <w:t xml:space="preserve"> </w:t>
      </w:r>
      <w:r w:rsidRPr="00A24FF0">
        <w:t xml:space="preserve">SEO onderzocht onder andere hoe doeltreffend en doelmatig deze </w:t>
      </w:r>
      <w:r>
        <w:t xml:space="preserve">vier </w:t>
      </w:r>
      <w:r w:rsidRPr="00A24FF0">
        <w:t>fiscale regelingen zijn en noteerde de conclusies in het evaluatierapport “</w:t>
      </w:r>
      <w:r w:rsidRPr="0076327A">
        <w:rPr>
          <w:i/>
          <w:iCs/>
        </w:rPr>
        <w:t>Kopen zonder heffen – deelrapport</w:t>
      </w:r>
      <w:r>
        <w:rPr>
          <w:i/>
          <w:iCs/>
        </w:rPr>
        <w:t> </w:t>
      </w:r>
      <w:r w:rsidRPr="0076327A">
        <w:rPr>
          <w:i/>
          <w:iCs/>
        </w:rPr>
        <w:t>2</w:t>
      </w:r>
      <w:r w:rsidRPr="00A24FF0">
        <w:t>”, dat ik u hierbij</w:t>
      </w:r>
      <w:r>
        <w:t>, mede namens de Minister van Volkshuisvesting en Ruimtelijke Ordening,</w:t>
      </w:r>
      <w:r w:rsidRPr="00A24FF0">
        <w:t xml:space="preserve"> aanbied.</w:t>
      </w:r>
    </w:p>
    <w:p w:rsidR="00351B9B" w:rsidP="00351B9B" w:rsidRDefault="00351B9B" w14:paraId="44003F61" w14:textId="77777777"/>
    <w:p w:rsidR="00351B9B" w:rsidP="00351B9B" w:rsidRDefault="00351B9B" w14:paraId="588C3EBC" w14:textId="77777777">
      <w:pPr>
        <w:pStyle w:val="WitregelW1bodytekst"/>
      </w:pPr>
      <w:r w:rsidRPr="00A24FF0">
        <w:t xml:space="preserve">In de evaluatie </w:t>
      </w:r>
      <w:r>
        <w:t>worden de vier</w:t>
      </w:r>
      <w:r w:rsidRPr="00A24FF0">
        <w:t xml:space="preserve"> regeling</w:t>
      </w:r>
      <w:r>
        <w:t xml:space="preserve">en onder meer </w:t>
      </w:r>
      <w:r w:rsidRPr="00A24FF0">
        <w:t xml:space="preserve">beoordeeld op doeltreffendheid en doelmatigheid. </w:t>
      </w:r>
      <w:r>
        <w:t>In onderstaande tabel worden de resultaten getoond:</w:t>
      </w:r>
    </w:p>
    <w:p w:rsidR="00351B9B" w:rsidP="00351B9B" w:rsidRDefault="00351B9B" w14:paraId="174F8B9D" w14:textId="77777777"/>
    <w:tbl>
      <w:tblPr>
        <w:tblStyle w:val="Tabelraster"/>
        <w:tblW w:w="7538" w:type="dxa"/>
        <w:tblInd w:w="0" w:type="dxa"/>
        <w:tblLayout w:type="fixed"/>
        <w:tblLook w:val="04A0" w:firstRow="1" w:lastRow="0" w:firstColumn="1" w:lastColumn="0" w:noHBand="0" w:noVBand="1"/>
      </w:tblPr>
      <w:tblGrid>
        <w:gridCol w:w="1696"/>
        <w:gridCol w:w="1985"/>
        <w:gridCol w:w="1417"/>
        <w:gridCol w:w="1241"/>
        <w:gridCol w:w="1199"/>
      </w:tblGrid>
      <w:tr w:rsidR="00351B9B" w:rsidTr="00201FF4" w14:paraId="6911E695" w14:textId="77777777">
        <w:tc>
          <w:tcPr>
            <w:tcW w:w="1696" w:type="dxa"/>
            <w:shd w:val="clear" w:color="auto" w:fill="000000" w:themeFill="text1"/>
          </w:tcPr>
          <w:p w:rsidRPr="00C032ED" w:rsidR="00351B9B" w:rsidP="00201FF4" w:rsidRDefault="00351B9B" w14:paraId="61ABCD4A" w14:textId="77777777">
            <w:pPr>
              <w:pStyle w:val="Lijstalinea"/>
              <w:ind w:left="0"/>
              <w:rPr>
                <w:b/>
                <w:bCs/>
                <w:color w:val="FFFFFF" w:themeColor="background1"/>
              </w:rPr>
            </w:pPr>
            <w:r>
              <w:rPr>
                <w:b/>
                <w:bCs/>
                <w:color w:val="FFFFFF" w:themeColor="background1"/>
              </w:rPr>
              <w:t>Vrijstelling</w:t>
            </w:r>
          </w:p>
        </w:tc>
        <w:tc>
          <w:tcPr>
            <w:tcW w:w="1985" w:type="dxa"/>
            <w:shd w:val="clear" w:color="auto" w:fill="000000" w:themeFill="text1"/>
          </w:tcPr>
          <w:p w:rsidRPr="00C032ED" w:rsidR="00351B9B" w:rsidP="00201FF4" w:rsidRDefault="00351B9B" w14:paraId="16EF861F" w14:textId="77777777">
            <w:pPr>
              <w:pStyle w:val="Lijstalinea"/>
              <w:ind w:left="0"/>
              <w:rPr>
                <w:b/>
                <w:bCs/>
                <w:color w:val="FFFFFF" w:themeColor="background1"/>
              </w:rPr>
            </w:pPr>
            <w:r w:rsidRPr="00C032ED">
              <w:rPr>
                <w:b/>
                <w:bCs/>
                <w:color w:val="FFFFFF" w:themeColor="background1"/>
              </w:rPr>
              <w:t>Onderbouwing overheidsingrijpen</w:t>
            </w:r>
          </w:p>
        </w:tc>
        <w:tc>
          <w:tcPr>
            <w:tcW w:w="1417" w:type="dxa"/>
            <w:shd w:val="clear" w:color="auto" w:fill="000000" w:themeFill="text1"/>
          </w:tcPr>
          <w:p w:rsidRPr="00C032ED" w:rsidR="00351B9B" w:rsidP="00201FF4" w:rsidRDefault="00351B9B" w14:paraId="7DF91EDC" w14:textId="77777777">
            <w:pPr>
              <w:pStyle w:val="Lijstalinea"/>
              <w:ind w:left="0"/>
              <w:rPr>
                <w:b/>
                <w:bCs/>
                <w:color w:val="FFFFFF" w:themeColor="background1"/>
              </w:rPr>
            </w:pPr>
            <w:r w:rsidRPr="00C032ED">
              <w:rPr>
                <w:b/>
                <w:bCs/>
                <w:color w:val="FFFFFF" w:themeColor="background1"/>
              </w:rPr>
              <w:t>Doeltreffend</w:t>
            </w:r>
          </w:p>
        </w:tc>
        <w:tc>
          <w:tcPr>
            <w:tcW w:w="1241" w:type="dxa"/>
            <w:shd w:val="clear" w:color="auto" w:fill="000000" w:themeFill="text1"/>
          </w:tcPr>
          <w:p w:rsidRPr="00C032ED" w:rsidR="00351B9B" w:rsidP="00201FF4" w:rsidRDefault="00351B9B" w14:paraId="5921E8B0" w14:textId="77777777">
            <w:pPr>
              <w:pStyle w:val="Lijstalinea"/>
              <w:ind w:left="0"/>
              <w:rPr>
                <w:b/>
                <w:bCs/>
                <w:color w:val="FFFFFF" w:themeColor="background1"/>
              </w:rPr>
            </w:pPr>
            <w:r w:rsidRPr="00C032ED">
              <w:rPr>
                <w:b/>
                <w:bCs/>
                <w:color w:val="FFFFFF" w:themeColor="background1"/>
              </w:rPr>
              <w:t>Doelmatig</w:t>
            </w:r>
          </w:p>
        </w:tc>
        <w:tc>
          <w:tcPr>
            <w:tcW w:w="1199" w:type="dxa"/>
            <w:shd w:val="clear" w:color="auto" w:fill="000000" w:themeFill="text1"/>
          </w:tcPr>
          <w:p w:rsidRPr="00C032ED" w:rsidR="00351B9B" w:rsidP="00201FF4" w:rsidRDefault="00351B9B" w14:paraId="04E89111" w14:textId="77777777">
            <w:pPr>
              <w:pStyle w:val="Lijstalinea"/>
              <w:ind w:left="0"/>
              <w:rPr>
                <w:b/>
                <w:bCs/>
                <w:color w:val="FFFFFF" w:themeColor="background1"/>
              </w:rPr>
            </w:pPr>
            <w:r w:rsidRPr="00C032ED">
              <w:rPr>
                <w:b/>
                <w:bCs/>
                <w:color w:val="FFFFFF" w:themeColor="background1"/>
              </w:rPr>
              <w:t>Budgettair belang</w:t>
            </w:r>
          </w:p>
        </w:tc>
      </w:tr>
      <w:tr w:rsidR="00351B9B" w:rsidTr="00201FF4" w14:paraId="025371F0" w14:textId="77777777">
        <w:tc>
          <w:tcPr>
            <w:tcW w:w="1696" w:type="dxa"/>
          </w:tcPr>
          <w:p w:rsidR="00351B9B" w:rsidP="00201FF4" w:rsidRDefault="00351B9B" w14:paraId="6EC7BED0" w14:textId="77777777">
            <w:pPr>
              <w:pStyle w:val="Lijstalinea"/>
              <w:ind w:left="0"/>
            </w:pPr>
            <w:r>
              <w:t>Verkoop onder voorwaarden</w:t>
            </w:r>
          </w:p>
        </w:tc>
        <w:tc>
          <w:tcPr>
            <w:tcW w:w="1985" w:type="dxa"/>
          </w:tcPr>
          <w:p w:rsidR="00351B9B" w:rsidP="00201FF4" w:rsidRDefault="00351B9B" w14:paraId="7FF025D9" w14:textId="77777777">
            <w:pPr>
              <w:pStyle w:val="Lijstalinea"/>
              <w:ind w:left="0"/>
            </w:pPr>
            <w:r>
              <w:t>Ja</w:t>
            </w:r>
          </w:p>
        </w:tc>
        <w:tc>
          <w:tcPr>
            <w:tcW w:w="1417" w:type="dxa"/>
          </w:tcPr>
          <w:p w:rsidR="00351B9B" w:rsidP="00201FF4" w:rsidRDefault="00351B9B" w14:paraId="3AE8F270" w14:textId="77777777">
            <w:pPr>
              <w:pStyle w:val="Lijstalinea"/>
              <w:ind w:left="0"/>
            </w:pPr>
            <w:r>
              <w:t>Ja</w:t>
            </w:r>
          </w:p>
        </w:tc>
        <w:tc>
          <w:tcPr>
            <w:tcW w:w="1241" w:type="dxa"/>
          </w:tcPr>
          <w:p w:rsidR="00351B9B" w:rsidP="00201FF4" w:rsidRDefault="00351B9B" w14:paraId="15A98F3A" w14:textId="77777777">
            <w:pPr>
              <w:pStyle w:val="Lijstalinea"/>
              <w:ind w:left="0"/>
            </w:pPr>
            <w:r>
              <w:t>Ja</w:t>
            </w:r>
          </w:p>
        </w:tc>
        <w:tc>
          <w:tcPr>
            <w:tcW w:w="1199" w:type="dxa"/>
          </w:tcPr>
          <w:p w:rsidR="00351B9B" w:rsidP="00201FF4" w:rsidRDefault="00351B9B" w14:paraId="24E86410" w14:textId="77777777">
            <w:pPr>
              <w:pStyle w:val="Lijstalinea"/>
              <w:ind w:left="0"/>
            </w:pPr>
            <w:r>
              <w:t>Ca. € 50 mln. p/j.</w:t>
            </w:r>
          </w:p>
        </w:tc>
      </w:tr>
      <w:tr w:rsidR="00351B9B" w:rsidTr="00201FF4" w14:paraId="6C7C7231" w14:textId="77777777">
        <w:tc>
          <w:tcPr>
            <w:tcW w:w="1696" w:type="dxa"/>
          </w:tcPr>
          <w:p w:rsidRPr="0006411F" w:rsidR="00351B9B" w:rsidP="00201FF4" w:rsidRDefault="00351B9B" w14:paraId="5646B989" w14:textId="77777777">
            <w:pPr>
              <w:spacing w:line="240" w:lineRule="exact"/>
            </w:pPr>
            <w:r w:rsidRPr="0006411F">
              <w:t>Taakoverdracht</w:t>
            </w:r>
          </w:p>
          <w:p w:rsidR="00351B9B" w:rsidP="00201FF4" w:rsidRDefault="00351B9B" w14:paraId="7248A332" w14:textId="77777777">
            <w:pPr>
              <w:pStyle w:val="Lijstalinea"/>
              <w:ind w:left="0"/>
            </w:pPr>
          </w:p>
        </w:tc>
        <w:tc>
          <w:tcPr>
            <w:tcW w:w="1985" w:type="dxa"/>
          </w:tcPr>
          <w:p w:rsidR="00351B9B" w:rsidP="00201FF4" w:rsidRDefault="00351B9B" w14:paraId="67A9B19E" w14:textId="77777777">
            <w:pPr>
              <w:pStyle w:val="Lijstalinea"/>
              <w:ind w:left="0"/>
            </w:pPr>
            <w:r>
              <w:t>Ja</w:t>
            </w:r>
          </w:p>
        </w:tc>
        <w:tc>
          <w:tcPr>
            <w:tcW w:w="1417" w:type="dxa"/>
          </w:tcPr>
          <w:p w:rsidR="00351B9B" w:rsidP="00201FF4" w:rsidRDefault="00351B9B" w14:paraId="740FEF5C" w14:textId="77777777">
            <w:pPr>
              <w:pStyle w:val="Lijstalinea"/>
              <w:ind w:left="0"/>
            </w:pPr>
            <w:r>
              <w:t>Deels</w:t>
            </w:r>
            <w:r>
              <w:rPr>
                <w:rStyle w:val="Voetnootmarkering"/>
              </w:rPr>
              <w:footnoteReference w:id="2"/>
            </w:r>
          </w:p>
        </w:tc>
        <w:tc>
          <w:tcPr>
            <w:tcW w:w="1241" w:type="dxa"/>
          </w:tcPr>
          <w:p w:rsidR="00351B9B" w:rsidP="00201FF4" w:rsidRDefault="00351B9B" w14:paraId="225E8B05" w14:textId="77777777">
            <w:pPr>
              <w:pStyle w:val="Lijstalinea"/>
              <w:ind w:left="0"/>
            </w:pPr>
            <w:r>
              <w:t>Deels</w:t>
            </w:r>
          </w:p>
        </w:tc>
        <w:tc>
          <w:tcPr>
            <w:tcW w:w="1199" w:type="dxa"/>
          </w:tcPr>
          <w:p w:rsidR="00351B9B" w:rsidP="00201FF4" w:rsidRDefault="00351B9B" w14:paraId="2007F631" w14:textId="77777777">
            <w:pPr>
              <w:pStyle w:val="Lijstalinea"/>
              <w:ind w:left="0"/>
            </w:pPr>
            <w:r>
              <w:t>Onbekend</w:t>
            </w:r>
          </w:p>
        </w:tc>
      </w:tr>
      <w:tr w:rsidR="00351B9B" w:rsidTr="00201FF4" w14:paraId="5FF87A21" w14:textId="77777777">
        <w:tc>
          <w:tcPr>
            <w:tcW w:w="1696" w:type="dxa"/>
          </w:tcPr>
          <w:p w:rsidR="00351B9B" w:rsidP="00201FF4" w:rsidRDefault="00351B9B" w14:paraId="7D35AB12" w14:textId="77777777">
            <w:pPr>
              <w:pStyle w:val="Lijstalinea"/>
              <w:ind w:left="0"/>
            </w:pPr>
            <w:proofErr w:type="spellStart"/>
            <w:r>
              <w:t>Wijkontwikkelings</w:t>
            </w:r>
            <w:proofErr w:type="spellEnd"/>
            <w:r>
              <w:t>-maatschappij</w:t>
            </w:r>
          </w:p>
        </w:tc>
        <w:tc>
          <w:tcPr>
            <w:tcW w:w="1985" w:type="dxa"/>
          </w:tcPr>
          <w:p w:rsidR="00351B9B" w:rsidP="00201FF4" w:rsidRDefault="00351B9B" w14:paraId="0EF0D9B0" w14:textId="77777777">
            <w:pPr>
              <w:pStyle w:val="Lijstalinea"/>
              <w:ind w:left="0"/>
            </w:pPr>
            <w:r>
              <w:t>Ja</w:t>
            </w:r>
          </w:p>
        </w:tc>
        <w:tc>
          <w:tcPr>
            <w:tcW w:w="1417" w:type="dxa"/>
          </w:tcPr>
          <w:p w:rsidR="00351B9B" w:rsidP="00201FF4" w:rsidRDefault="00351B9B" w14:paraId="48DBEA10" w14:textId="77777777">
            <w:pPr>
              <w:pStyle w:val="Lijstalinea"/>
              <w:ind w:left="0"/>
            </w:pPr>
            <w:r>
              <w:t>Nee</w:t>
            </w:r>
          </w:p>
        </w:tc>
        <w:tc>
          <w:tcPr>
            <w:tcW w:w="1241" w:type="dxa"/>
          </w:tcPr>
          <w:p w:rsidR="00351B9B" w:rsidP="00201FF4" w:rsidRDefault="00351B9B" w14:paraId="37AF3956" w14:textId="77777777">
            <w:pPr>
              <w:pStyle w:val="Lijstalinea"/>
              <w:ind w:left="0"/>
            </w:pPr>
            <w:r>
              <w:t xml:space="preserve">Deels </w:t>
            </w:r>
          </w:p>
        </w:tc>
        <w:tc>
          <w:tcPr>
            <w:tcW w:w="1199" w:type="dxa"/>
          </w:tcPr>
          <w:p w:rsidR="00351B9B" w:rsidP="00201FF4" w:rsidRDefault="00351B9B" w14:paraId="583763B2" w14:textId="77777777">
            <w:pPr>
              <w:pStyle w:val="Lijstalinea"/>
              <w:ind w:left="0"/>
            </w:pPr>
            <w:r>
              <w:t xml:space="preserve">Onbekend, maar </w:t>
            </w:r>
            <w:proofErr w:type="spellStart"/>
            <w:r>
              <w:t>verwaarloos-baar</w:t>
            </w:r>
            <w:proofErr w:type="spellEnd"/>
          </w:p>
        </w:tc>
      </w:tr>
      <w:tr w:rsidR="00351B9B" w:rsidTr="00201FF4" w14:paraId="4E6F52E4" w14:textId="77777777">
        <w:tc>
          <w:tcPr>
            <w:tcW w:w="1696" w:type="dxa"/>
          </w:tcPr>
          <w:p w:rsidRPr="0006411F" w:rsidR="00351B9B" w:rsidP="00201FF4" w:rsidRDefault="00351B9B" w14:paraId="5A72355A" w14:textId="77777777">
            <w:pPr>
              <w:pStyle w:val="Lijstalinea"/>
              <w:ind w:left="0"/>
            </w:pPr>
            <w:proofErr w:type="spellStart"/>
            <w:r>
              <w:t>Wooninvesterings</w:t>
            </w:r>
            <w:proofErr w:type="spellEnd"/>
            <w:r>
              <w:t>-fonds</w:t>
            </w:r>
          </w:p>
        </w:tc>
        <w:tc>
          <w:tcPr>
            <w:tcW w:w="1985" w:type="dxa"/>
          </w:tcPr>
          <w:p w:rsidR="00351B9B" w:rsidP="00201FF4" w:rsidRDefault="00351B9B" w14:paraId="6A75B714" w14:textId="77777777">
            <w:pPr>
              <w:pStyle w:val="Lijstalinea"/>
              <w:ind w:left="0"/>
            </w:pPr>
            <w:r>
              <w:t>Nee, niet meer actueel</w:t>
            </w:r>
          </w:p>
        </w:tc>
        <w:tc>
          <w:tcPr>
            <w:tcW w:w="1417" w:type="dxa"/>
          </w:tcPr>
          <w:p w:rsidR="00351B9B" w:rsidP="00201FF4" w:rsidRDefault="00351B9B" w14:paraId="40FD5DFF" w14:textId="77777777">
            <w:pPr>
              <w:pStyle w:val="Lijstalinea"/>
              <w:ind w:left="0"/>
            </w:pPr>
            <w:proofErr w:type="spellStart"/>
            <w:r>
              <w:t>Nvt</w:t>
            </w:r>
            <w:proofErr w:type="spellEnd"/>
            <w:r>
              <w:rPr>
                <w:rStyle w:val="Voetnootmarkering"/>
              </w:rPr>
              <w:footnoteReference w:id="3"/>
            </w:r>
          </w:p>
        </w:tc>
        <w:tc>
          <w:tcPr>
            <w:tcW w:w="1241" w:type="dxa"/>
          </w:tcPr>
          <w:p w:rsidR="00351B9B" w:rsidP="00201FF4" w:rsidRDefault="00351B9B" w14:paraId="530BD069" w14:textId="77777777">
            <w:pPr>
              <w:pStyle w:val="Lijstalinea"/>
              <w:ind w:left="0"/>
            </w:pPr>
            <w:proofErr w:type="spellStart"/>
            <w:r>
              <w:t>Nvt</w:t>
            </w:r>
            <w:proofErr w:type="spellEnd"/>
          </w:p>
        </w:tc>
        <w:tc>
          <w:tcPr>
            <w:tcW w:w="1199" w:type="dxa"/>
          </w:tcPr>
          <w:p w:rsidR="00351B9B" w:rsidP="00201FF4" w:rsidRDefault="00351B9B" w14:paraId="07471EA5" w14:textId="77777777">
            <w:pPr>
              <w:pStyle w:val="Lijstalinea"/>
              <w:ind w:left="0"/>
            </w:pPr>
            <w:proofErr w:type="spellStart"/>
            <w:r>
              <w:t>Verwaarloos-baar</w:t>
            </w:r>
            <w:proofErr w:type="spellEnd"/>
          </w:p>
        </w:tc>
      </w:tr>
    </w:tbl>
    <w:p w:rsidR="00351B9B" w:rsidP="00351B9B" w:rsidRDefault="00351B9B" w14:paraId="1FCBE273" w14:textId="77777777"/>
    <w:p w:rsidR="009816A2" w:rsidRDefault="00351B9B" w14:paraId="6BBB25A6" w14:textId="77777777">
      <w:r w:rsidRPr="008B262D">
        <w:t>De uitkomsten van het onderzoek worden de komende tijd gewogen. Zoals beschreven in de begrotingsregels van dit kabinet geldt als uitgangspunt dat voor een negatief geëvalueerde fiscale regeling moet worden bezien of de regeling</w:t>
      </w:r>
      <w:r>
        <w:t xml:space="preserve"> </w:t>
      </w:r>
      <w:r w:rsidRPr="008B262D">
        <w:lastRenderedPageBreak/>
        <w:t xml:space="preserve">wordt afgeschaft, versoberd, hervormd of gemotiveerd gehandhaafd. </w:t>
      </w:r>
      <w:r>
        <w:t xml:space="preserve">Voor het zomerreces </w:t>
      </w:r>
      <w:r w:rsidRPr="008B262D">
        <w:t>volgt een kabinetsreactie.</w:t>
      </w:r>
    </w:p>
    <w:p w:rsidR="009816A2" w:rsidRDefault="009816A2" w14:paraId="05A04346" w14:textId="77777777">
      <w:pPr>
        <w:pStyle w:val="WitregelW1bodytekst"/>
      </w:pPr>
    </w:p>
    <w:p w:rsidRPr="00351B9B" w:rsidR="00351B9B" w:rsidP="00351B9B" w:rsidRDefault="00351B9B" w14:paraId="7041928B" w14:textId="77777777"/>
    <w:p w:rsidR="009816A2" w:rsidRDefault="00351B9B" w14:paraId="1E9FCE97" w14:textId="77777777">
      <w:r>
        <w:t>Hoogachtend,</w:t>
      </w:r>
    </w:p>
    <w:p w:rsidR="00351B9B" w:rsidRDefault="00351B9B" w14:paraId="73C54680" w14:textId="77777777"/>
    <w:p w:rsidR="00662D31" w:rsidRDefault="00351B9B" w14:paraId="722E9FEC" w14:textId="77777777">
      <w:r>
        <w:t>De </w:t>
      </w:r>
      <w:r w:rsidR="00662D31">
        <w:t>s</w:t>
      </w:r>
      <w:r>
        <w:t xml:space="preserve">taatssecretaris van </w:t>
      </w:r>
      <w:r w:rsidRPr="00351B9B">
        <w:t xml:space="preserve">Financiën </w:t>
      </w:r>
      <w:r w:rsidR="00662D31">
        <w:t>–</w:t>
      </w:r>
      <w:r w:rsidRPr="00351B9B">
        <w:t xml:space="preserve"> </w:t>
      </w:r>
    </w:p>
    <w:p w:rsidR="009816A2" w:rsidRDefault="00351B9B" w14:paraId="01BA11A8" w14:textId="77777777">
      <w:r w:rsidRPr="00351B9B">
        <w:t>Fiscaliteit, Belastingdienst en Douane,</w:t>
      </w:r>
    </w:p>
    <w:p w:rsidR="009816A2" w:rsidRDefault="009816A2" w14:paraId="5A440351" w14:textId="77777777"/>
    <w:p w:rsidR="009816A2" w:rsidRDefault="009816A2" w14:paraId="7E40177C" w14:textId="77777777"/>
    <w:p w:rsidR="009816A2" w:rsidRDefault="009816A2" w14:paraId="7BD1F7D0" w14:textId="77777777"/>
    <w:p w:rsidR="009816A2" w:rsidRDefault="009816A2" w14:paraId="411CEBDC" w14:textId="77777777"/>
    <w:p w:rsidR="00662D31" w:rsidRDefault="00662D31" w14:paraId="0D913629" w14:textId="77777777"/>
    <w:p w:rsidR="009816A2" w:rsidRDefault="00351B9B" w14:paraId="16D77134" w14:textId="77777777">
      <w:r>
        <w:t>T. van Oostenbruggen</w:t>
      </w:r>
      <w:r>
        <w:br/>
      </w:r>
    </w:p>
    <w:sectPr w:rsidR="009816A2">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65C5E" w14:textId="77777777" w:rsidR="00B12700" w:rsidRDefault="00B12700">
      <w:pPr>
        <w:spacing w:line="240" w:lineRule="auto"/>
      </w:pPr>
      <w:r>
        <w:separator/>
      </w:r>
    </w:p>
  </w:endnote>
  <w:endnote w:type="continuationSeparator" w:id="0">
    <w:p w14:paraId="1DAD1C60" w14:textId="77777777" w:rsidR="00B12700" w:rsidRDefault="00B12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A2EA" w14:textId="77777777" w:rsidR="009816A2" w:rsidRDefault="009816A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4C22" w14:textId="77777777" w:rsidR="00B12700" w:rsidRDefault="00B12700">
      <w:pPr>
        <w:spacing w:line="240" w:lineRule="auto"/>
      </w:pPr>
      <w:r>
        <w:separator/>
      </w:r>
    </w:p>
  </w:footnote>
  <w:footnote w:type="continuationSeparator" w:id="0">
    <w:p w14:paraId="76A43164" w14:textId="77777777" w:rsidR="00B12700" w:rsidRDefault="00B12700">
      <w:pPr>
        <w:spacing w:line="240" w:lineRule="auto"/>
      </w:pPr>
      <w:r>
        <w:continuationSeparator/>
      </w:r>
    </w:p>
  </w:footnote>
  <w:footnote w:id="1">
    <w:p w14:paraId="3C52C6A4" w14:textId="77777777" w:rsidR="00351B9B" w:rsidRPr="0076327A" w:rsidRDefault="00351B9B" w:rsidP="00351B9B">
      <w:pPr>
        <w:pStyle w:val="Voetnoottekst"/>
        <w:rPr>
          <w:sz w:val="16"/>
          <w:szCs w:val="16"/>
        </w:rPr>
      </w:pPr>
      <w:r w:rsidRPr="0076327A">
        <w:rPr>
          <w:rStyle w:val="Voetnootmarkering"/>
          <w:sz w:val="16"/>
          <w:szCs w:val="16"/>
        </w:rPr>
        <w:footnoteRef/>
      </w:r>
      <w:r w:rsidRPr="0076327A">
        <w:rPr>
          <w:sz w:val="16"/>
          <w:szCs w:val="16"/>
        </w:rPr>
        <w:t xml:space="preserve"> Kamerstukken II 2024/25, 36 602, nr. 5.</w:t>
      </w:r>
    </w:p>
  </w:footnote>
  <w:footnote w:id="2">
    <w:p w14:paraId="4E9B4F47" w14:textId="77777777" w:rsidR="00351B9B" w:rsidRPr="00DC4DE4" w:rsidRDefault="00351B9B" w:rsidP="00351B9B">
      <w:pPr>
        <w:pStyle w:val="Voetnoottekst"/>
        <w:rPr>
          <w:sz w:val="16"/>
          <w:szCs w:val="16"/>
        </w:rPr>
      </w:pPr>
      <w:r w:rsidRPr="00DC4DE4">
        <w:rPr>
          <w:rStyle w:val="Voetnootmarkering"/>
          <w:sz w:val="16"/>
          <w:szCs w:val="16"/>
        </w:rPr>
        <w:footnoteRef/>
      </w:r>
      <w:r w:rsidRPr="00DC4DE4">
        <w:rPr>
          <w:sz w:val="16"/>
          <w:szCs w:val="16"/>
        </w:rPr>
        <w:t xml:space="preserve"> Niet alle overdrachten die bijdragen aan het algemeen nut zoals gedefinieerd in de Nationale Prestatie Afspraken</w:t>
      </w:r>
      <w:r w:rsidRPr="00BC424A">
        <w:rPr>
          <w:sz w:val="16"/>
          <w:szCs w:val="16"/>
        </w:rPr>
        <w:t xml:space="preserve"> </w:t>
      </w:r>
      <w:r>
        <w:rPr>
          <w:sz w:val="16"/>
          <w:szCs w:val="16"/>
        </w:rPr>
        <w:t>tussen het Rijk, woningcorporaties en gemeenten</w:t>
      </w:r>
      <w:r w:rsidRPr="00DC4DE4">
        <w:rPr>
          <w:sz w:val="16"/>
          <w:szCs w:val="16"/>
        </w:rPr>
        <w:t xml:space="preserve"> kunnen aanspraak maken op de vrijstelling.</w:t>
      </w:r>
    </w:p>
  </w:footnote>
  <w:footnote w:id="3">
    <w:p w14:paraId="373D3E7F" w14:textId="77777777" w:rsidR="00351B9B" w:rsidRPr="0095137B" w:rsidRDefault="00351B9B" w:rsidP="00351B9B">
      <w:pPr>
        <w:pStyle w:val="Voetnoottekst"/>
        <w:rPr>
          <w:sz w:val="16"/>
          <w:szCs w:val="16"/>
        </w:rPr>
      </w:pPr>
      <w:r w:rsidRPr="0095137B">
        <w:rPr>
          <w:rStyle w:val="Voetnootmarkering"/>
          <w:sz w:val="16"/>
          <w:szCs w:val="16"/>
        </w:rPr>
        <w:footnoteRef/>
      </w:r>
      <w:r w:rsidRPr="0095137B">
        <w:rPr>
          <w:sz w:val="16"/>
          <w:szCs w:val="16"/>
        </w:rPr>
        <w:t xml:space="preserve"> Doeltreffendheid en doelmatigheid kunnen niet vastgesteld worden omdat de</w:t>
      </w:r>
      <w:r>
        <w:rPr>
          <w:sz w:val="16"/>
          <w:szCs w:val="16"/>
        </w:rPr>
        <w:t xml:space="preserve"> </w:t>
      </w:r>
      <w:r w:rsidRPr="0095137B">
        <w:rPr>
          <w:sz w:val="16"/>
          <w:szCs w:val="16"/>
        </w:rPr>
        <w:t xml:space="preserve">vrijstelling niet </w:t>
      </w:r>
      <w:r>
        <w:rPr>
          <w:sz w:val="16"/>
          <w:szCs w:val="16"/>
        </w:rPr>
        <w:t xml:space="preserve">(meer) </w:t>
      </w:r>
      <w:r w:rsidRPr="0095137B">
        <w:rPr>
          <w:sz w:val="16"/>
          <w:szCs w:val="16"/>
        </w:rPr>
        <w:t>wordt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4B66" w14:textId="77777777" w:rsidR="009816A2" w:rsidRDefault="00351B9B">
    <w:r>
      <w:rPr>
        <w:noProof/>
      </w:rPr>
      <mc:AlternateContent>
        <mc:Choice Requires="wps">
          <w:drawing>
            <wp:anchor distT="0" distB="0" distL="0" distR="0" simplePos="0" relativeHeight="251652096" behindDoc="0" locked="1" layoutInCell="1" allowOverlap="1" wp14:anchorId="47217CC8" wp14:editId="6ABCEED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587DBD9" w14:textId="77777777" w:rsidR="00351B9B" w:rsidRDefault="00351B9B"/>
                      </w:txbxContent>
                    </wps:txbx>
                    <wps:bodyPr vert="horz" wrap="square" lIns="0" tIns="0" rIns="0" bIns="0" anchor="t" anchorCtr="0"/>
                  </wps:wsp>
                </a:graphicData>
              </a:graphic>
            </wp:anchor>
          </w:drawing>
        </mc:Choice>
        <mc:Fallback>
          <w:pict>
            <v:shapetype w14:anchorId="47217CC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587DBD9" w14:textId="77777777" w:rsidR="00351B9B" w:rsidRDefault="00351B9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D23239D" wp14:editId="781A2DC0">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55D438" w14:textId="77777777" w:rsidR="009816A2" w:rsidRDefault="00351B9B">
                          <w:pPr>
                            <w:pStyle w:val="Referentiegegevensbold"/>
                          </w:pPr>
                          <w:r>
                            <w:t>Directoraat-Generaal voor Fiscale Zaken</w:t>
                          </w:r>
                        </w:p>
                        <w:p w14:paraId="72BB4CAC" w14:textId="77777777" w:rsidR="009816A2" w:rsidRDefault="00351B9B">
                          <w:pPr>
                            <w:pStyle w:val="Referentiegegevens"/>
                          </w:pPr>
                          <w:r>
                            <w:t>Directie Verbruiksbelastingen, Douane en Internationale aangelegenheden</w:t>
                          </w:r>
                        </w:p>
                        <w:p w14:paraId="167944A5" w14:textId="77777777" w:rsidR="009816A2" w:rsidRDefault="00351B9B">
                          <w:pPr>
                            <w:pStyle w:val="Referentiegegevens"/>
                          </w:pPr>
                          <w:r>
                            <w:t>Afdeling btw en Overdrachtsbelasting</w:t>
                          </w:r>
                        </w:p>
                        <w:p w14:paraId="454B1F9E" w14:textId="77777777" w:rsidR="009816A2" w:rsidRDefault="009816A2">
                          <w:pPr>
                            <w:pStyle w:val="WitregelW2"/>
                          </w:pPr>
                        </w:p>
                        <w:p w14:paraId="6E08DAA5" w14:textId="77777777" w:rsidR="009816A2" w:rsidRDefault="00351B9B">
                          <w:pPr>
                            <w:pStyle w:val="Referentiegegevensbold"/>
                          </w:pPr>
                          <w:r>
                            <w:t>Datum</w:t>
                          </w:r>
                        </w:p>
                        <w:p w14:paraId="64B8DB82" w14:textId="77777777" w:rsidR="004638A3" w:rsidRDefault="00D74470">
                          <w:pPr>
                            <w:pStyle w:val="Referentiegegevens"/>
                          </w:pPr>
                          <w:r>
                            <w:fldChar w:fldCharType="begin"/>
                          </w:r>
                          <w:r>
                            <w:instrText xml:space="preserve"> DOCPROPERTY  "Datum"  \* MERGEFORMAT </w:instrText>
                          </w:r>
                          <w:r>
                            <w:fldChar w:fldCharType="end"/>
                          </w:r>
                        </w:p>
                        <w:p w14:paraId="22C9F5E7" w14:textId="77777777" w:rsidR="009816A2" w:rsidRDefault="009816A2">
                          <w:pPr>
                            <w:pStyle w:val="WitregelW1"/>
                          </w:pPr>
                        </w:p>
                        <w:p w14:paraId="38EB5312" w14:textId="77777777" w:rsidR="009816A2" w:rsidRDefault="00351B9B">
                          <w:pPr>
                            <w:pStyle w:val="Referentiegegevensbold"/>
                          </w:pPr>
                          <w:r>
                            <w:t>Ons kenmerk</w:t>
                          </w:r>
                        </w:p>
                        <w:p w14:paraId="36DE9D33" w14:textId="77777777" w:rsidR="004638A3" w:rsidRDefault="00D74470">
                          <w:pPr>
                            <w:pStyle w:val="Referentiegegevens"/>
                          </w:pPr>
                          <w:fldSimple w:instr=" DOCPROPERTY  &quot;Kenmerk&quot;  \* MERGEFORMAT ">
                            <w:r w:rsidR="009549B8">
                              <w:t>2025-0000078450</w:t>
                            </w:r>
                          </w:fldSimple>
                        </w:p>
                      </w:txbxContent>
                    </wps:txbx>
                    <wps:bodyPr vert="horz" wrap="square" lIns="0" tIns="0" rIns="0" bIns="0" anchor="t" anchorCtr="0"/>
                  </wps:wsp>
                </a:graphicData>
              </a:graphic>
            </wp:anchor>
          </w:drawing>
        </mc:Choice>
        <mc:Fallback>
          <w:pict>
            <v:shape w14:anchorId="6D232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755D438" w14:textId="77777777" w:rsidR="009816A2" w:rsidRDefault="00351B9B">
                    <w:pPr>
                      <w:pStyle w:val="Referentiegegevensbold"/>
                    </w:pPr>
                    <w:r>
                      <w:t>Directoraat-Generaal voor Fiscale Zaken</w:t>
                    </w:r>
                  </w:p>
                  <w:p w14:paraId="72BB4CAC" w14:textId="77777777" w:rsidR="009816A2" w:rsidRDefault="00351B9B">
                    <w:pPr>
                      <w:pStyle w:val="Referentiegegevens"/>
                    </w:pPr>
                    <w:r>
                      <w:t>Directie Verbruiksbelastingen, Douane en Internationale aangelegenheden</w:t>
                    </w:r>
                  </w:p>
                  <w:p w14:paraId="167944A5" w14:textId="77777777" w:rsidR="009816A2" w:rsidRDefault="00351B9B">
                    <w:pPr>
                      <w:pStyle w:val="Referentiegegevens"/>
                    </w:pPr>
                    <w:r>
                      <w:t>Afdeling btw en Overdrachtsbelasting</w:t>
                    </w:r>
                  </w:p>
                  <w:p w14:paraId="454B1F9E" w14:textId="77777777" w:rsidR="009816A2" w:rsidRDefault="009816A2">
                    <w:pPr>
                      <w:pStyle w:val="WitregelW2"/>
                    </w:pPr>
                  </w:p>
                  <w:p w14:paraId="6E08DAA5" w14:textId="77777777" w:rsidR="009816A2" w:rsidRDefault="00351B9B">
                    <w:pPr>
                      <w:pStyle w:val="Referentiegegevensbold"/>
                    </w:pPr>
                    <w:r>
                      <w:t>Datum</w:t>
                    </w:r>
                  </w:p>
                  <w:p w14:paraId="64B8DB82" w14:textId="77777777" w:rsidR="004638A3" w:rsidRDefault="00D74470">
                    <w:pPr>
                      <w:pStyle w:val="Referentiegegevens"/>
                    </w:pPr>
                    <w:r>
                      <w:fldChar w:fldCharType="begin"/>
                    </w:r>
                    <w:r>
                      <w:instrText xml:space="preserve"> DOCPROPERTY  "Datum"  \* MERGEFORMAT </w:instrText>
                    </w:r>
                    <w:r>
                      <w:fldChar w:fldCharType="end"/>
                    </w:r>
                  </w:p>
                  <w:p w14:paraId="22C9F5E7" w14:textId="77777777" w:rsidR="009816A2" w:rsidRDefault="009816A2">
                    <w:pPr>
                      <w:pStyle w:val="WitregelW1"/>
                    </w:pPr>
                  </w:p>
                  <w:p w14:paraId="38EB5312" w14:textId="77777777" w:rsidR="009816A2" w:rsidRDefault="00351B9B">
                    <w:pPr>
                      <w:pStyle w:val="Referentiegegevensbold"/>
                    </w:pPr>
                    <w:r>
                      <w:t>Ons kenmerk</w:t>
                    </w:r>
                  </w:p>
                  <w:p w14:paraId="36DE9D33" w14:textId="77777777" w:rsidR="004638A3" w:rsidRDefault="00D74470">
                    <w:pPr>
                      <w:pStyle w:val="Referentiegegevens"/>
                    </w:pPr>
                    <w:fldSimple w:instr=" DOCPROPERTY  &quot;Kenmerk&quot;  \* MERGEFORMAT ">
                      <w:r w:rsidR="009549B8">
                        <w:t>2025-0000078450</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5A185C" wp14:editId="5E6553C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129167" w14:textId="77777777" w:rsidR="00351B9B" w:rsidRDefault="00351B9B"/>
                      </w:txbxContent>
                    </wps:txbx>
                    <wps:bodyPr vert="horz" wrap="square" lIns="0" tIns="0" rIns="0" bIns="0" anchor="t" anchorCtr="0"/>
                  </wps:wsp>
                </a:graphicData>
              </a:graphic>
            </wp:anchor>
          </w:drawing>
        </mc:Choice>
        <mc:Fallback>
          <w:pict>
            <v:shape w14:anchorId="1F5A185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E129167" w14:textId="77777777" w:rsidR="00351B9B" w:rsidRDefault="00351B9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04B77F1" wp14:editId="1A454E6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F7C2AB" w14:textId="77777777" w:rsidR="004638A3" w:rsidRDefault="00D7447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04B77F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0F7C2AB" w14:textId="77777777" w:rsidR="004638A3" w:rsidRDefault="00D7447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20B3B" w14:textId="77777777" w:rsidR="009816A2" w:rsidRDefault="00351B9B">
    <w:pPr>
      <w:spacing w:after="6377" w:line="14" w:lineRule="exact"/>
    </w:pPr>
    <w:r>
      <w:rPr>
        <w:noProof/>
      </w:rPr>
      <mc:AlternateContent>
        <mc:Choice Requires="wps">
          <w:drawing>
            <wp:anchor distT="0" distB="0" distL="0" distR="0" simplePos="0" relativeHeight="251656192" behindDoc="0" locked="1" layoutInCell="1" allowOverlap="1" wp14:anchorId="6FDE07B4" wp14:editId="33DA845F">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BB0EDF" w14:textId="77777777" w:rsidR="009816A2" w:rsidRDefault="009816A2">
                          <w:pPr>
                            <w:spacing w:line="240" w:lineRule="auto"/>
                          </w:pPr>
                        </w:p>
                      </w:txbxContent>
                    </wps:txbx>
                    <wps:bodyPr vert="horz" wrap="square" lIns="0" tIns="0" rIns="0" bIns="0" anchor="t" anchorCtr="0"/>
                  </wps:wsp>
                </a:graphicData>
              </a:graphic>
            </wp:anchor>
          </w:drawing>
        </mc:Choice>
        <mc:Fallback>
          <w:pict>
            <v:shapetype w14:anchorId="6FDE07B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6BB0EDF" w14:textId="77777777" w:rsidR="009816A2" w:rsidRDefault="009816A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14ED47" wp14:editId="7ADFA28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0F0879" w14:textId="77777777" w:rsidR="009816A2" w:rsidRDefault="00351B9B">
                          <w:pPr>
                            <w:spacing w:line="240" w:lineRule="auto"/>
                          </w:pPr>
                          <w:r>
                            <w:rPr>
                              <w:noProof/>
                            </w:rPr>
                            <w:drawing>
                              <wp:inline distT="0" distB="0" distL="0" distR="0" wp14:anchorId="2FE8F9D1" wp14:editId="17C4951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4ED4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B0F0879" w14:textId="77777777" w:rsidR="009816A2" w:rsidRDefault="00351B9B">
                    <w:pPr>
                      <w:spacing w:line="240" w:lineRule="auto"/>
                    </w:pPr>
                    <w:r>
                      <w:rPr>
                        <w:noProof/>
                      </w:rPr>
                      <w:drawing>
                        <wp:inline distT="0" distB="0" distL="0" distR="0" wp14:anchorId="2FE8F9D1" wp14:editId="17C49514">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06BA1F5" wp14:editId="6C3130C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DF49B7" w14:textId="77777777" w:rsidR="009816A2" w:rsidRDefault="00351B9B">
                          <w:pPr>
                            <w:pStyle w:val="Referentiegegevens"/>
                          </w:pPr>
                          <w:r>
                            <w:t xml:space="preserve">&gt; </w:t>
                          </w:r>
                          <w:r w:rsidRPr="00351B9B">
                            <w:t>POSTBUS 20201 2500 EE 's-Gravenhage</w:t>
                          </w:r>
                        </w:p>
                      </w:txbxContent>
                    </wps:txbx>
                    <wps:bodyPr vert="horz" wrap="square" lIns="0" tIns="0" rIns="0" bIns="0" anchor="t" anchorCtr="0"/>
                  </wps:wsp>
                </a:graphicData>
              </a:graphic>
            </wp:anchor>
          </w:drawing>
        </mc:Choice>
        <mc:Fallback>
          <w:pict>
            <v:shape w14:anchorId="706BA1F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DF49B7" w14:textId="77777777" w:rsidR="009816A2" w:rsidRDefault="00351B9B">
                    <w:pPr>
                      <w:pStyle w:val="Referentiegegevens"/>
                    </w:pPr>
                    <w:r>
                      <w:t xml:space="preserve">&gt; </w:t>
                    </w:r>
                    <w:r w:rsidRPr="00351B9B">
                      <w:t>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286CF3" wp14:editId="47E8847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27A695A" w14:textId="77777777" w:rsidR="00351B9B" w:rsidRDefault="00351B9B" w:rsidP="00351B9B">
                          <w:r>
                            <w:t>Voorzitter van de Tweede Kamer der Staten-Generaal</w:t>
                          </w:r>
                        </w:p>
                        <w:p w14:paraId="1D2868F4" w14:textId="77777777" w:rsidR="00351B9B" w:rsidRDefault="00351B9B" w:rsidP="00351B9B">
                          <w:r>
                            <w:t>Postbus 20018</w:t>
                          </w:r>
                        </w:p>
                        <w:p w14:paraId="324F2884" w14:textId="77777777" w:rsidR="009816A2" w:rsidRDefault="00351B9B" w:rsidP="00351B9B">
                          <w:r>
                            <w:t>2500 EA DEN HAAG</w:t>
                          </w:r>
                        </w:p>
                      </w:txbxContent>
                    </wps:txbx>
                    <wps:bodyPr vert="horz" wrap="square" lIns="0" tIns="0" rIns="0" bIns="0" anchor="t" anchorCtr="0"/>
                  </wps:wsp>
                </a:graphicData>
              </a:graphic>
            </wp:anchor>
          </w:drawing>
        </mc:Choice>
        <mc:Fallback>
          <w:pict>
            <v:shape w14:anchorId="36286CF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27A695A" w14:textId="77777777" w:rsidR="00351B9B" w:rsidRDefault="00351B9B" w:rsidP="00351B9B">
                    <w:r>
                      <w:t>Voorzitter van de Tweede Kamer der Staten-Generaal</w:t>
                    </w:r>
                  </w:p>
                  <w:p w14:paraId="1D2868F4" w14:textId="77777777" w:rsidR="00351B9B" w:rsidRDefault="00351B9B" w:rsidP="00351B9B">
                    <w:r>
                      <w:t>Postbus 20018</w:t>
                    </w:r>
                  </w:p>
                  <w:p w14:paraId="324F2884" w14:textId="77777777" w:rsidR="009816A2" w:rsidRDefault="00351B9B" w:rsidP="00351B9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E2E8912" wp14:editId="1A4D4817">
              <wp:simplePos x="0" y="0"/>
              <wp:positionH relativeFrom="margin">
                <wp:align>right</wp:align>
              </wp:positionH>
              <wp:positionV relativeFrom="page">
                <wp:posOffset>3352165</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816A2" w14:paraId="339C1E0A" w14:textId="77777777">
                            <w:trPr>
                              <w:trHeight w:val="240"/>
                            </w:trPr>
                            <w:tc>
                              <w:tcPr>
                                <w:tcW w:w="1140" w:type="dxa"/>
                              </w:tcPr>
                              <w:p w14:paraId="1477FAFE" w14:textId="77777777" w:rsidR="009816A2" w:rsidRDefault="00351B9B">
                                <w:r>
                                  <w:t>Datum</w:t>
                                </w:r>
                              </w:p>
                            </w:tc>
                            <w:tc>
                              <w:tcPr>
                                <w:tcW w:w="5918" w:type="dxa"/>
                              </w:tcPr>
                              <w:p w14:paraId="59E4A509" w14:textId="70E34A78" w:rsidR="009816A2" w:rsidRDefault="009549B8">
                                <w:r>
                                  <w:t>20 maart 2025</w:t>
                                </w:r>
                              </w:p>
                            </w:tc>
                          </w:tr>
                          <w:tr w:rsidR="009816A2" w14:paraId="5C5E6FB9" w14:textId="77777777">
                            <w:trPr>
                              <w:trHeight w:val="240"/>
                            </w:trPr>
                            <w:tc>
                              <w:tcPr>
                                <w:tcW w:w="1140" w:type="dxa"/>
                              </w:tcPr>
                              <w:p w14:paraId="07394253" w14:textId="77777777" w:rsidR="009816A2" w:rsidRDefault="00351B9B">
                                <w:r>
                                  <w:t>Betreft</w:t>
                                </w:r>
                              </w:p>
                            </w:tc>
                            <w:tc>
                              <w:tcPr>
                                <w:tcW w:w="5918" w:type="dxa"/>
                              </w:tcPr>
                              <w:p w14:paraId="3AB211B7" w14:textId="77777777" w:rsidR="004638A3" w:rsidRDefault="00D74470">
                                <w:fldSimple w:instr=" DOCPROPERTY  &quot;Onderwerp&quot;  \* MERGEFORMAT ">
                                  <w:r w:rsidR="009549B8">
                                    <w:t>Aanbieding rapport Evaluatie vrijstellingen overdrachtsbelasting woningmarkt deel 2</w:t>
                                  </w:r>
                                </w:fldSimple>
                              </w:p>
                            </w:tc>
                          </w:tr>
                        </w:tbl>
                        <w:p w14:paraId="2DF0E8AC" w14:textId="77777777" w:rsidR="00351B9B" w:rsidRDefault="00351B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2E8912" id="1670fa0c-13cb-45ec-92be-ef1f34d237c5" o:spid="_x0000_s1034" type="#_x0000_t202" style="position:absolute;margin-left:325.8pt;margin-top:263.95pt;width:377pt;height:42.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D7&#10;6Lct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816A2" w14:paraId="339C1E0A" w14:textId="77777777">
                      <w:trPr>
                        <w:trHeight w:val="240"/>
                      </w:trPr>
                      <w:tc>
                        <w:tcPr>
                          <w:tcW w:w="1140" w:type="dxa"/>
                        </w:tcPr>
                        <w:p w14:paraId="1477FAFE" w14:textId="77777777" w:rsidR="009816A2" w:rsidRDefault="00351B9B">
                          <w:r>
                            <w:t>Datum</w:t>
                          </w:r>
                        </w:p>
                      </w:tc>
                      <w:tc>
                        <w:tcPr>
                          <w:tcW w:w="5918" w:type="dxa"/>
                        </w:tcPr>
                        <w:p w14:paraId="59E4A509" w14:textId="70E34A78" w:rsidR="009816A2" w:rsidRDefault="009549B8">
                          <w:r>
                            <w:t>20 maart 2025</w:t>
                          </w:r>
                        </w:p>
                      </w:tc>
                    </w:tr>
                    <w:tr w:rsidR="009816A2" w14:paraId="5C5E6FB9" w14:textId="77777777">
                      <w:trPr>
                        <w:trHeight w:val="240"/>
                      </w:trPr>
                      <w:tc>
                        <w:tcPr>
                          <w:tcW w:w="1140" w:type="dxa"/>
                        </w:tcPr>
                        <w:p w14:paraId="07394253" w14:textId="77777777" w:rsidR="009816A2" w:rsidRDefault="00351B9B">
                          <w:r>
                            <w:t>Betreft</w:t>
                          </w:r>
                        </w:p>
                      </w:tc>
                      <w:tc>
                        <w:tcPr>
                          <w:tcW w:w="5918" w:type="dxa"/>
                        </w:tcPr>
                        <w:p w14:paraId="3AB211B7" w14:textId="77777777" w:rsidR="004638A3" w:rsidRDefault="00D74470">
                          <w:fldSimple w:instr=" DOCPROPERTY  &quot;Onderwerp&quot;  \* MERGEFORMAT ">
                            <w:r w:rsidR="009549B8">
                              <w:t>Aanbieding rapport Evaluatie vrijstellingen overdrachtsbelasting woningmarkt deel 2</w:t>
                            </w:r>
                          </w:fldSimple>
                        </w:p>
                      </w:tc>
                    </w:tr>
                  </w:tbl>
                  <w:p w14:paraId="2DF0E8AC" w14:textId="77777777" w:rsidR="00351B9B" w:rsidRDefault="00351B9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1D357F3" wp14:editId="43E1C49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648278" w14:textId="77777777" w:rsidR="009816A2" w:rsidRDefault="00351B9B">
                          <w:pPr>
                            <w:pStyle w:val="Referentiegegevensbold"/>
                          </w:pPr>
                          <w:r>
                            <w:t>Directoraat-Generaal voor Fiscale Zaken</w:t>
                          </w:r>
                        </w:p>
                        <w:p w14:paraId="0EEE10EF" w14:textId="77777777" w:rsidR="00351B9B" w:rsidRPr="00351B9B" w:rsidRDefault="00351B9B" w:rsidP="00351B9B"/>
                        <w:p w14:paraId="5E0C6468" w14:textId="77777777" w:rsidR="009816A2" w:rsidRDefault="00351B9B">
                          <w:pPr>
                            <w:pStyle w:val="Referentiegegevens"/>
                          </w:pPr>
                          <w:r>
                            <w:t>Korte Voorhout 7</w:t>
                          </w:r>
                        </w:p>
                        <w:p w14:paraId="1C74E3D8" w14:textId="77777777" w:rsidR="009816A2" w:rsidRDefault="00351B9B">
                          <w:pPr>
                            <w:pStyle w:val="Referentiegegevens"/>
                          </w:pPr>
                          <w:r>
                            <w:t xml:space="preserve">2511 CW  </w:t>
                          </w:r>
                          <w:r w:rsidR="00B12700">
                            <w:t>’</w:t>
                          </w:r>
                          <w:r>
                            <w:t>S-GRAVENHAGE</w:t>
                          </w:r>
                        </w:p>
                        <w:p w14:paraId="4B5584D3" w14:textId="77777777" w:rsidR="00B12700" w:rsidRDefault="00B12700" w:rsidP="00B12700">
                          <w:pPr>
                            <w:pStyle w:val="Referentiegegevens"/>
                          </w:pPr>
                          <w:r>
                            <w:t>POSTBUS 20201</w:t>
                          </w:r>
                        </w:p>
                        <w:p w14:paraId="2AD564B3" w14:textId="77777777" w:rsidR="00B12700" w:rsidRDefault="00B12700" w:rsidP="00B12700">
                          <w:pPr>
                            <w:pStyle w:val="Referentiegegevens"/>
                          </w:pPr>
                          <w:r>
                            <w:t>2500 EE  's-Gravenhage</w:t>
                          </w:r>
                        </w:p>
                        <w:p w14:paraId="5784FCE5" w14:textId="77777777" w:rsidR="00B12700" w:rsidRPr="00B12700" w:rsidRDefault="00B12700" w:rsidP="00B12700"/>
                        <w:p w14:paraId="23E6BD2D" w14:textId="77777777" w:rsidR="009816A2" w:rsidRDefault="009816A2">
                          <w:pPr>
                            <w:pStyle w:val="WitregelW1"/>
                          </w:pPr>
                        </w:p>
                        <w:p w14:paraId="65F434F9" w14:textId="77777777" w:rsidR="009816A2" w:rsidRDefault="00351B9B">
                          <w:pPr>
                            <w:pStyle w:val="Referentiegegevensbold"/>
                          </w:pPr>
                          <w:r>
                            <w:t>Ons kenmerk</w:t>
                          </w:r>
                        </w:p>
                        <w:p w14:paraId="64A11530" w14:textId="77777777" w:rsidR="004638A3" w:rsidRDefault="00D74470">
                          <w:pPr>
                            <w:pStyle w:val="Referentiegegevens"/>
                          </w:pPr>
                          <w:fldSimple w:instr=" DOCPROPERTY  &quot;Kenmerk&quot;  \* MERGEFORMAT ">
                            <w:r w:rsidR="009549B8">
                              <w:t>2025-0000078450</w:t>
                            </w:r>
                          </w:fldSimple>
                        </w:p>
                        <w:p w14:paraId="12B6BF63" w14:textId="77777777" w:rsidR="009816A2" w:rsidRDefault="009816A2">
                          <w:pPr>
                            <w:pStyle w:val="WitregelW1"/>
                          </w:pPr>
                        </w:p>
                        <w:p w14:paraId="07D8F07E" w14:textId="77777777" w:rsidR="009816A2" w:rsidRDefault="00351B9B">
                          <w:pPr>
                            <w:pStyle w:val="Referentiegegevensbold"/>
                          </w:pPr>
                          <w:r>
                            <w:t>Uw kenmerk</w:t>
                          </w:r>
                        </w:p>
                        <w:p w14:paraId="288EB5BE" w14:textId="77777777" w:rsidR="004638A3" w:rsidRDefault="00D74470">
                          <w:pPr>
                            <w:pStyle w:val="Referentiegegevens"/>
                          </w:pPr>
                          <w:r>
                            <w:fldChar w:fldCharType="begin"/>
                          </w:r>
                          <w:r>
                            <w:instrText xml:space="preserve"> DOCPROPERTY  "UwKenmerk"  \* MERGEFORMAT </w:instrText>
                          </w:r>
                          <w:r>
                            <w:fldChar w:fldCharType="end"/>
                          </w:r>
                        </w:p>
                        <w:p w14:paraId="05DEF4B2" w14:textId="77777777" w:rsidR="009816A2" w:rsidRDefault="009816A2">
                          <w:pPr>
                            <w:pStyle w:val="WitregelW1"/>
                          </w:pPr>
                        </w:p>
                        <w:p w14:paraId="555E0CC1" w14:textId="77777777" w:rsidR="009816A2" w:rsidRDefault="00351B9B">
                          <w:pPr>
                            <w:pStyle w:val="Referentiegegevensbold"/>
                          </w:pPr>
                          <w:r>
                            <w:t>Bijlage(n)</w:t>
                          </w:r>
                        </w:p>
                        <w:p w14:paraId="141C3BE1" w14:textId="77777777" w:rsidR="009816A2" w:rsidRDefault="00351B9B">
                          <w:pPr>
                            <w:pStyle w:val="Referentiegegevens"/>
                          </w:pPr>
                          <w:r>
                            <w:t>1. Evaluatierapport</w:t>
                          </w:r>
                        </w:p>
                      </w:txbxContent>
                    </wps:txbx>
                    <wps:bodyPr vert="horz" wrap="square" lIns="0" tIns="0" rIns="0" bIns="0" anchor="t" anchorCtr="0"/>
                  </wps:wsp>
                </a:graphicData>
              </a:graphic>
            </wp:anchor>
          </w:drawing>
        </mc:Choice>
        <mc:Fallback>
          <w:pict>
            <v:shape w14:anchorId="21D357F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4648278" w14:textId="77777777" w:rsidR="009816A2" w:rsidRDefault="00351B9B">
                    <w:pPr>
                      <w:pStyle w:val="Referentiegegevensbold"/>
                    </w:pPr>
                    <w:r>
                      <w:t>Directoraat-Generaal voor Fiscale Zaken</w:t>
                    </w:r>
                  </w:p>
                  <w:p w14:paraId="0EEE10EF" w14:textId="77777777" w:rsidR="00351B9B" w:rsidRPr="00351B9B" w:rsidRDefault="00351B9B" w:rsidP="00351B9B"/>
                  <w:p w14:paraId="5E0C6468" w14:textId="77777777" w:rsidR="009816A2" w:rsidRDefault="00351B9B">
                    <w:pPr>
                      <w:pStyle w:val="Referentiegegevens"/>
                    </w:pPr>
                    <w:r>
                      <w:t>Korte Voorhout 7</w:t>
                    </w:r>
                  </w:p>
                  <w:p w14:paraId="1C74E3D8" w14:textId="77777777" w:rsidR="009816A2" w:rsidRDefault="00351B9B">
                    <w:pPr>
                      <w:pStyle w:val="Referentiegegevens"/>
                    </w:pPr>
                    <w:r>
                      <w:t xml:space="preserve">2511 CW  </w:t>
                    </w:r>
                    <w:r w:rsidR="00B12700">
                      <w:t>’</w:t>
                    </w:r>
                    <w:r>
                      <w:t>S-GRAVENHAGE</w:t>
                    </w:r>
                  </w:p>
                  <w:p w14:paraId="4B5584D3" w14:textId="77777777" w:rsidR="00B12700" w:rsidRDefault="00B12700" w:rsidP="00B12700">
                    <w:pPr>
                      <w:pStyle w:val="Referentiegegevens"/>
                    </w:pPr>
                    <w:r>
                      <w:t>POSTBUS 20201</w:t>
                    </w:r>
                  </w:p>
                  <w:p w14:paraId="2AD564B3" w14:textId="77777777" w:rsidR="00B12700" w:rsidRDefault="00B12700" w:rsidP="00B12700">
                    <w:pPr>
                      <w:pStyle w:val="Referentiegegevens"/>
                    </w:pPr>
                    <w:r>
                      <w:t>2500 EE  's-Gravenhage</w:t>
                    </w:r>
                  </w:p>
                  <w:p w14:paraId="5784FCE5" w14:textId="77777777" w:rsidR="00B12700" w:rsidRPr="00B12700" w:rsidRDefault="00B12700" w:rsidP="00B12700"/>
                  <w:p w14:paraId="23E6BD2D" w14:textId="77777777" w:rsidR="009816A2" w:rsidRDefault="009816A2">
                    <w:pPr>
                      <w:pStyle w:val="WitregelW1"/>
                    </w:pPr>
                  </w:p>
                  <w:p w14:paraId="65F434F9" w14:textId="77777777" w:rsidR="009816A2" w:rsidRDefault="00351B9B">
                    <w:pPr>
                      <w:pStyle w:val="Referentiegegevensbold"/>
                    </w:pPr>
                    <w:r>
                      <w:t>Ons kenmerk</w:t>
                    </w:r>
                  </w:p>
                  <w:p w14:paraId="64A11530" w14:textId="77777777" w:rsidR="004638A3" w:rsidRDefault="00D74470">
                    <w:pPr>
                      <w:pStyle w:val="Referentiegegevens"/>
                    </w:pPr>
                    <w:fldSimple w:instr=" DOCPROPERTY  &quot;Kenmerk&quot;  \* MERGEFORMAT ">
                      <w:r w:rsidR="009549B8">
                        <w:t>2025-0000078450</w:t>
                      </w:r>
                    </w:fldSimple>
                  </w:p>
                  <w:p w14:paraId="12B6BF63" w14:textId="77777777" w:rsidR="009816A2" w:rsidRDefault="009816A2">
                    <w:pPr>
                      <w:pStyle w:val="WitregelW1"/>
                    </w:pPr>
                  </w:p>
                  <w:p w14:paraId="07D8F07E" w14:textId="77777777" w:rsidR="009816A2" w:rsidRDefault="00351B9B">
                    <w:pPr>
                      <w:pStyle w:val="Referentiegegevensbold"/>
                    </w:pPr>
                    <w:r>
                      <w:t>Uw kenmerk</w:t>
                    </w:r>
                  </w:p>
                  <w:p w14:paraId="288EB5BE" w14:textId="77777777" w:rsidR="004638A3" w:rsidRDefault="00D74470">
                    <w:pPr>
                      <w:pStyle w:val="Referentiegegevens"/>
                    </w:pPr>
                    <w:r>
                      <w:fldChar w:fldCharType="begin"/>
                    </w:r>
                    <w:r>
                      <w:instrText xml:space="preserve"> DOCPROPERTY  "UwKenmerk"  \* MERGEFORMAT </w:instrText>
                    </w:r>
                    <w:r>
                      <w:fldChar w:fldCharType="end"/>
                    </w:r>
                  </w:p>
                  <w:p w14:paraId="05DEF4B2" w14:textId="77777777" w:rsidR="009816A2" w:rsidRDefault="009816A2">
                    <w:pPr>
                      <w:pStyle w:val="WitregelW1"/>
                    </w:pPr>
                  </w:p>
                  <w:p w14:paraId="555E0CC1" w14:textId="77777777" w:rsidR="009816A2" w:rsidRDefault="00351B9B">
                    <w:pPr>
                      <w:pStyle w:val="Referentiegegevensbold"/>
                    </w:pPr>
                    <w:r>
                      <w:t>Bijlage(n)</w:t>
                    </w:r>
                  </w:p>
                  <w:p w14:paraId="141C3BE1" w14:textId="77777777" w:rsidR="009816A2" w:rsidRDefault="00351B9B">
                    <w:pPr>
                      <w:pStyle w:val="Referentiegegevens"/>
                    </w:pPr>
                    <w:r>
                      <w:t>1. Evaluatierapport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3FC15A" wp14:editId="73E9742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3377A0" w14:textId="77777777" w:rsidR="004638A3" w:rsidRDefault="00D7447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3FC15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93377A0" w14:textId="77777777" w:rsidR="004638A3" w:rsidRDefault="00D7447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E191F68" wp14:editId="04D6B7B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D84892" w14:textId="77777777" w:rsidR="00351B9B" w:rsidRDefault="00351B9B"/>
                      </w:txbxContent>
                    </wps:txbx>
                    <wps:bodyPr vert="horz" wrap="square" lIns="0" tIns="0" rIns="0" bIns="0" anchor="t" anchorCtr="0"/>
                  </wps:wsp>
                </a:graphicData>
              </a:graphic>
            </wp:anchor>
          </w:drawing>
        </mc:Choice>
        <mc:Fallback>
          <w:pict>
            <v:shape w14:anchorId="5E191F6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AD84892" w14:textId="77777777" w:rsidR="00351B9B" w:rsidRDefault="00351B9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34D09B"/>
    <w:multiLevelType w:val="multilevel"/>
    <w:tmpl w:val="92840C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5849165"/>
    <w:multiLevelType w:val="multilevel"/>
    <w:tmpl w:val="DF202E3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F6DFD07"/>
    <w:multiLevelType w:val="multilevel"/>
    <w:tmpl w:val="0317D7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283E5DA"/>
    <w:multiLevelType w:val="multilevel"/>
    <w:tmpl w:val="5B48F31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F59B2B0"/>
    <w:multiLevelType w:val="multilevel"/>
    <w:tmpl w:val="911F43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23700573">
    <w:abstractNumId w:val="1"/>
  </w:num>
  <w:num w:numId="2" w16cid:durableId="1746148206">
    <w:abstractNumId w:val="2"/>
  </w:num>
  <w:num w:numId="3" w16cid:durableId="152962179">
    <w:abstractNumId w:val="0"/>
  </w:num>
  <w:num w:numId="4" w16cid:durableId="645352194">
    <w:abstractNumId w:val="3"/>
  </w:num>
  <w:num w:numId="5" w16cid:durableId="1946499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00"/>
    <w:rsid w:val="000378F4"/>
    <w:rsid w:val="00284629"/>
    <w:rsid w:val="00287F0F"/>
    <w:rsid w:val="00351B9B"/>
    <w:rsid w:val="00447337"/>
    <w:rsid w:val="004638A3"/>
    <w:rsid w:val="005D670B"/>
    <w:rsid w:val="00662D31"/>
    <w:rsid w:val="009549B8"/>
    <w:rsid w:val="009816A2"/>
    <w:rsid w:val="009A5E62"/>
    <w:rsid w:val="00B12700"/>
    <w:rsid w:val="00B603F4"/>
    <w:rsid w:val="00D175F7"/>
    <w:rsid w:val="00D74470"/>
    <w:rsid w:val="00D91244"/>
    <w:rsid w:val="00E64E2F"/>
    <w:rsid w:val="00F07135"/>
    <w:rsid w:val="00F4546A"/>
    <w:rsid w:val="00FB449B"/>
    <w:rsid w:val="00FC1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A89FE0"/>
  <w15:docId w15:val="{9D2F3994-68BD-4E71-854D-D1F53EF5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127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2700"/>
    <w:rPr>
      <w:rFonts w:ascii="Verdana" w:hAnsi="Verdana"/>
      <w:color w:val="000000"/>
      <w:sz w:val="18"/>
      <w:szCs w:val="18"/>
    </w:rPr>
  </w:style>
  <w:style w:type="paragraph" w:styleId="Voettekst">
    <w:name w:val="footer"/>
    <w:basedOn w:val="Standaard"/>
    <w:link w:val="VoettekstChar"/>
    <w:uiPriority w:val="99"/>
    <w:unhideWhenUsed/>
    <w:rsid w:val="00B1270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12700"/>
    <w:rPr>
      <w:rFonts w:ascii="Verdana" w:hAnsi="Verdana"/>
      <w:color w:val="000000"/>
      <w:sz w:val="18"/>
      <w:szCs w:val="18"/>
    </w:rPr>
  </w:style>
  <w:style w:type="paragraph" w:styleId="Voetnoottekst">
    <w:name w:val="footnote text"/>
    <w:basedOn w:val="Standaard"/>
    <w:link w:val="VoetnoottekstChar"/>
    <w:uiPriority w:val="99"/>
    <w:semiHidden/>
    <w:unhideWhenUsed/>
    <w:rsid w:val="00351B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51B9B"/>
    <w:rPr>
      <w:rFonts w:ascii="Verdana" w:hAnsi="Verdana"/>
      <w:color w:val="000000"/>
    </w:rPr>
  </w:style>
  <w:style w:type="character" w:styleId="Voetnootmarkering">
    <w:name w:val="footnote reference"/>
    <w:basedOn w:val="Standaardalinea-lettertype"/>
    <w:uiPriority w:val="99"/>
    <w:semiHidden/>
    <w:unhideWhenUsed/>
    <w:rsid w:val="00351B9B"/>
    <w:rPr>
      <w:vertAlign w:val="superscript"/>
    </w:rPr>
  </w:style>
  <w:style w:type="paragraph" w:styleId="Lijstalinea">
    <w:name w:val="List Paragraph"/>
    <w:basedOn w:val="Standaard"/>
    <w:uiPriority w:val="34"/>
    <w:qFormat/>
    <w:rsid w:val="00351B9B"/>
    <w:pPr>
      <w:spacing w:line="240"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260</ap:Words>
  <ap:Characters>1434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 Aanbieding rapport Evaluatie vrijstellingen overdrachtsbelasting woningmarkt deel 2</vt:lpstr>
    </vt:vector>
  </ap:TitlesOfParts>
  <ap:LinksUpToDate>false</ap:LinksUpToDate>
  <ap:CharactersWithSpaces>1691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2025-03-20T15:20:00.0000000Z</dcterms:created>
  <dcterms:modified xsi:type="dcterms:W3CDTF">2025-03-20T15:20:00.0000000Z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Aanbieding rapport Evaluatie vrijstellingen overdrachtsbelasting woningmarkt deel 2</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2025-0000078450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Aanbieding rapport Evaluatie vrijstellingen overdrachtsbelasting woningmarkt deel 2</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2025-03-13T09:26:08Z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a37df5ea-bad0-4850-83d9-d6d914cba4c6</vt:lpwstr>
  </property>
  <property fmtid="{D5CDD505-2E9C-101B-9397-08002B2CF9AE}" pid="37" name="MSIP_Label_b2aa6e22-2c82-48c6-bf24-1790f4b9c128_ContentBits">
    <vt:lpwstr>0</vt:lpwstr>
  </property>
</Properties>
</file>