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FCB" w:rsidP="00D42F00" w:rsidRDefault="00DC7517" w14:paraId="40131FFA" w14:textId="663C3B43">
      <w:pPr>
        <w:spacing w:after="0"/>
        <w:jc w:val="center"/>
      </w:pPr>
      <w:bookmarkStart w:name="_GoBack" w:id="0"/>
      <w:bookmarkEnd w:id="0"/>
      <w:r>
        <w:rPr>
          <w:rFonts w:ascii="Verdana" w:hAnsi="Verdana" w:eastAsia="Verdana" w:cs="Verdana"/>
          <w:b/>
          <w:bCs/>
          <w:sz w:val="24"/>
          <w:szCs w:val="24"/>
        </w:rPr>
        <w:t>Verslag</w:t>
      </w:r>
      <w:r w:rsidRPr="3BB47E1C" w:rsidR="008B6FCB">
        <w:rPr>
          <w:rFonts w:ascii="Verdana" w:hAnsi="Verdana" w:eastAsia="Verdana" w:cs="Verdana"/>
          <w:b/>
          <w:bCs/>
          <w:sz w:val="24"/>
          <w:szCs w:val="24"/>
        </w:rPr>
        <w:t xml:space="preserve"> van de bijeenkomst</w:t>
      </w:r>
    </w:p>
    <w:p w:rsidR="008B6FCB" w:rsidP="00D42F00" w:rsidRDefault="008B6FCB" w14:paraId="38BE81D4" w14:textId="77777777">
      <w:pPr>
        <w:spacing w:after="0"/>
        <w:jc w:val="center"/>
      </w:pPr>
      <w:r w:rsidRPr="3BB47E1C">
        <w:rPr>
          <w:rFonts w:ascii="Verdana" w:hAnsi="Verdana" w:eastAsia="Verdana" w:cs="Verdana"/>
          <w:b/>
          <w:bCs/>
          <w:sz w:val="24"/>
          <w:szCs w:val="24"/>
        </w:rPr>
        <w:t>van de Raad Justitie en Binnenlandse Zaken,</w:t>
      </w:r>
    </w:p>
    <w:p w:rsidR="008B6FCB" w:rsidP="00D42F00" w:rsidRDefault="00DC7517" w14:paraId="7F876AD8" w14:textId="1F76BF70">
      <w:pPr>
        <w:spacing w:after="0"/>
        <w:jc w:val="center"/>
      </w:pPr>
      <w:r>
        <w:rPr>
          <w:rFonts w:ascii="Verdana" w:hAnsi="Verdana" w:eastAsia="Verdana" w:cs="Verdana"/>
          <w:b/>
          <w:bCs/>
          <w:sz w:val="24"/>
          <w:szCs w:val="24"/>
        </w:rPr>
        <w:t>5</w:t>
      </w:r>
      <w:r w:rsidRPr="3BB47E1C" w:rsidR="008B6FCB">
        <w:rPr>
          <w:rFonts w:ascii="Verdana" w:hAnsi="Verdana" w:eastAsia="Verdana" w:cs="Verdana"/>
          <w:b/>
          <w:bCs/>
          <w:sz w:val="24"/>
          <w:szCs w:val="24"/>
        </w:rPr>
        <w:t xml:space="preserve"> en </w:t>
      </w:r>
      <w:r w:rsidR="001654B7">
        <w:rPr>
          <w:rFonts w:ascii="Verdana" w:hAnsi="Verdana" w:eastAsia="Verdana" w:cs="Verdana"/>
          <w:b/>
          <w:bCs/>
          <w:sz w:val="24"/>
          <w:szCs w:val="24"/>
        </w:rPr>
        <w:t>7</w:t>
      </w:r>
      <w:r w:rsidRPr="3BB47E1C" w:rsidR="008B6FCB">
        <w:rPr>
          <w:rFonts w:ascii="Verdana" w:hAnsi="Verdana" w:eastAsia="Verdana" w:cs="Verdana"/>
          <w:b/>
          <w:bCs/>
          <w:sz w:val="24"/>
          <w:szCs w:val="24"/>
        </w:rPr>
        <w:t xml:space="preserve"> </w:t>
      </w:r>
      <w:r w:rsidR="001654B7">
        <w:rPr>
          <w:rFonts w:ascii="Verdana" w:hAnsi="Verdana" w:eastAsia="Verdana" w:cs="Verdana"/>
          <w:b/>
          <w:bCs/>
          <w:sz w:val="24"/>
          <w:szCs w:val="24"/>
        </w:rPr>
        <w:t>maart</w:t>
      </w:r>
      <w:r w:rsidRPr="3BB47E1C" w:rsidR="008B6FCB">
        <w:rPr>
          <w:rFonts w:ascii="Verdana" w:hAnsi="Verdana" w:eastAsia="Verdana" w:cs="Verdana"/>
          <w:b/>
          <w:bCs/>
          <w:sz w:val="24"/>
          <w:szCs w:val="24"/>
        </w:rPr>
        <w:t xml:space="preserve"> 202</w:t>
      </w:r>
      <w:r w:rsidR="001654B7">
        <w:rPr>
          <w:rFonts w:ascii="Verdana" w:hAnsi="Verdana" w:eastAsia="Verdana" w:cs="Verdana"/>
          <w:b/>
          <w:bCs/>
          <w:sz w:val="24"/>
          <w:szCs w:val="24"/>
        </w:rPr>
        <w:t>5</w:t>
      </w:r>
    </w:p>
    <w:p w:rsidR="008B6FCB" w:rsidP="00D42F00" w:rsidRDefault="008B6FCB" w14:paraId="091ACF97" w14:textId="77777777">
      <w:pPr>
        <w:spacing w:after="0"/>
        <w:jc w:val="center"/>
        <w:rPr>
          <w:rFonts w:ascii="Verdana" w:hAnsi="Verdana" w:eastAsia="Verdana" w:cs="Verdana"/>
          <w:b/>
          <w:bCs/>
          <w:sz w:val="24"/>
          <w:szCs w:val="24"/>
        </w:rPr>
      </w:pPr>
    </w:p>
    <w:p w:rsidR="008B6FCB" w:rsidP="00D42F00" w:rsidRDefault="008B6FCB" w14:paraId="649A95B7" w14:textId="77777777">
      <w:pPr>
        <w:pStyle w:val="Lijstalinea"/>
        <w:numPr>
          <w:ilvl w:val="0"/>
          <w:numId w:val="1"/>
        </w:numPr>
        <w:spacing w:after="0"/>
      </w:pPr>
      <w:r w:rsidRPr="3BB47E1C">
        <w:rPr>
          <w:rFonts w:ascii="Verdana" w:hAnsi="Verdana" w:eastAsia="Verdana" w:cs="Verdana"/>
          <w:b/>
          <w:bCs/>
          <w:sz w:val="24"/>
          <w:szCs w:val="24"/>
        </w:rPr>
        <w:t xml:space="preserve">Binnenlandse Zaken </w:t>
      </w:r>
    </w:p>
    <w:p w:rsidR="008B6FCB" w:rsidP="00D42F00" w:rsidRDefault="008B6FCB" w14:paraId="196E80B9" w14:textId="77777777">
      <w:pPr>
        <w:pStyle w:val="Lijstalinea"/>
        <w:spacing w:after="0"/>
      </w:pPr>
    </w:p>
    <w:p w:rsidRPr="00CD4D14" w:rsidR="00CD4D14" w:rsidP="00CD4D14" w:rsidRDefault="00CD4D14" w14:paraId="50875DA6" w14:textId="1FAB2C14">
      <w:pPr>
        <w:spacing w:after="0"/>
        <w:rPr>
          <w:rFonts w:ascii="Verdana" w:hAnsi="Verdana"/>
          <w:bCs/>
          <w:sz w:val="18"/>
          <w:szCs w:val="18"/>
        </w:rPr>
      </w:pPr>
    </w:p>
    <w:p w:rsidRPr="001C6EB7" w:rsidR="00AA3430" w:rsidP="001C6EB7" w:rsidRDefault="00AA3430" w14:paraId="08FAC6A4" w14:textId="5D13A3F4">
      <w:pPr>
        <w:pStyle w:val="Lijstalinea"/>
        <w:numPr>
          <w:ilvl w:val="3"/>
          <w:numId w:val="1"/>
        </w:numPr>
        <w:spacing w:after="0"/>
        <w:rPr>
          <w:rFonts w:ascii="Verdana" w:hAnsi="Verdana"/>
          <w:b/>
          <w:sz w:val="18"/>
          <w:szCs w:val="18"/>
        </w:rPr>
      </w:pPr>
      <w:r w:rsidRPr="001C6EB7">
        <w:rPr>
          <w:rFonts w:ascii="Verdana" w:hAnsi="Verdana"/>
          <w:b/>
          <w:sz w:val="18"/>
          <w:szCs w:val="18"/>
        </w:rPr>
        <w:t>Staat van het Schengengebied</w:t>
      </w:r>
    </w:p>
    <w:p w:rsidRPr="001C6EB7" w:rsidR="00AA3430" w:rsidP="001C6EB7" w:rsidRDefault="00AA3430" w14:paraId="2EBBCEA8" w14:textId="704D7039">
      <w:pPr>
        <w:pStyle w:val="Lijstalinea"/>
        <w:spacing w:after="0"/>
        <w:ind w:left="360"/>
        <w:rPr>
          <w:rFonts w:ascii="Verdana" w:hAnsi="Verdana"/>
          <w:b/>
          <w:sz w:val="18"/>
          <w:szCs w:val="18"/>
        </w:rPr>
      </w:pPr>
      <w:r w:rsidRPr="001C6EB7">
        <w:rPr>
          <w:rFonts w:ascii="Verdana" w:hAnsi="Verdana"/>
          <w:b/>
          <w:sz w:val="18"/>
          <w:szCs w:val="18"/>
        </w:rPr>
        <w:t xml:space="preserve">Uitvoering </w:t>
      </w:r>
      <w:r w:rsidRPr="008A25FC">
        <w:rPr>
          <w:rFonts w:ascii="Verdana" w:hAnsi="Verdana"/>
          <w:b/>
          <w:bCs/>
          <w:sz w:val="18"/>
          <w:szCs w:val="18"/>
        </w:rPr>
        <w:t>van de prioriteiten voor de</w:t>
      </w:r>
      <w:r w:rsidR="00AC68F7">
        <w:rPr>
          <w:rFonts w:ascii="Verdana" w:hAnsi="Verdana"/>
          <w:b/>
          <w:bCs/>
          <w:sz w:val="18"/>
          <w:szCs w:val="18"/>
        </w:rPr>
        <w:t xml:space="preserve"> jaarlijkse</w:t>
      </w:r>
      <w:r w:rsidRPr="008A25FC">
        <w:rPr>
          <w:rFonts w:ascii="Verdana" w:hAnsi="Verdana"/>
          <w:b/>
          <w:bCs/>
          <w:sz w:val="18"/>
          <w:szCs w:val="18"/>
        </w:rPr>
        <w:t xml:space="preserve"> Schengenraadscyclus</w:t>
      </w:r>
      <w:r w:rsidR="00AC68F7">
        <w:rPr>
          <w:rFonts w:ascii="Verdana" w:hAnsi="Verdana"/>
          <w:b/>
          <w:bCs/>
          <w:sz w:val="18"/>
          <w:szCs w:val="18"/>
        </w:rPr>
        <w:t>:</w:t>
      </w:r>
      <w:r w:rsidRPr="00AC68F7" w:rsidR="00AC68F7">
        <w:rPr>
          <w:rFonts w:ascii="Verdana" w:hAnsi="Verdana"/>
          <w:b/>
          <w:bCs/>
          <w:sz w:val="18"/>
          <w:szCs w:val="18"/>
        </w:rPr>
        <w:t xml:space="preserve"> veiligheid</w:t>
      </w:r>
      <w:r w:rsidR="006712F7">
        <w:rPr>
          <w:rFonts w:ascii="Verdana" w:hAnsi="Verdana"/>
          <w:b/>
          <w:bCs/>
          <w:sz w:val="18"/>
          <w:szCs w:val="18"/>
        </w:rPr>
        <w:t>s</w:t>
      </w:r>
      <w:r w:rsidRPr="00AC68F7" w:rsidR="00AC68F7">
        <w:rPr>
          <w:rFonts w:ascii="Verdana" w:hAnsi="Verdana"/>
          <w:b/>
          <w:bCs/>
          <w:sz w:val="18"/>
          <w:szCs w:val="18"/>
        </w:rPr>
        <w:t>verhog</w:t>
      </w:r>
      <w:r w:rsidR="006712F7">
        <w:rPr>
          <w:rFonts w:ascii="Verdana" w:hAnsi="Verdana"/>
          <w:b/>
          <w:bCs/>
          <w:sz w:val="18"/>
          <w:szCs w:val="18"/>
        </w:rPr>
        <w:t>ing</w:t>
      </w:r>
      <w:r w:rsidRPr="00AC68F7" w:rsidR="00AC68F7">
        <w:rPr>
          <w:rFonts w:ascii="Verdana" w:hAnsi="Verdana"/>
          <w:b/>
          <w:bCs/>
          <w:sz w:val="18"/>
          <w:szCs w:val="18"/>
        </w:rPr>
        <w:t xml:space="preserve"> door digitalisering</w:t>
      </w:r>
    </w:p>
    <w:p w:rsidR="00CB3BF5" w:rsidP="00D42F00" w:rsidRDefault="00CB3BF5" w14:paraId="00387B1F" w14:textId="77777777">
      <w:pPr>
        <w:spacing w:after="0"/>
        <w:rPr>
          <w:rFonts w:ascii="Verdana" w:hAnsi="Verdana"/>
          <w:sz w:val="18"/>
          <w:szCs w:val="18"/>
          <w:highlight w:val="yellow"/>
        </w:rPr>
      </w:pPr>
    </w:p>
    <w:p w:rsidR="000B57BF" w:rsidP="000B57BF" w:rsidRDefault="000B57BF" w14:paraId="3F78CA1D" w14:textId="75C877A9">
      <w:pPr>
        <w:rPr>
          <w:rFonts w:ascii="Verdana" w:hAnsi="Verdana"/>
          <w:sz w:val="18"/>
          <w:szCs w:val="18"/>
        </w:rPr>
      </w:pPr>
      <w:r w:rsidRPr="1BB21A2B">
        <w:rPr>
          <w:rFonts w:ascii="Verdana" w:hAnsi="Verdana"/>
          <w:sz w:val="18"/>
          <w:szCs w:val="18"/>
        </w:rPr>
        <w:t xml:space="preserve">De Europese Commissie (Commissie) benoemde de belangrijkste actuele uitdagingen voor het Schengengebied: aanhoudende migratiedruk, migratie uit Latijns-Amerika als gevolg van het buitenlandbeleid van de VS, de gevolgen van de oorlog in Oekraïne, instrumentalisering en terrorisme. De Commissie benadrukte in dat kader het belang van paraatheid aan de buitengrenzen, betere informatie-uitwisseling en politiesamenwerking, en riep op tot goede monitoring van de effectiviteit van binnengrenscontroles. Ook ging de Commissie uitgebreid in op de zorgen </w:t>
      </w:r>
      <w:r w:rsidR="0076688C">
        <w:rPr>
          <w:rFonts w:ascii="Verdana" w:hAnsi="Verdana"/>
          <w:sz w:val="18"/>
          <w:szCs w:val="18"/>
        </w:rPr>
        <w:t>dat een aantal lidstaten niet conform de geldende richtsnoeren visa uitgeeft aan</w:t>
      </w:r>
      <w:r w:rsidRPr="1BB21A2B" w:rsidR="0076688C">
        <w:rPr>
          <w:rFonts w:ascii="Verdana" w:hAnsi="Verdana"/>
          <w:sz w:val="18"/>
          <w:szCs w:val="18"/>
        </w:rPr>
        <w:t xml:space="preserve"> </w:t>
      </w:r>
      <w:r w:rsidRPr="1BB21A2B">
        <w:rPr>
          <w:rFonts w:ascii="Verdana" w:hAnsi="Verdana"/>
          <w:sz w:val="18"/>
          <w:szCs w:val="18"/>
        </w:rPr>
        <w:t xml:space="preserve">Russische </w:t>
      </w:r>
      <w:r w:rsidR="00F44A07">
        <w:rPr>
          <w:rFonts w:ascii="Verdana" w:hAnsi="Verdana"/>
          <w:sz w:val="18"/>
          <w:szCs w:val="18"/>
        </w:rPr>
        <w:t>staats</w:t>
      </w:r>
      <w:r w:rsidR="0076688C">
        <w:rPr>
          <w:rFonts w:ascii="Verdana" w:hAnsi="Verdana"/>
          <w:sz w:val="18"/>
          <w:szCs w:val="18"/>
        </w:rPr>
        <w:t>burgers</w:t>
      </w:r>
      <w:r w:rsidRPr="1BB21A2B" w:rsidR="0076688C">
        <w:rPr>
          <w:rFonts w:ascii="Verdana" w:hAnsi="Verdana"/>
          <w:sz w:val="18"/>
          <w:szCs w:val="18"/>
        </w:rPr>
        <w:t xml:space="preserve"> </w:t>
      </w:r>
      <w:r w:rsidRPr="1BB21A2B">
        <w:rPr>
          <w:rFonts w:ascii="Verdana" w:hAnsi="Verdana"/>
          <w:sz w:val="18"/>
          <w:szCs w:val="18"/>
        </w:rPr>
        <w:t>en riep lidstaten op de richtsnoeren te volgen. Op het gebied van terugkeer benadrukte de Commissie het belang van het opstellen van noodplannen</w:t>
      </w:r>
      <w:r>
        <w:rPr>
          <w:rFonts w:ascii="Verdana" w:hAnsi="Verdana"/>
          <w:sz w:val="18"/>
          <w:szCs w:val="18"/>
        </w:rPr>
        <w:t xml:space="preserve"> </w:t>
      </w:r>
      <w:r w:rsidRPr="00286EF7">
        <w:rPr>
          <w:rFonts w:ascii="Verdana" w:hAnsi="Verdana"/>
          <w:sz w:val="18"/>
          <w:szCs w:val="18"/>
        </w:rPr>
        <w:t>indien grootschalige terugkeer aan de orde is</w:t>
      </w:r>
      <w:r w:rsidRPr="1BB21A2B">
        <w:rPr>
          <w:rFonts w:ascii="Verdana" w:hAnsi="Verdana"/>
          <w:sz w:val="18"/>
          <w:szCs w:val="18"/>
        </w:rPr>
        <w:t xml:space="preserve">, het oplossen van capaciteitsproblemen voor de uitvoering, betere afstemming met derde landen en het ten volle benutten van de relevante informatiesystemen. De Commissie bevestigde dat het rekenschap </w:t>
      </w:r>
      <w:r>
        <w:rPr>
          <w:rFonts w:ascii="Verdana" w:hAnsi="Verdana"/>
          <w:sz w:val="18"/>
          <w:szCs w:val="18"/>
        </w:rPr>
        <w:t>zou</w:t>
      </w:r>
      <w:r w:rsidRPr="1BB21A2B">
        <w:rPr>
          <w:rFonts w:ascii="Verdana" w:hAnsi="Verdana"/>
          <w:sz w:val="18"/>
          <w:szCs w:val="18"/>
        </w:rPr>
        <w:t xml:space="preserve"> geven van de belangrijkste prioriteiten van lidstaten </w:t>
      </w:r>
      <w:r>
        <w:rPr>
          <w:rFonts w:ascii="Verdana" w:hAnsi="Verdana"/>
          <w:sz w:val="18"/>
          <w:szCs w:val="18"/>
        </w:rPr>
        <w:t xml:space="preserve">voor </w:t>
      </w:r>
      <w:r w:rsidRPr="1BB21A2B">
        <w:rPr>
          <w:rFonts w:ascii="Verdana" w:hAnsi="Verdana"/>
          <w:sz w:val="18"/>
          <w:szCs w:val="18"/>
        </w:rPr>
        <w:t xml:space="preserve">het </w:t>
      </w:r>
      <w:r>
        <w:rPr>
          <w:rFonts w:ascii="Verdana" w:hAnsi="Verdana"/>
          <w:sz w:val="18"/>
          <w:szCs w:val="18"/>
        </w:rPr>
        <w:t>(inmiddels</w:t>
      </w:r>
      <w:r w:rsidRPr="1BB21A2B">
        <w:rPr>
          <w:rFonts w:ascii="Verdana" w:hAnsi="Verdana"/>
          <w:sz w:val="18"/>
          <w:szCs w:val="18"/>
        </w:rPr>
        <w:t xml:space="preserve"> gepubliceerde</w:t>
      </w:r>
      <w:r>
        <w:rPr>
          <w:rFonts w:ascii="Verdana" w:hAnsi="Verdana"/>
          <w:sz w:val="18"/>
          <w:szCs w:val="18"/>
        </w:rPr>
        <w:t>)</w:t>
      </w:r>
      <w:r w:rsidRPr="1BB21A2B">
        <w:rPr>
          <w:rFonts w:ascii="Verdana" w:hAnsi="Verdana"/>
          <w:sz w:val="18"/>
          <w:szCs w:val="18"/>
        </w:rPr>
        <w:t xml:space="preserve"> voorstel voor nieuwe EU-terugkeerwetgeving.</w:t>
      </w:r>
    </w:p>
    <w:p w:rsidR="000B57BF" w:rsidP="000B57BF" w:rsidRDefault="000B57BF" w14:paraId="17EE992C" w14:textId="2847B2CA">
      <w:pPr>
        <w:rPr>
          <w:rFonts w:ascii="Verdana" w:hAnsi="Verdana"/>
          <w:sz w:val="18"/>
          <w:szCs w:val="18"/>
        </w:rPr>
      </w:pPr>
      <w:r>
        <w:rPr>
          <w:rFonts w:ascii="Verdana" w:hAnsi="Verdana"/>
          <w:sz w:val="18"/>
          <w:szCs w:val="18"/>
        </w:rPr>
        <w:t>In een uitgebreide tafelronde riep Nederland samen met andere lidstaten op tot strikt buitengrensbeheer en het terugdringen van secundaire migratie binnen de kaders van het Asiel- en Migratiepact. De noodzaak hiervan is</w:t>
      </w:r>
      <w:r w:rsidRPr="00F44A07" w:rsidR="00F44A07">
        <w:rPr>
          <w:rFonts w:ascii="Verdana" w:hAnsi="Verdana"/>
          <w:sz w:val="18"/>
          <w:szCs w:val="18"/>
        </w:rPr>
        <w:t xml:space="preserve"> </w:t>
      </w:r>
      <w:r w:rsidR="00F44A07">
        <w:rPr>
          <w:rFonts w:ascii="Verdana" w:hAnsi="Verdana"/>
          <w:sz w:val="18"/>
          <w:szCs w:val="18"/>
        </w:rPr>
        <w:t>zeer hoog gezien</w:t>
      </w:r>
      <w:r>
        <w:rPr>
          <w:rFonts w:ascii="Verdana" w:hAnsi="Verdana"/>
          <w:sz w:val="18"/>
          <w:szCs w:val="18"/>
        </w:rPr>
        <w:t xml:space="preserve"> de volatiele situatie aan de Europese buitengrenzen en wereldwijd. </w:t>
      </w:r>
      <w:r w:rsidR="00BC6CBD">
        <w:rPr>
          <w:rFonts w:ascii="Verdana" w:hAnsi="Verdana"/>
          <w:sz w:val="18"/>
          <w:szCs w:val="18"/>
        </w:rPr>
        <w:t>Nederland heeft ook, net als een aantal andere lidstaten, zorgen geuit over het hoge aantal visa dat door een kleine groep lidstaten wordt</w:t>
      </w:r>
      <w:r w:rsidDel="00A251DB" w:rsidR="00BC6CBD">
        <w:rPr>
          <w:rFonts w:ascii="Verdana" w:hAnsi="Verdana"/>
          <w:sz w:val="18"/>
          <w:szCs w:val="18"/>
        </w:rPr>
        <w:t xml:space="preserve"> </w:t>
      </w:r>
      <w:r w:rsidR="00BC6CBD">
        <w:rPr>
          <w:rFonts w:ascii="Verdana" w:hAnsi="Verdana"/>
          <w:sz w:val="18"/>
          <w:szCs w:val="18"/>
        </w:rPr>
        <w:t xml:space="preserve">afgegeven aan Russische staatsburgers en de noodzaak benadrukt van implementatie van de Europese richtsnoeren. </w:t>
      </w:r>
      <w:r>
        <w:rPr>
          <w:rFonts w:ascii="Verdana" w:hAnsi="Verdana"/>
          <w:sz w:val="18"/>
          <w:szCs w:val="18"/>
        </w:rPr>
        <w:t>Het kabinet geeft hiermee uitvoering aan de motie Van Campen en Boswijk.</w:t>
      </w:r>
      <w:r>
        <w:rPr>
          <w:rStyle w:val="Voetnootmarkering"/>
          <w:rFonts w:ascii="Verdana" w:hAnsi="Verdana"/>
          <w:sz w:val="18"/>
          <w:szCs w:val="18"/>
        </w:rPr>
        <w:footnoteReference w:id="2"/>
      </w:r>
      <w:r>
        <w:rPr>
          <w:rFonts w:ascii="Verdana" w:hAnsi="Verdana"/>
          <w:sz w:val="18"/>
          <w:szCs w:val="18"/>
        </w:rPr>
        <w:t xml:space="preserve"> In de discussie over terugkeer benadrukten alle lidstaten het belang van snelle herziening van de huidige wetgeving. </w:t>
      </w:r>
      <w:r w:rsidR="00F44A07">
        <w:rPr>
          <w:rFonts w:ascii="Verdana" w:hAnsi="Verdana"/>
          <w:sz w:val="18"/>
          <w:szCs w:val="18"/>
        </w:rPr>
        <w:t>A</w:t>
      </w:r>
      <w:r>
        <w:rPr>
          <w:rFonts w:ascii="Verdana" w:hAnsi="Verdana"/>
          <w:sz w:val="18"/>
          <w:szCs w:val="18"/>
        </w:rPr>
        <w:t>anvullend benoemde Nederland, net als een flink aantal andere lidstaten, het belang van betere samenwerking met derde landen, het gebruik van hefbomen zoals visummaatregelen op grond van art. 25bis</w:t>
      </w:r>
      <w:r w:rsidRPr="00B124AE">
        <w:rPr>
          <w:rFonts w:ascii="Verdana" w:hAnsi="Verdana"/>
          <w:sz w:val="18"/>
          <w:szCs w:val="18"/>
        </w:rPr>
        <w:t xml:space="preserve"> </w:t>
      </w:r>
      <w:r>
        <w:rPr>
          <w:rFonts w:ascii="Verdana" w:hAnsi="Verdana"/>
          <w:sz w:val="18"/>
          <w:szCs w:val="18"/>
        </w:rPr>
        <w:t>van de Visumcode</w:t>
      </w:r>
      <w:r w:rsidRPr="00B124AE">
        <w:rPr>
          <w:rFonts w:ascii="Verdana" w:hAnsi="Verdana"/>
          <w:sz w:val="18"/>
          <w:szCs w:val="18"/>
        </w:rPr>
        <w:t xml:space="preserve"> </w:t>
      </w:r>
      <w:r>
        <w:rPr>
          <w:rFonts w:ascii="Verdana" w:hAnsi="Verdana"/>
          <w:sz w:val="18"/>
          <w:szCs w:val="18"/>
        </w:rPr>
        <w:t xml:space="preserve">en het belang van betere registratie van terugkeerbesluiten in het Schengen Informatiesysteem (SIS). Tot slot benadrukte Nederland, net als enkele andere lidstaten, het belang van innovatieve partnerschappen. Een klein aantal lidstaten sprak zorgen uit over de binnengrenscontroles en riep op tot sterkere samenwerking in grensregio’s. </w:t>
      </w:r>
    </w:p>
    <w:p w:rsidR="00DC7517" w:rsidP="00D42F00" w:rsidRDefault="00DC7517" w14:paraId="01E431C9" w14:textId="77777777">
      <w:pPr>
        <w:pStyle w:val="Lijstalinea"/>
        <w:spacing w:after="0"/>
        <w:ind w:left="360"/>
        <w:rPr>
          <w:rFonts w:ascii="Verdana" w:hAnsi="Verdana"/>
          <w:sz w:val="18"/>
          <w:szCs w:val="18"/>
        </w:rPr>
      </w:pPr>
    </w:p>
    <w:p w:rsidR="001654B7" w:rsidP="00DC7517" w:rsidRDefault="00DC7517" w14:paraId="6AA711A6" w14:textId="6B796DF1">
      <w:pPr>
        <w:pStyle w:val="Lijstalinea"/>
        <w:numPr>
          <w:ilvl w:val="3"/>
          <w:numId w:val="1"/>
        </w:numPr>
        <w:spacing w:after="0"/>
        <w:rPr>
          <w:rFonts w:ascii="Verdana" w:hAnsi="Verdana"/>
          <w:b/>
          <w:bCs/>
          <w:sz w:val="18"/>
          <w:szCs w:val="18"/>
        </w:rPr>
      </w:pPr>
      <w:r>
        <w:rPr>
          <w:rFonts w:ascii="Verdana" w:hAnsi="Verdana"/>
          <w:b/>
          <w:bCs/>
          <w:sz w:val="18"/>
          <w:szCs w:val="18"/>
        </w:rPr>
        <w:t>V</w:t>
      </w:r>
      <w:r w:rsidRPr="00DC7517">
        <w:rPr>
          <w:rFonts w:ascii="Verdana" w:hAnsi="Verdana"/>
          <w:b/>
          <w:bCs/>
          <w:sz w:val="18"/>
          <w:szCs w:val="18"/>
        </w:rPr>
        <w:t>astelling aanbeveling Thematische Schengenevaluatie van 2024 op het gebied van terugkeer</w:t>
      </w:r>
    </w:p>
    <w:p w:rsidR="0092364E" w:rsidP="0092364E" w:rsidRDefault="0092364E" w14:paraId="1E5A6349" w14:textId="77777777">
      <w:pPr>
        <w:spacing w:after="0"/>
        <w:rPr>
          <w:rFonts w:ascii="Verdana" w:hAnsi="Verdana"/>
          <w:b/>
          <w:bCs/>
          <w:sz w:val="18"/>
          <w:szCs w:val="18"/>
        </w:rPr>
      </w:pPr>
    </w:p>
    <w:p w:rsidR="000B57BF" w:rsidP="000B57BF" w:rsidRDefault="000B57BF" w14:paraId="6058BE67" w14:textId="77777777">
      <w:pPr>
        <w:rPr>
          <w:rFonts w:ascii="Verdana" w:hAnsi="Verdana"/>
          <w:sz w:val="18"/>
          <w:szCs w:val="18"/>
        </w:rPr>
      </w:pPr>
      <w:r>
        <w:rPr>
          <w:rFonts w:ascii="Verdana" w:hAnsi="Verdana"/>
          <w:sz w:val="18"/>
          <w:szCs w:val="18"/>
        </w:rPr>
        <w:t xml:space="preserve">De JBZ-Raad stelde zonder discussie de aanbeveling Thematische Schengenevaluatie van 2024 op het gebied van terugkeer vast. De Commissie verklaarde zich bereid om lidstaten te ondersteunen bij de implementatie van de aanbevelingen. </w:t>
      </w:r>
    </w:p>
    <w:p w:rsidRPr="00DC7517" w:rsidR="00DC7517" w:rsidP="00DC7517" w:rsidRDefault="00DC7517" w14:paraId="2BFB8711" w14:textId="77777777">
      <w:pPr>
        <w:pStyle w:val="Lijstalinea"/>
        <w:spacing w:after="0"/>
        <w:ind w:left="360"/>
        <w:rPr>
          <w:rFonts w:ascii="Verdana" w:hAnsi="Verdana"/>
          <w:b/>
          <w:bCs/>
          <w:sz w:val="18"/>
          <w:szCs w:val="18"/>
        </w:rPr>
      </w:pPr>
    </w:p>
    <w:p w:rsidRPr="007F3C52" w:rsidR="00AA3430" w:rsidP="007F3C52" w:rsidRDefault="00AA3430" w14:paraId="75719077" w14:textId="588D529C">
      <w:pPr>
        <w:pStyle w:val="Lijstalinea"/>
        <w:numPr>
          <w:ilvl w:val="3"/>
          <w:numId w:val="1"/>
        </w:numPr>
        <w:spacing w:after="0"/>
        <w:rPr>
          <w:rFonts w:ascii="Verdana" w:hAnsi="Verdana"/>
          <w:b/>
          <w:bCs/>
          <w:sz w:val="18"/>
          <w:szCs w:val="18"/>
        </w:rPr>
      </w:pPr>
      <w:r>
        <w:rPr>
          <w:rFonts w:ascii="Verdana" w:hAnsi="Verdana"/>
          <w:b/>
          <w:bCs/>
          <w:sz w:val="18"/>
          <w:szCs w:val="18"/>
        </w:rPr>
        <w:t>Interoperabiliteit</w:t>
      </w:r>
      <w:r w:rsidR="007F3C52">
        <w:rPr>
          <w:rFonts w:ascii="Verdana" w:hAnsi="Verdana"/>
          <w:b/>
          <w:bCs/>
          <w:sz w:val="18"/>
          <w:szCs w:val="18"/>
        </w:rPr>
        <w:t xml:space="preserve"> en </w:t>
      </w:r>
      <w:r w:rsidRPr="007F3C52" w:rsidR="007F3C52">
        <w:rPr>
          <w:rFonts w:ascii="Verdana" w:hAnsi="Verdana"/>
          <w:b/>
          <w:bCs/>
          <w:sz w:val="18"/>
          <w:szCs w:val="18"/>
        </w:rPr>
        <w:t>Verordening over de geleidelijke invoering van het Entry/Exit System (EES)</w:t>
      </w:r>
    </w:p>
    <w:p w:rsidR="00F92C18" w:rsidP="00F92C18" w:rsidRDefault="00F92C18" w14:paraId="525AAC63" w14:textId="77777777">
      <w:pPr>
        <w:spacing w:after="0"/>
        <w:rPr>
          <w:rFonts w:ascii="Verdana" w:hAnsi="Verdana"/>
          <w:b/>
          <w:bCs/>
          <w:sz w:val="18"/>
          <w:szCs w:val="18"/>
        </w:rPr>
      </w:pPr>
    </w:p>
    <w:p w:rsidR="00F92C18" w:rsidP="00F92C18" w:rsidRDefault="00F92C18" w14:paraId="173E0EF4" w14:textId="25B9FEEF">
      <w:pPr>
        <w:spacing w:after="0"/>
        <w:rPr>
          <w:rFonts w:ascii="Verdana" w:hAnsi="Verdana"/>
          <w:sz w:val="18"/>
          <w:szCs w:val="18"/>
        </w:rPr>
      </w:pPr>
      <w:r>
        <w:rPr>
          <w:rFonts w:ascii="Verdana" w:hAnsi="Verdana"/>
          <w:sz w:val="18"/>
          <w:szCs w:val="18"/>
        </w:rPr>
        <w:t xml:space="preserve">Op verzoek van de JBZ-Raad heeft eu-LISA een overzicht gepresenteerd van de herziene tijdlijn voor de uitvoering van grootschalige IT-systemen en hun onderlinge interoperabiliteit. Volgens de </w:t>
      </w:r>
      <w:r>
        <w:rPr>
          <w:rFonts w:ascii="Verdana" w:hAnsi="Verdana"/>
          <w:sz w:val="18"/>
          <w:szCs w:val="18"/>
        </w:rPr>
        <w:lastRenderedPageBreak/>
        <w:t xml:space="preserve">herziene planning zal het </w:t>
      </w:r>
      <w:r w:rsidRPr="00EF3120">
        <w:rPr>
          <w:rFonts w:ascii="Verdana" w:hAnsi="Verdana"/>
          <w:i/>
          <w:iCs/>
          <w:sz w:val="18"/>
          <w:szCs w:val="18"/>
        </w:rPr>
        <w:t>Entry/Exit System</w:t>
      </w:r>
      <w:r>
        <w:rPr>
          <w:rFonts w:ascii="Verdana" w:hAnsi="Verdana"/>
          <w:sz w:val="18"/>
          <w:szCs w:val="18"/>
        </w:rPr>
        <w:t xml:space="preserve"> (EES) in oktober 2025 stapsgewijs van start gaan. Hierbij benadrukt</w:t>
      </w:r>
      <w:r w:rsidR="00F44A07">
        <w:rPr>
          <w:rFonts w:ascii="Verdana" w:hAnsi="Verdana"/>
          <w:sz w:val="18"/>
          <w:szCs w:val="18"/>
        </w:rPr>
        <w:t>e</w:t>
      </w:r>
      <w:r>
        <w:rPr>
          <w:rFonts w:ascii="Verdana" w:hAnsi="Verdana"/>
          <w:sz w:val="18"/>
          <w:szCs w:val="18"/>
        </w:rPr>
        <w:t xml:space="preserve"> eu-LISA dat verdere vertragingen bij de implementatie van EES aanzienlijke gevolgen kunnen hebben voor de volledige interoperabiliteitsagenda. </w:t>
      </w:r>
      <w:r w:rsidRPr="00F92C18">
        <w:rPr>
          <w:rFonts w:ascii="Verdana" w:hAnsi="Verdana"/>
          <w:sz w:val="18"/>
          <w:szCs w:val="18"/>
        </w:rPr>
        <w:t xml:space="preserve">Het </w:t>
      </w:r>
      <w:r w:rsidRPr="008822E7">
        <w:rPr>
          <w:rFonts w:ascii="Verdana" w:hAnsi="Verdana"/>
          <w:i/>
          <w:iCs/>
          <w:sz w:val="18"/>
          <w:szCs w:val="18"/>
        </w:rPr>
        <w:t>European Travel Information and Authorisation System</w:t>
      </w:r>
      <w:r w:rsidRPr="00F92C18">
        <w:rPr>
          <w:rFonts w:ascii="Verdana" w:hAnsi="Verdana"/>
          <w:sz w:val="18"/>
          <w:szCs w:val="18"/>
        </w:rPr>
        <w:t xml:space="preserve"> (ETIAS) staat gepland voor het vier</w:t>
      </w:r>
      <w:r>
        <w:rPr>
          <w:rFonts w:ascii="Verdana" w:hAnsi="Verdana"/>
          <w:sz w:val="18"/>
          <w:szCs w:val="18"/>
        </w:rPr>
        <w:t>de kwartaal van 2025. Verder is de implementatie van het vernieuw</w:t>
      </w:r>
      <w:r w:rsidR="00F44A07">
        <w:rPr>
          <w:rFonts w:ascii="Verdana" w:hAnsi="Verdana"/>
          <w:sz w:val="18"/>
          <w:szCs w:val="18"/>
        </w:rPr>
        <w:t>d</w:t>
      </w:r>
      <w:r>
        <w:rPr>
          <w:rFonts w:ascii="Verdana" w:hAnsi="Verdana"/>
          <w:sz w:val="18"/>
          <w:szCs w:val="18"/>
        </w:rPr>
        <w:t>e Eurodac-system voorzien in het tweede kwartaal van 2026. Voor 2027 en 2028 zijn onder meer de implementatie van het herziene Visa informatiesysteem</w:t>
      </w:r>
      <w:r w:rsidR="00786FD9">
        <w:rPr>
          <w:rFonts w:ascii="Verdana" w:hAnsi="Verdana"/>
          <w:sz w:val="18"/>
          <w:szCs w:val="18"/>
        </w:rPr>
        <w:t xml:space="preserve"> en</w:t>
      </w:r>
      <w:r w:rsidR="00E42D7D">
        <w:rPr>
          <w:rFonts w:ascii="Verdana" w:hAnsi="Verdana"/>
          <w:sz w:val="18"/>
          <w:szCs w:val="18"/>
        </w:rPr>
        <w:t xml:space="preserve"> </w:t>
      </w:r>
      <w:r w:rsidRPr="00E42D7D" w:rsidR="00E42D7D">
        <w:rPr>
          <w:rFonts w:ascii="Verdana" w:hAnsi="Verdana"/>
          <w:sz w:val="18"/>
          <w:szCs w:val="18"/>
        </w:rPr>
        <w:t>Prüm</w:t>
      </w:r>
      <w:r w:rsidR="00E42D7D">
        <w:rPr>
          <w:rFonts w:ascii="Verdana" w:hAnsi="Verdana"/>
          <w:sz w:val="18"/>
          <w:szCs w:val="18"/>
        </w:rPr>
        <w:t xml:space="preserve"> II </w:t>
      </w:r>
      <w:r w:rsidR="00724D50">
        <w:rPr>
          <w:rFonts w:ascii="Verdana" w:hAnsi="Verdana"/>
          <w:sz w:val="18"/>
          <w:szCs w:val="18"/>
        </w:rPr>
        <w:t>voorzien.</w:t>
      </w:r>
      <w:r w:rsidRPr="00E42D7D" w:rsidR="00E42D7D">
        <w:rPr>
          <w:rFonts w:ascii="Verdana" w:hAnsi="Verdana"/>
          <w:sz w:val="18"/>
          <w:szCs w:val="18"/>
        </w:rPr>
        <w:t xml:space="preserve"> </w:t>
      </w:r>
      <w:r w:rsidR="00E42D7D">
        <w:rPr>
          <w:rFonts w:ascii="Verdana" w:hAnsi="Verdana"/>
          <w:sz w:val="18"/>
          <w:szCs w:val="18"/>
        </w:rPr>
        <w:t>Tot slot onderstreept eu-LISA de</w:t>
      </w:r>
      <w:r w:rsidRPr="00E42D7D" w:rsidR="00E42D7D">
        <w:rPr>
          <w:rFonts w:ascii="Verdana" w:hAnsi="Verdana"/>
          <w:sz w:val="18"/>
          <w:szCs w:val="18"/>
        </w:rPr>
        <w:t xml:space="preserve"> voortzetting </w:t>
      </w:r>
      <w:r w:rsidR="00E42D7D">
        <w:rPr>
          <w:rFonts w:ascii="Verdana" w:hAnsi="Verdana"/>
          <w:sz w:val="18"/>
          <w:szCs w:val="18"/>
        </w:rPr>
        <w:t xml:space="preserve">van de </w:t>
      </w:r>
      <w:r w:rsidRPr="00E42D7D" w:rsidR="00E42D7D">
        <w:rPr>
          <w:rFonts w:ascii="Verdana" w:hAnsi="Verdana"/>
          <w:sz w:val="18"/>
          <w:szCs w:val="18"/>
        </w:rPr>
        <w:t xml:space="preserve">samenwerking </w:t>
      </w:r>
      <w:r w:rsidR="00E42D7D">
        <w:rPr>
          <w:rFonts w:ascii="Verdana" w:hAnsi="Verdana"/>
          <w:sz w:val="18"/>
          <w:szCs w:val="18"/>
        </w:rPr>
        <w:t>met de Commissie</w:t>
      </w:r>
      <w:r w:rsidRPr="00E42D7D" w:rsidR="00E42D7D">
        <w:rPr>
          <w:rFonts w:ascii="Verdana" w:hAnsi="Verdana"/>
          <w:sz w:val="18"/>
          <w:szCs w:val="18"/>
        </w:rPr>
        <w:t xml:space="preserve"> en lidstaten om </w:t>
      </w:r>
      <w:r w:rsidR="00E42D7D">
        <w:rPr>
          <w:rFonts w:ascii="Verdana" w:hAnsi="Verdana"/>
          <w:sz w:val="18"/>
          <w:szCs w:val="18"/>
        </w:rPr>
        <w:t>de</w:t>
      </w:r>
      <w:r w:rsidRPr="00E42D7D" w:rsidR="00E42D7D">
        <w:rPr>
          <w:rFonts w:ascii="Verdana" w:hAnsi="Verdana"/>
          <w:sz w:val="18"/>
          <w:szCs w:val="18"/>
        </w:rPr>
        <w:t xml:space="preserve"> </w:t>
      </w:r>
      <w:r w:rsidR="00E42D7D">
        <w:rPr>
          <w:rFonts w:ascii="Verdana" w:hAnsi="Verdana"/>
          <w:sz w:val="18"/>
          <w:szCs w:val="18"/>
        </w:rPr>
        <w:t>tijdlijn</w:t>
      </w:r>
      <w:r w:rsidRPr="00E42D7D" w:rsidR="00E42D7D">
        <w:rPr>
          <w:rFonts w:ascii="Verdana" w:hAnsi="Verdana"/>
          <w:sz w:val="18"/>
          <w:szCs w:val="18"/>
        </w:rPr>
        <w:t xml:space="preserve"> te </w:t>
      </w:r>
      <w:r w:rsidR="00E42D7D">
        <w:rPr>
          <w:rFonts w:ascii="Verdana" w:hAnsi="Verdana"/>
          <w:sz w:val="18"/>
          <w:szCs w:val="18"/>
        </w:rPr>
        <w:t>realiseren</w:t>
      </w:r>
      <w:r w:rsidRPr="00E42D7D" w:rsidR="00E42D7D">
        <w:rPr>
          <w:rFonts w:ascii="Verdana" w:hAnsi="Verdana"/>
          <w:sz w:val="18"/>
          <w:szCs w:val="18"/>
        </w:rPr>
        <w:t>.</w:t>
      </w:r>
      <w:r w:rsidR="00814D2A">
        <w:rPr>
          <w:rFonts w:ascii="Verdana" w:hAnsi="Verdana"/>
          <w:sz w:val="18"/>
          <w:szCs w:val="18"/>
        </w:rPr>
        <w:t xml:space="preserve"> De JBZ-Raad nam </w:t>
      </w:r>
      <w:r w:rsidR="00CE6A9D">
        <w:rPr>
          <w:rFonts w:ascii="Verdana" w:hAnsi="Verdana"/>
          <w:sz w:val="18"/>
          <w:szCs w:val="18"/>
        </w:rPr>
        <w:t>kennis van de herziene tijdlijn die zonder discussie werd aangenomen.</w:t>
      </w:r>
    </w:p>
    <w:p w:rsidRPr="00F92C18" w:rsidR="00F92C18" w:rsidP="00F92C18" w:rsidRDefault="00F92C18" w14:paraId="4033165E" w14:textId="77777777">
      <w:pPr>
        <w:spacing w:after="0"/>
        <w:rPr>
          <w:rFonts w:ascii="Verdana" w:hAnsi="Verdana"/>
          <w:sz w:val="18"/>
          <w:szCs w:val="18"/>
        </w:rPr>
      </w:pPr>
    </w:p>
    <w:p w:rsidRPr="00F92C18" w:rsidR="00866BD0" w:rsidP="00DC7517" w:rsidRDefault="007F3C52" w14:paraId="53BE1118" w14:textId="5D73151D">
      <w:pPr>
        <w:pStyle w:val="Lijstalinea"/>
        <w:spacing w:after="0"/>
        <w:ind w:left="0"/>
        <w:rPr>
          <w:rFonts w:ascii="Verdana" w:hAnsi="Verdana"/>
          <w:sz w:val="18"/>
          <w:szCs w:val="18"/>
        </w:rPr>
      </w:pPr>
      <w:bookmarkStart w:name="_Hlk190417932" w:id="1"/>
      <w:r>
        <w:rPr>
          <w:rFonts w:ascii="Verdana" w:hAnsi="Verdana"/>
          <w:sz w:val="18"/>
          <w:szCs w:val="18"/>
        </w:rPr>
        <w:t xml:space="preserve">Onder dit agendapunt </w:t>
      </w:r>
      <w:r w:rsidR="00F44A07">
        <w:rPr>
          <w:rFonts w:ascii="Verdana" w:hAnsi="Verdana"/>
          <w:sz w:val="18"/>
          <w:szCs w:val="18"/>
        </w:rPr>
        <w:t xml:space="preserve">nam de Raad </w:t>
      </w:r>
      <w:r>
        <w:rPr>
          <w:rFonts w:ascii="Verdana" w:hAnsi="Verdana"/>
          <w:sz w:val="18"/>
          <w:szCs w:val="18"/>
        </w:rPr>
        <w:t xml:space="preserve">tevens </w:t>
      </w:r>
      <w:r w:rsidR="00F44A07">
        <w:rPr>
          <w:rFonts w:ascii="Verdana" w:hAnsi="Verdana"/>
          <w:sz w:val="18"/>
          <w:szCs w:val="18"/>
        </w:rPr>
        <w:t xml:space="preserve">zonder discussie </w:t>
      </w:r>
      <w:r>
        <w:rPr>
          <w:rFonts w:ascii="Verdana" w:hAnsi="Verdana"/>
          <w:sz w:val="18"/>
          <w:szCs w:val="18"/>
        </w:rPr>
        <w:t xml:space="preserve">de algemene oriëntatie </w:t>
      </w:r>
      <w:r w:rsidR="00F44A07">
        <w:rPr>
          <w:rFonts w:ascii="Verdana" w:hAnsi="Verdana"/>
          <w:sz w:val="18"/>
          <w:szCs w:val="18"/>
        </w:rPr>
        <w:t xml:space="preserve">aan </w:t>
      </w:r>
      <w:r>
        <w:rPr>
          <w:rFonts w:ascii="Verdana" w:hAnsi="Verdana"/>
          <w:sz w:val="18"/>
          <w:szCs w:val="18"/>
        </w:rPr>
        <w:t>van de Verordening over de geleidelijke invoering van het EE</w:t>
      </w:r>
      <w:r w:rsidR="00F94F89">
        <w:rPr>
          <w:rFonts w:ascii="Verdana" w:hAnsi="Verdana"/>
          <w:sz w:val="18"/>
          <w:szCs w:val="18"/>
        </w:rPr>
        <w:t>S.</w:t>
      </w:r>
      <w:r w:rsidRPr="00CE6A9D" w:rsidR="00CE6A9D">
        <w:rPr>
          <w:rFonts w:ascii="Verdana" w:hAnsi="Verdana" w:eastAsia="Times New Roman"/>
          <w:color w:val="000000"/>
          <w:sz w:val="18"/>
          <w:szCs w:val="18"/>
        </w:rPr>
        <w:t xml:space="preserve"> </w:t>
      </w:r>
      <w:r w:rsidR="00CE6A9D">
        <w:rPr>
          <w:rFonts w:ascii="Verdana" w:hAnsi="Verdana"/>
          <w:sz w:val="18"/>
          <w:szCs w:val="18"/>
        </w:rPr>
        <w:t xml:space="preserve">De Commissie riep hierbij </w:t>
      </w:r>
      <w:r w:rsidRPr="00CE6A9D" w:rsidR="00CE6A9D">
        <w:rPr>
          <w:rFonts w:ascii="Verdana" w:hAnsi="Verdana"/>
          <w:sz w:val="18"/>
          <w:szCs w:val="18"/>
        </w:rPr>
        <w:t xml:space="preserve">op tot spoedig afgeven van verklaringen van gereedheid </w:t>
      </w:r>
      <w:r w:rsidR="00CE6A9D">
        <w:rPr>
          <w:rFonts w:ascii="Verdana" w:hAnsi="Verdana"/>
          <w:sz w:val="18"/>
          <w:szCs w:val="18"/>
        </w:rPr>
        <w:t xml:space="preserve">voor </w:t>
      </w:r>
      <w:r w:rsidRPr="00CE6A9D" w:rsidR="00CE6A9D">
        <w:rPr>
          <w:rFonts w:ascii="Verdana" w:hAnsi="Verdana"/>
          <w:sz w:val="18"/>
          <w:szCs w:val="18"/>
        </w:rPr>
        <w:t>EES</w:t>
      </w:r>
      <w:r w:rsidR="00CE6A9D">
        <w:rPr>
          <w:rFonts w:ascii="Verdana" w:hAnsi="Verdana"/>
          <w:sz w:val="18"/>
          <w:szCs w:val="18"/>
        </w:rPr>
        <w:t>.</w:t>
      </w:r>
      <w:r>
        <w:rPr>
          <w:rFonts w:ascii="Verdana" w:hAnsi="Verdana"/>
          <w:sz w:val="18"/>
          <w:szCs w:val="18"/>
        </w:rPr>
        <w:br/>
      </w:r>
    </w:p>
    <w:p w:rsidR="00AA3430" w:rsidP="001C6EB7" w:rsidRDefault="001654B7" w14:paraId="44FF146E" w14:textId="182E9A30">
      <w:pPr>
        <w:pStyle w:val="Lijstalinea"/>
        <w:numPr>
          <w:ilvl w:val="3"/>
          <w:numId w:val="1"/>
        </w:numPr>
        <w:spacing w:after="0"/>
        <w:rPr>
          <w:rFonts w:ascii="Verdana" w:hAnsi="Verdana"/>
          <w:b/>
          <w:sz w:val="18"/>
          <w:szCs w:val="18"/>
        </w:rPr>
      </w:pPr>
      <w:r w:rsidRPr="001654B7">
        <w:rPr>
          <w:rFonts w:ascii="Verdana" w:hAnsi="Verdana"/>
          <w:b/>
          <w:sz w:val="18"/>
          <w:szCs w:val="18"/>
        </w:rPr>
        <w:t xml:space="preserve">EU-Latijns Amerikaanse Comité </w:t>
      </w:r>
      <w:r w:rsidR="00113321">
        <w:rPr>
          <w:rFonts w:ascii="Verdana" w:hAnsi="Verdana"/>
          <w:b/>
          <w:sz w:val="18"/>
          <w:szCs w:val="18"/>
        </w:rPr>
        <w:t>voor</w:t>
      </w:r>
      <w:r w:rsidRPr="001654B7">
        <w:rPr>
          <w:rFonts w:ascii="Verdana" w:hAnsi="Verdana"/>
          <w:b/>
          <w:sz w:val="18"/>
          <w:szCs w:val="18"/>
        </w:rPr>
        <w:t xml:space="preserve"> In</w:t>
      </w:r>
      <w:r>
        <w:rPr>
          <w:rFonts w:ascii="Verdana" w:hAnsi="Verdana"/>
          <w:b/>
          <w:sz w:val="18"/>
          <w:szCs w:val="18"/>
        </w:rPr>
        <w:t xml:space="preserve">terne Veiligheid (CLASI) </w:t>
      </w:r>
    </w:p>
    <w:bookmarkEnd w:id="1"/>
    <w:p w:rsidR="00DC7517" w:rsidP="0054321B" w:rsidRDefault="005A4190" w14:paraId="5A0ECFA8" w14:textId="7215BF88">
      <w:pPr>
        <w:spacing w:after="0"/>
        <w:rPr>
          <w:rFonts w:ascii="Verdana" w:hAnsi="Verdana"/>
          <w:sz w:val="18"/>
          <w:szCs w:val="18"/>
        </w:rPr>
      </w:pPr>
      <w:r>
        <w:rPr>
          <w:rFonts w:ascii="Verdana" w:hAnsi="Verdana"/>
          <w:sz w:val="18"/>
          <w:szCs w:val="18"/>
        </w:rPr>
        <w:br/>
      </w:r>
      <w:r w:rsidRPr="0054321B" w:rsidR="0054321B">
        <w:rPr>
          <w:rFonts w:ascii="Verdana" w:hAnsi="Verdana"/>
          <w:sz w:val="18"/>
          <w:szCs w:val="18"/>
        </w:rPr>
        <w:t xml:space="preserve">Tijdens de werklunch </w:t>
      </w:r>
      <w:r w:rsidR="0054321B">
        <w:rPr>
          <w:rFonts w:ascii="Verdana" w:hAnsi="Verdana"/>
          <w:sz w:val="18"/>
          <w:szCs w:val="18"/>
        </w:rPr>
        <w:t>hebben</w:t>
      </w:r>
      <w:r w:rsidRPr="0054321B" w:rsidR="0054321B">
        <w:rPr>
          <w:rFonts w:ascii="Verdana" w:hAnsi="Verdana"/>
          <w:sz w:val="18"/>
          <w:szCs w:val="18"/>
        </w:rPr>
        <w:t xml:space="preserve"> de EU-</w:t>
      </w:r>
      <w:r w:rsidR="009935F9">
        <w:rPr>
          <w:rFonts w:ascii="Verdana" w:hAnsi="Verdana"/>
          <w:sz w:val="18"/>
          <w:szCs w:val="18"/>
        </w:rPr>
        <w:t>m</w:t>
      </w:r>
      <w:r w:rsidRPr="0054321B" w:rsidR="0054321B">
        <w:rPr>
          <w:rFonts w:ascii="Verdana" w:hAnsi="Verdana"/>
          <w:sz w:val="18"/>
          <w:szCs w:val="18"/>
        </w:rPr>
        <w:t xml:space="preserve">inisters en </w:t>
      </w:r>
      <w:r w:rsidR="00CE6A9D">
        <w:rPr>
          <w:rFonts w:ascii="Verdana" w:hAnsi="Verdana"/>
          <w:sz w:val="18"/>
          <w:szCs w:val="18"/>
        </w:rPr>
        <w:t>m</w:t>
      </w:r>
      <w:r w:rsidRPr="0054321B" w:rsidR="0054321B">
        <w:rPr>
          <w:rFonts w:ascii="Verdana" w:hAnsi="Verdana"/>
          <w:sz w:val="18"/>
          <w:szCs w:val="18"/>
        </w:rPr>
        <w:t xml:space="preserve">inisters van een aantal Latijns-Amerikaanse landen </w:t>
      </w:r>
      <w:r w:rsidR="0054321B">
        <w:rPr>
          <w:rFonts w:ascii="Verdana" w:hAnsi="Verdana"/>
          <w:sz w:val="18"/>
          <w:szCs w:val="18"/>
        </w:rPr>
        <w:t>gesproken</w:t>
      </w:r>
      <w:r w:rsidRPr="0054321B" w:rsidR="0054321B">
        <w:rPr>
          <w:rFonts w:ascii="Verdana" w:hAnsi="Verdana"/>
          <w:sz w:val="18"/>
          <w:szCs w:val="18"/>
        </w:rPr>
        <w:t xml:space="preserve"> over verdere samenwerking in de aanpak van georganiseerde criminaliteit.</w:t>
      </w:r>
      <w:r w:rsidR="0054321B">
        <w:rPr>
          <w:rFonts w:ascii="Verdana" w:hAnsi="Verdana"/>
          <w:sz w:val="18"/>
          <w:szCs w:val="18"/>
        </w:rPr>
        <w:t xml:space="preserve"> Tijdens de tafelronde kwamen verschillende </w:t>
      </w:r>
      <w:r w:rsidR="00F92C18">
        <w:rPr>
          <w:rFonts w:ascii="Verdana" w:hAnsi="Verdana"/>
          <w:sz w:val="18"/>
          <w:szCs w:val="18"/>
        </w:rPr>
        <w:t>accenten</w:t>
      </w:r>
      <w:r w:rsidR="0054321B">
        <w:rPr>
          <w:rFonts w:ascii="Verdana" w:hAnsi="Verdana"/>
          <w:sz w:val="18"/>
          <w:szCs w:val="18"/>
        </w:rPr>
        <w:t xml:space="preserve"> naar </w:t>
      </w:r>
      <w:r w:rsidR="00F92C18">
        <w:rPr>
          <w:rFonts w:ascii="Verdana" w:hAnsi="Verdana"/>
          <w:sz w:val="18"/>
          <w:szCs w:val="18"/>
        </w:rPr>
        <w:t>voren</w:t>
      </w:r>
      <w:r w:rsidR="0054321B">
        <w:rPr>
          <w:rFonts w:ascii="Verdana" w:hAnsi="Verdana"/>
          <w:sz w:val="18"/>
          <w:szCs w:val="18"/>
        </w:rPr>
        <w:t xml:space="preserve">, maar er was brede </w:t>
      </w:r>
      <w:r w:rsidR="00F92C18">
        <w:rPr>
          <w:rFonts w:ascii="Verdana" w:hAnsi="Verdana"/>
          <w:sz w:val="18"/>
          <w:szCs w:val="18"/>
        </w:rPr>
        <w:t>overeenstemming</w:t>
      </w:r>
      <w:r w:rsidR="0054321B">
        <w:rPr>
          <w:rFonts w:ascii="Verdana" w:hAnsi="Verdana"/>
          <w:sz w:val="18"/>
          <w:szCs w:val="18"/>
        </w:rPr>
        <w:t xml:space="preserve"> over de urgentie en belang va</w:t>
      </w:r>
      <w:r w:rsidR="009935F9">
        <w:rPr>
          <w:rFonts w:ascii="Verdana" w:hAnsi="Verdana"/>
          <w:sz w:val="18"/>
          <w:szCs w:val="18"/>
        </w:rPr>
        <w:t>n</w:t>
      </w:r>
      <w:r w:rsidR="0054321B">
        <w:rPr>
          <w:rFonts w:ascii="Verdana" w:hAnsi="Verdana"/>
          <w:sz w:val="18"/>
          <w:szCs w:val="18"/>
        </w:rPr>
        <w:t xml:space="preserve"> een gezamenlijke aanpak van </w:t>
      </w:r>
      <w:r w:rsidR="00F92C18">
        <w:rPr>
          <w:rFonts w:ascii="Verdana" w:hAnsi="Verdana"/>
          <w:sz w:val="18"/>
          <w:szCs w:val="18"/>
        </w:rPr>
        <w:t>georganiseerde</w:t>
      </w:r>
      <w:r w:rsidR="0054321B">
        <w:rPr>
          <w:rFonts w:ascii="Verdana" w:hAnsi="Verdana"/>
          <w:sz w:val="18"/>
          <w:szCs w:val="18"/>
        </w:rPr>
        <w:t xml:space="preserve"> criminaliteit. Daarbij werd onderstreept dat nauwe </w:t>
      </w:r>
      <w:r w:rsidR="00F92C18">
        <w:rPr>
          <w:rFonts w:ascii="Verdana" w:hAnsi="Verdana"/>
          <w:sz w:val="18"/>
          <w:szCs w:val="18"/>
        </w:rPr>
        <w:t>samenwerking</w:t>
      </w:r>
      <w:r w:rsidR="0054321B">
        <w:rPr>
          <w:rFonts w:ascii="Verdana" w:hAnsi="Verdana"/>
          <w:sz w:val="18"/>
          <w:szCs w:val="18"/>
        </w:rPr>
        <w:t xml:space="preserve"> tussen de EU en Latijns-Amerika een cruciale rol speelt bij de effectieve bestrijding. </w:t>
      </w:r>
    </w:p>
    <w:p w:rsidR="0054321B" w:rsidP="0054321B" w:rsidRDefault="0054321B" w14:paraId="65B16D68" w14:textId="77777777">
      <w:pPr>
        <w:spacing w:after="0"/>
        <w:rPr>
          <w:rFonts w:ascii="Verdana" w:hAnsi="Verdana"/>
          <w:sz w:val="18"/>
          <w:szCs w:val="18"/>
        </w:rPr>
      </w:pPr>
    </w:p>
    <w:p w:rsidR="0054321B" w:rsidP="0054321B" w:rsidRDefault="0054321B" w14:paraId="58C2AA84" w14:textId="2B650040">
      <w:pPr>
        <w:spacing w:after="0"/>
        <w:rPr>
          <w:rFonts w:ascii="Verdana" w:hAnsi="Verdana"/>
          <w:sz w:val="18"/>
          <w:szCs w:val="18"/>
        </w:rPr>
      </w:pPr>
      <w:r>
        <w:rPr>
          <w:rFonts w:ascii="Verdana" w:hAnsi="Verdana"/>
          <w:sz w:val="18"/>
          <w:szCs w:val="18"/>
        </w:rPr>
        <w:t>Nederland benadrukt</w:t>
      </w:r>
      <w:r w:rsidR="00F44A07">
        <w:rPr>
          <w:rFonts w:ascii="Verdana" w:hAnsi="Verdana"/>
          <w:sz w:val="18"/>
          <w:szCs w:val="18"/>
        </w:rPr>
        <w:t>e het belang</w:t>
      </w:r>
      <w:r>
        <w:rPr>
          <w:rFonts w:ascii="Verdana" w:hAnsi="Verdana"/>
          <w:sz w:val="18"/>
          <w:szCs w:val="18"/>
        </w:rPr>
        <w:t xml:space="preserve"> om in </w:t>
      </w:r>
      <w:r w:rsidR="00F92C18">
        <w:rPr>
          <w:rFonts w:ascii="Verdana" w:hAnsi="Verdana"/>
          <w:sz w:val="18"/>
          <w:szCs w:val="18"/>
        </w:rPr>
        <w:t>internationaal</w:t>
      </w:r>
      <w:r>
        <w:rPr>
          <w:rFonts w:ascii="Verdana" w:hAnsi="Verdana"/>
          <w:sz w:val="18"/>
          <w:szCs w:val="18"/>
        </w:rPr>
        <w:t xml:space="preserve"> verband de wereldwijd vertakte criminele </w:t>
      </w:r>
      <w:r w:rsidR="00F92C18">
        <w:rPr>
          <w:rFonts w:ascii="Verdana" w:hAnsi="Verdana"/>
          <w:sz w:val="18"/>
          <w:szCs w:val="18"/>
        </w:rPr>
        <w:t>netwerken</w:t>
      </w:r>
      <w:r>
        <w:rPr>
          <w:rFonts w:ascii="Verdana" w:hAnsi="Verdana"/>
          <w:sz w:val="18"/>
          <w:szCs w:val="18"/>
        </w:rPr>
        <w:t xml:space="preserve">, machtsstructuren en verdienmodellen te verstoren en te </w:t>
      </w:r>
      <w:r w:rsidR="00F92C18">
        <w:rPr>
          <w:rFonts w:ascii="Verdana" w:hAnsi="Verdana"/>
          <w:sz w:val="18"/>
          <w:szCs w:val="18"/>
        </w:rPr>
        <w:t>ontmantelen</w:t>
      </w:r>
      <w:r>
        <w:rPr>
          <w:rFonts w:ascii="Verdana" w:hAnsi="Verdana"/>
          <w:sz w:val="18"/>
          <w:szCs w:val="18"/>
        </w:rPr>
        <w:t xml:space="preserve">. Daarbij </w:t>
      </w:r>
      <w:r w:rsidR="00F44A07">
        <w:rPr>
          <w:rFonts w:ascii="Verdana" w:hAnsi="Verdana"/>
          <w:sz w:val="18"/>
          <w:szCs w:val="18"/>
        </w:rPr>
        <w:t xml:space="preserve">heeft Nederland </w:t>
      </w:r>
      <w:r>
        <w:rPr>
          <w:rFonts w:ascii="Verdana" w:hAnsi="Verdana"/>
          <w:sz w:val="18"/>
          <w:szCs w:val="18"/>
        </w:rPr>
        <w:t xml:space="preserve">specifiek gewezen op het </w:t>
      </w:r>
      <w:r w:rsidR="00F92C18">
        <w:rPr>
          <w:rFonts w:ascii="Verdana" w:hAnsi="Verdana"/>
          <w:sz w:val="18"/>
          <w:szCs w:val="18"/>
        </w:rPr>
        <w:t>strategische</w:t>
      </w:r>
      <w:r>
        <w:rPr>
          <w:rFonts w:ascii="Verdana" w:hAnsi="Verdana"/>
          <w:sz w:val="18"/>
          <w:szCs w:val="18"/>
        </w:rPr>
        <w:t xml:space="preserve"> belang van versterkte samenwerking</w:t>
      </w:r>
      <w:r w:rsidR="00F92C18">
        <w:rPr>
          <w:rFonts w:ascii="Verdana" w:hAnsi="Verdana"/>
          <w:sz w:val="18"/>
          <w:szCs w:val="18"/>
        </w:rPr>
        <w:t xml:space="preserve"> met Latijns-Amerika</w:t>
      </w:r>
      <w:r>
        <w:rPr>
          <w:rFonts w:ascii="Verdana" w:hAnsi="Verdana"/>
          <w:sz w:val="18"/>
          <w:szCs w:val="18"/>
        </w:rPr>
        <w:t xml:space="preserve">, gezien de gedeelde uitdagingen en noodzaak van een </w:t>
      </w:r>
      <w:r w:rsidR="00F92C18">
        <w:rPr>
          <w:rFonts w:ascii="Verdana" w:hAnsi="Verdana"/>
          <w:sz w:val="18"/>
          <w:szCs w:val="18"/>
        </w:rPr>
        <w:t>gecoördineerde</w:t>
      </w:r>
      <w:r>
        <w:rPr>
          <w:rFonts w:ascii="Verdana" w:hAnsi="Verdana"/>
          <w:sz w:val="18"/>
          <w:szCs w:val="18"/>
        </w:rPr>
        <w:t xml:space="preserve"> aanpak op zowel </w:t>
      </w:r>
      <w:r w:rsidR="00F92C18">
        <w:rPr>
          <w:rFonts w:ascii="Verdana" w:hAnsi="Verdana"/>
          <w:sz w:val="18"/>
          <w:szCs w:val="18"/>
        </w:rPr>
        <w:t>operationeel</w:t>
      </w:r>
      <w:r>
        <w:rPr>
          <w:rFonts w:ascii="Verdana" w:hAnsi="Verdana"/>
          <w:sz w:val="18"/>
          <w:szCs w:val="18"/>
        </w:rPr>
        <w:t xml:space="preserve"> als beleidsmatig niveau.</w:t>
      </w:r>
    </w:p>
    <w:p w:rsidR="0054321B" w:rsidP="0054321B" w:rsidRDefault="0054321B" w14:paraId="6E1EB9E0" w14:textId="77777777">
      <w:pPr>
        <w:spacing w:after="0"/>
        <w:rPr>
          <w:rFonts w:ascii="Verdana" w:hAnsi="Verdana"/>
          <w:sz w:val="18"/>
          <w:szCs w:val="18"/>
        </w:rPr>
      </w:pPr>
    </w:p>
    <w:p w:rsidRPr="0054321B" w:rsidR="0054321B" w:rsidP="0054321B" w:rsidRDefault="003E2009" w14:paraId="0C319C97" w14:textId="5CC7609A">
      <w:pPr>
        <w:spacing w:after="0"/>
        <w:rPr>
          <w:rFonts w:ascii="Verdana" w:hAnsi="Verdana"/>
          <w:sz w:val="18"/>
          <w:szCs w:val="18"/>
        </w:rPr>
      </w:pPr>
      <w:r>
        <w:rPr>
          <w:rFonts w:ascii="Verdana" w:hAnsi="Verdana"/>
          <w:sz w:val="18"/>
          <w:szCs w:val="18"/>
        </w:rPr>
        <w:t>Tijdens</w:t>
      </w:r>
      <w:r w:rsidR="0054321B">
        <w:rPr>
          <w:rFonts w:ascii="Verdana" w:hAnsi="Verdana"/>
          <w:sz w:val="18"/>
          <w:szCs w:val="18"/>
        </w:rPr>
        <w:t xml:space="preserve"> de lunch </w:t>
      </w:r>
      <w:r w:rsidR="00F44A07">
        <w:rPr>
          <w:rFonts w:ascii="Verdana" w:hAnsi="Verdana"/>
          <w:sz w:val="18"/>
          <w:szCs w:val="18"/>
        </w:rPr>
        <w:t xml:space="preserve">hebben de deelnemende ministers </w:t>
      </w:r>
      <w:r w:rsidR="0054321B">
        <w:rPr>
          <w:rFonts w:ascii="Verdana" w:hAnsi="Verdana"/>
          <w:sz w:val="18"/>
          <w:szCs w:val="18"/>
        </w:rPr>
        <w:t>een nieuwe EU-</w:t>
      </w:r>
      <w:r w:rsidR="0042688F">
        <w:rPr>
          <w:rFonts w:ascii="Verdana" w:hAnsi="Verdana"/>
          <w:sz w:val="18"/>
          <w:szCs w:val="18"/>
        </w:rPr>
        <w:t>CLASI</w:t>
      </w:r>
      <w:r w:rsidR="0054321B">
        <w:rPr>
          <w:rFonts w:ascii="Verdana" w:hAnsi="Verdana"/>
          <w:sz w:val="18"/>
          <w:szCs w:val="18"/>
        </w:rPr>
        <w:t xml:space="preserve"> verklaring ondertekend. In deze verklaring zijn de gezamenlijke prioriteiten voor de komende 18 maanden vastgelegd. Deze prioriteiten omvatten onder meer </w:t>
      </w:r>
      <w:r w:rsidR="00F92C18">
        <w:rPr>
          <w:rFonts w:ascii="Verdana" w:hAnsi="Verdana"/>
          <w:sz w:val="18"/>
          <w:szCs w:val="18"/>
        </w:rPr>
        <w:t xml:space="preserve">de </w:t>
      </w:r>
      <w:r w:rsidRPr="00F92C18" w:rsidR="00F92C18">
        <w:rPr>
          <w:rFonts w:ascii="Verdana" w:hAnsi="Verdana"/>
          <w:sz w:val="18"/>
          <w:szCs w:val="18"/>
        </w:rPr>
        <w:t>versterking van de samenwerking tussen de resp</w:t>
      </w:r>
      <w:r>
        <w:rPr>
          <w:rFonts w:ascii="Verdana" w:hAnsi="Verdana"/>
          <w:sz w:val="18"/>
          <w:szCs w:val="18"/>
        </w:rPr>
        <w:t>ectievelijke</w:t>
      </w:r>
      <w:r w:rsidRPr="00F92C18" w:rsidR="00F92C18">
        <w:rPr>
          <w:rFonts w:ascii="Verdana" w:hAnsi="Verdana"/>
          <w:sz w:val="18"/>
          <w:szCs w:val="18"/>
        </w:rPr>
        <w:t xml:space="preserve"> rechtshandhavingsautoriteiten, de aanpak van corruptie en criminele geldstromen en het vergroten van de weerbaarheid van logistieke knooppunten.</w:t>
      </w:r>
      <w:r w:rsidR="00F44A07">
        <w:rPr>
          <w:rFonts w:ascii="Verdana" w:hAnsi="Verdana"/>
          <w:sz w:val="18"/>
          <w:szCs w:val="18"/>
        </w:rPr>
        <w:t xml:space="preserve"> Deze prioriteiten sluiten nauw aan bij de inzet van het kabinet in de strijd tegen georganiseerde criminaliteit.</w:t>
      </w:r>
    </w:p>
    <w:p w:rsidR="00DC7517" w:rsidP="00D42F00" w:rsidRDefault="00DC7517" w14:paraId="35442FEE" w14:textId="77777777">
      <w:pPr>
        <w:pStyle w:val="Lijstalinea"/>
        <w:spacing w:after="0"/>
        <w:ind w:left="360"/>
        <w:rPr>
          <w:rFonts w:ascii="Verdana" w:hAnsi="Verdana"/>
          <w:sz w:val="18"/>
          <w:szCs w:val="18"/>
        </w:rPr>
      </w:pPr>
    </w:p>
    <w:p w:rsidR="00DC7517" w:rsidP="00DC7517" w:rsidRDefault="00DC7517" w14:paraId="694459E0" w14:textId="01EB8472">
      <w:pPr>
        <w:pStyle w:val="Lijstalinea"/>
        <w:numPr>
          <w:ilvl w:val="3"/>
          <w:numId w:val="1"/>
        </w:numPr>
        <w:spacing w:after="0"/>
        <w:rPr>
          <w:rFonts w:ascii="Verdana" w:hAnsi="Verdana"/>
          <w:b/>
          <w:bCs/>
          <w:sz w:val="18"/>
          <w:szCs w:val="18"/>
        </w:rPr>
      </w:pPr>
      <w:r w:rsidRPr="00DC7517">
        <w:rPr>
          <w:rFonts w:ascii="Verdana" w:hAnsi="Verdana"/>
          <w:b/>
          <w:bCs/>
          <w:sz w:val="18"/>
          <w:szCs w:val="18"/>
        </w:rPr>
        <w:t>EU</w:t>
      </w:r>
      <w:r w:rsidR="003E2009">
        <w:rPr>
          <w:rFonts w:ascii="Verdana" w:hAnsi="Verdana"/>
          <w:b/>
          <w:bCs/>
          <w:sz w:val="18"/>
          <w:szCs w:val="18"/>
        </w:rPr>
        <w:t>-</w:t>
      </w:r>
      <w:r w:rsidRPr="00DC7517">
        <w:rPr>
          <w:rFonts w:ascii="Verdana" w:hAnsi="Verdana"/>
          <w:b/>
          <w:bCs/>
          <w:sz w:val="18"/>
          <w:szCs w:val="18"/>
        </w:rPr>
        <w:t>actieplan inzake veiligheid van kabels</w:t>
      </w:r>
    </w:p>
    <w:p w:rsidR="009935F9" w:rsidP="00B44F1B" w:rsidRDefault="005A4190" w14:paraId="582E40B4" w14:textId="41CECE4C">
      <w:pPr>
        <w:spacing w:after="0"/>
        <w:rPr>
          <w:rFonts w:ascii="Verdana" w:hAnsi="Verdana"/>
          <w:sz w:val="18"/>
          <w:szCs w:val="18"/>
        </w:rPr>
      </w:pPr>
      <w:r>
        <w:rPr>
          <w:rFonts w:ascii="Verdana" w:hAnsi="Verdana"/>
          <w:sz w:val="18"/>
          <w:szCs w:val="18"/>
        </w:rPr>
        <w:br/>
      </w:r>
      <w:r w:rsidRPr="00B44F1B" w:rsidR="00B44F1B">
        <w:rPr>
          <w:rFonts w:ascii="Verdana" w:hAnsi="Verdana"/>
          <w:sz w:val="18"/>
          <w:szCs w:val="18"/>
        </w:rPr>
        <w:t>D</w:t>
      </w:r>
      <w:r w:rsidR="00F44A07">
        <w:rPr>
          <w:rFonts w:ascii="Verdana" w:hAnsi="Verdana"/>
          <w:sz w:val="18"/>
          <w:szCs w:val="18"/>
        </w:rPr>
        <w:t>e</w:t>
      </w:r>
      <w:r w:rsidRPr="00B44F1B" w:rsidR="00B44F1B">
        <w:rPr>
          <w:rFonts w:ascii="Verdana" w:hAnsi="Verdana"/>
          <w:sz w:val="18"/>
          <w:szCs w:val="18"/>
        </w:rPr>
        <w:t xml:space="preserve"> Commissie </w:t>
      </w:r>
      <w:r w:rsidR="00F44A07">
        <w:rPr>
          <w:rFonts w:ascii="Verdana" w:hAnsi="Verdana"/>
          <w:sz w:val="18"/>
          <w:szCs w:val="18"/>
        </w:rPr>
        <w:t>gaf een toelichting op</w:t>
      </w:r>
      <w:r w:rsidRPr="00B44F1B" w:rsidR="00F44A07">
        <w:rPr>
          <w:rFonts w:ascii="Verdana" w:hAnsi="Verdana"/>
          <w:sz w:val="18"/>
          <w:szCs w:val="18"/>
        </w:rPr>
        <w:t xml:space="preserve"> </w:t>
      </w:r>
      <w:r w:rsidRPr="00B44F1B" w:rsidR="00B44F1B">
        <w:rPr>
          <w:rFonts w:ascii="Verdana" w:hAnsi="Verdana"/>
          <w:sz w:val="18"/>
          <w:szCs w:val="18"/>
        </w:rPr>
        <w:t xml:space="preserve">het op 21 februari </w:t>
      </w:r>
      <w:r w:rsidR="003E2009">
        <w:rPr>
          <w:rFonts w:ascii="Verdana" w:hAnsi="Verdana"/>
          <w:sz w:val="18"/>
          <w:szCs w:val="18"/>
        </w:rPr>
        <w:t xml:space="preserve">jl. </w:t>
      </w:r>
      <w:r w:rsidRPr="00B44F1B" w:rsidR="00B44F1B">
        <w:rPr>
          <w:rFonts w:ascii="Verdana" w:hAnsi="Verdana"/>
          <w:sz w:val="18"/>
          <w:szCs w:val="18"/>
        </w:rPr>
        <w:t>gepubliceerde EU</w:t>
      </w:r>
      <w:r w:rsidR="00153AAA">
        <w:rPr>
          <w:rFonts w:ascii="Verdana" w:hAnsi="Verdana"/>
          <w:sz w:val="18"/>
          <w:szCs w:val="18"/>
        </w:rPr>
        <w:t>-</w:t>
      </w:r>
      <w:r w:rsidRPr="00B44F1B" w:rsidR="00B44F1B">
        <w:rPr>
          <w:rFonts w:ascii="Verdana" w:hAnsi="Verdana"/>
          <w:sz w:val="18"/>
          <w:szCs w:val="18"/>
        </w:rPr>
        <w:t>actieplan over de bescherming van onderzeese infrastructuur</w:t>
      </w:r>
      <w:r w:rsidR="003E2009">
        <w:rPr>
          <w:rFonts w:ascii="Verdana" w:hAnsi="Verdana"/>
          <w:sz w:val="18"/>
          <w:szCs w:val="18"/>
        </w:rPr>
        <w:t xml:space="preserve">. </w:t>
      </w:r>
      <w:r w:rsidRPr="00B44F1B" w:rsidR="00B44F1B">
        <w:rPr>
          <w:rFonts w:ascii="Verdana" w:hAnsi="Verdana"/>
          <w:sz w:val="18"/>
          <w:szCs w:val="18"/>
        </w:rPr>
        <w:t xml:space="preserve">De Commissie benadrukte de noodzaak van een meer omvattende Europese benadering in de bescherming van onderzeese infrastructuur. </w:t>
      </w:r>
    </w:p>
    <w:p w:rsidRPr="00B44F1B" w:rsidR="00B44F1B" w:rsidP="00B44F1B" w:rsidRDefault="00B44F1B" w14:paraId="6987A948" w14:textId="29805C1A">
      <w:pPr>
        <w:spacing w:after="0"/>
        <w:rPr>
          <w:rFonts w:ascii="Verdana" w:hAnsi="Verdana"/>
          <w:sz w:val="18"/>
          <w:szCs w:val="18"/>
        </w:rPr>
      </w:pPr>
      <w:r w:rsidRPr="00B44F1B">
        <w:rPr>
          <w:rFonts w:ascii="Verdana" w:hAnsi="Verdana"/>
          <w:sz w:val="18"/>
          <w:szCs w:val="18"/>
        </w:rPr>
        <w:t xml:space="preserve">Het gepresenteerde actieplan is </w:t>
      </w:r>
      <w:r w:rsidRPr="00B44F1B" w:rsidR="00F44A07">
        <w:rPr>
          <w:rFonts w:ascii="Verdana" w:hAnsi="Verdana"/>
          <w:sz w:val="18"/>
          <w:szCs w:val="18"/>
        </w:rPr>
        <w:t xml:space="preserve">volgens de Commissie </w:t>
      </w:r>
      <w:r w:rsidRPr="00B44F1B">
        <w:rPr>
          <w:rFonts w:ascii="Verdana" w:hAnsi="Verdana"/>
          <w:sz w:val="18"/>
          <w:szCs w:val="18"/>
        </w:rPr>
        <w:t xml:space="preserve">een stap in de juiste richting en richt zich op vier pijlers: preventie, detectie, herstel en afschrikking. Gezien de toename van aanvallen op onderzeese infrastructuur in de afgelopen maanden en de potentiële gevolgen voor essentiële diensten en de maatschappelijke veiligheid, </w:t>
      </w:r>
      <w:r w:rsidR="00F44A07">
        <w:rPr>
          <w:rFonts w:ascii="Verdana" w:hAnsi="Verdana"/>
          <w:sz w:val="18"/>
          <w:szCs w:val="18"/>
        </w:rPr>
        <w:t>uitte de Raad</w:t>
      </w:r>
      <w:r w:rsidRPr="00B44F1B">
        <w:rPr>
          <w:rFonts w:ascii="Verdana" w:hAnsi="Verdana"/>
          <w:sz w:val="18"/>
          <w:szCs w:val="18"/>
        </w:rPr>
        <w:t xml:space="preserve"> brede steun voor een gecoördineerde aanpak. </w:t>
      </w:r>
    </w:p>
    <w:p w:rsidRPr="00B44F1B" w:rsidR="00B44F1B" w:rsidP="00B44F1B" w:rsidRDefault="00B44F1B" w14:paraId="324E3589" w14:textId="77777777">
      <w:pPr>
        <w:spacing w:after="0"/>
        <w:rPr>
          <w:rFonts w:ascii="Verdana" w:hAnsi="Verdana"/>
          <w:sz w:val="18"/>
          <w:szCs w:val="18"/>
        </w:rPr>
      </w:pPr>
    </w:p>
    <w:p w:rsidR="009935F9" w:rsidP="00DC7517" w:rsidRDefault="00F44A07" w14:paraId="445FEAB4" w14:textId="18816B1F">
      <w:pPr>
        <w:spacing w:after="0"/>
        <w:rPr>
          <w:rFonts w:ascii="Verdana" w:hAnsi="Verdana"/>
          <w:sz w:val="18"/>
          <w:szCs w:val="18"/>
        </w:rPr>
      </w:pPr>
      <w:r>
        <w:rPr>
          <w:rFonts w:ascii="Verdana" w:hAnsi="Verdana"/>
          <w:sz w:val="18"/>
          <w:szCs w:val="18"/>
        </w:rPr>
        <w:t>De</w:t>
      </w:r>
      <w:r w:rsidR="003E2009">
        <w:rPr>
          <w:rFonts w:ascii="Verdana" w:hAnsi="Verdana"/>
          <w:sz w:val="18"/>
          <w:szCs w:val="18"/>
        </w:rPr>
        <w:t xml:space="preserve"> </w:t>
      </w:r>
      <w:r w:rsidRPr="00B44F1B" w:rsidR="00B44F1B">
        <w:rPr>
          <w:rFonts w:ascii="Verdana" w:hAnsi="Verdana"/>
          <w:sz w:val="18"/>
          <w:szCs w:val="18"/>
        </w:rPr>
        <w:t xml:space="preserve">lidstaten </w:t>
      </w:r>
      <w:r>
        <w:rPr>
          <w:rFonts w:ascii="Verdana" w:hAnsi="Verdana"/>
          <w:sz w:val="18"/>
          <w:szCs w:val="18"/>
        </w:rPr>
        <w:t xml:space="preserve">verwelkomden </w:t>
      </w:r>
      <w:r w:rsidRPr="00B44F1B" w:rsidR="00B44F1B">
        <w:rPr>
          <w:rFonts w:ascii="Verdana" w:hAnsi="Verdana"/>
          <w:sz w:val="18"/>
          <w:szCs w:val="18"/>
        </w:rPr>
        <w:t xml:space="preserve">het actieplan en </w:t>
      </w:r>
      <w:r w:rsidRPr="00B44F1B">
        <w:rPr>
          <w:rFonts w:ascii="Verdana" w:hAnsi="Verdana"/>
          <w:sz w:val="18"/>
          <w:szCs w:val="18"/>
        </w:rPr>
        <w:t>onderstreept</w:t>
      </w:r>
      <w:r>
        <w:rPr>
          <w:rFonts w:ascii="Verdana" w:hAnsi="Verdana"/>
          <w:sz w:val="18"/>
          <w:szCs w:val="18"/>
        </w:rPr>
        <w:t>en</w:t>
      </w:r>
      <w:r w:rsidRPr="00B44F1B">
        <w:rPr>
          <w:rFonts w:ascii="Verdana" w:hAnsi="Verdana"/>
          <w:sz w:val="18"/>
          <w:szCs w:val="18"/>
        </w:rPr>
        <w:t xml:space="preserve"> </w:t>
      </w:r>
      <w:r w:rsidRPr="00B44F1B" w:rsidR="00B44F1B">
        <w:rPr>
          <w:rFonts w:ascii="Verdana" w:hAnsi="Verdana"/>
          <w:sz w:val="18"/>
          <w:szCs w:val="18"/>
        </w:rPr>
        <w:t xml:space="preserve">het </w:t>
      </w:r>
      <w:r>
        <w:rPr>
          <w:rFonts w:ascii="Verdana" w:hAnsi="Verdana"/>
          <w:sz w:val="18"/>
          <w:szCs w:val="18"/>
        </w:rPr>
        <w:t>belang van de bescherming van onderzeese infrastructuur</w:t>
      </w:r>
      <w:r w:rsidRPr="00B44F1B" w:rsidR="00B44F1B">
        <w:rPr>
          <w:rFonts w:ascii="Verdana" w:hAnsi="Verdana"/>
          <w:sz w:val="18"/>
          <w:szCs w:val="18"/>
        </w:rPr>
        <w:t xml:space="preserve">. </w:t>
      </w:r>
      <w:r w:rsidR="009935F9">
        <w:rPr>
          <w:rFonts w:ascii="Verdana" w:hAnsi="Verdana"/>
          <w:sz w:val="18"/>
          <w:szCs w:val="18"/>
        </w:rPr>
        <w:t>Lidstaten constateerden</w:t>
      </w:r>
      <w:r w:rsidRPr="00B44F1B" w:rsidR="00B44F1B">
        <w:rPr>
          <w:rFonts w:ascii="Verdana" w:hAnsi="Verdana"/>
          <w:sz w:val="18"/>
          <w:szCs w:val="18"/>
        </w:rPr>
        <w:t xml:space="preserve"> dat de dreiging niet beperkt blijft tot de Oostzee, maar alle zeeën rondom de EU aangaat, </w:t>
      </w:r>
      <w:r w:rsidR="0043782E">
        <w:rPr>
          <w:rFonts w:ascii="Verdana" w:hAnsi="Verdana"/>
          <w:sz w:val="18"/>
          <w:szCs w:val="18"/>
        </w:rPr>
        <w:t>waarbij</w:t>
      </w:r>
      <w:r w:rsidRPr="00B44F1B" w:rsidR="0043782E">
        <w:rPr>
          <w:rFonts w:ascii="Verdana" w:hAnsi="Verdana"/>
          <w:sz w:val="18"/>
          <w:szCs w:val="18"/>
        </w:rPr>
        <w:t xml:space="preserve"> de Middellandse Zee en de Atlantische Oceaan</w:t>
      </w:r>
      <w:r w:rsidR="0043782E">
        <w:rPr>
          <w:rFonts w:ascii="Verdana" w:hAnsi="Verdana"/>
          <w:sz w:val="18"/>
          <w:szCs w:val="18"/>
        </w:rPr>
        <w:t xml:space="preserve"> als</w:t>
      </w:r>
      <w:r w:rsidRPr="00B44F1B" w:rsidR="0043782E">
        <w:rPr>
          <w:rFonts w:ascii="Verdana" w:hAnsi="Verdana"/>
          <w:sz w:val="18"/>
          <w:szCs w:val="18"/>
        </w:rPr>
        <w:t xml:space="preserve"> </w:t>
      </w:r>
      <w:r w:rsidRPr="00B44F1B" w:rsidR="00B44F1B">
        <w:rPr>
          <w:rFonts w:ascii="Verdana" w:hAnsi="Verdana"/>
          <w:sz w:val="18"/>
          <w:szCs w:val="18"/>
        </w:rPr>
        <w:t xml:space="preserve">risicogebieden </w:t>
      </w:r>
      <w:r w:rsidR="0043782E">
        <w:rPr>
          <w:rFonts w:ascii="Verdana" w:hAnsi="Verdana"/>
          <w:sz w:val="18"/>
          <w:szCs w:val="18"/>
        </w:rPr>
        <w:t>gelden</w:t>
      </w:r>
      <w:r w:rsidRPr="00B44F1B" w:rsidR="00B44F1B">
        <w:rPr>
          <w:rFonts w:ascii="Verdana" w:hAnsi="Verdana"/>
          <w:sz w:val="18"/>
          <w:szCs w:val="18"/>
        </w:rPr>
        <w:t>.</w:t>
      </w:r>
      <w:r w:rsidR="003E2009">
        <w:rPr>
          <w:rFonts w:ascii="Verdana" w:hAnsi="Verdana"/>
          <w:sz w:val="18"/>
          <w:szCs w:val="18"/>
        </w:rPr>
        <w:t xml:space="preserve"> </w:t>
      </w:r>
      <w:r w:rsidRPr="00B44F1B" w:rsidR="00B44F1B">
        <w:rPr>
          <w:rFonts w:ascii="Verdana" w:hAnsi="Verdana"/>
          <w:sz w:val="18"/>
          <w:szCs w:val="18"/>
        </w:rPr>
        <w:t>Lidstaten benadruk</w:t>
      </w:r>
      <w:r w:rsidR="009935F9">
        <w:rPr>
          <w:rFonts w:ascii="Verdana" w:hAnsi="Verdana"/>
          <w:sz w:val="18"/>
          <w:szCs w:val="18"/>
        </w:rPr>
        <w:t>t</w:t>
      </w:r>
      <w:r w:rsidRPr="00B44F1B" w:rsidR="00B44F1B">
        <w:rPr>
          <w:rFonts w:ascii="Verdana" w:hAnsi="Verdana"/>
          <w:sz w:val="18"/>
          <w:szCs w:val="18"/>
        </w:rPr>
        <w:t xml:space="preserve">en het belang van nauwere samenwerking met internationale partners, verbeterde informatie-uitwisseling en </w:t>
      </w:r>
      <w:r w:rsidR="0043782E">
        <w:rPr>
          <w:rFonts w:ascii="Verdana" w:hAnsi="Verdana"/>
          <w:sz w:val="18"/>
          <w:szCs w:val="18"/>
        </w:rPr>
        <w:t xml:space="preserve">adequate </w:t>
      </w:r>
      <w:r w:rsidRPr="00B44F1B" w:rsidR="00B44F1B">
        <w:rPr>
          <w:rFonts w:ascii="Verdana" w:hAnsi="Verdana"/>
          <w:sz w:val="18"/>
          <w:szCs w:val="18"/>
        </w:rPr>
        <w:t>financiering. Verschillende lidstaten w</w:t>
      </w:r>
      <w:r w:rsidR="009935F9">
        <w:rPr>
          <w:rFonts w:ascii="Verdana" w:hAnsi="Verdana"/>
          <w:sz w:val="18"/>
          <w:szCs w:val="18"/>
        </w:rPr>
        <w:t>e</w:t>
      </w:r>
      <w:r w:rsidRPr="00B44F1B" w:rsidR="00B44F1B">
        <w:rPr>
          <w:rFonts w:ascii="Verdana" w:hAnsi="Verdana"/>
          <w:sz w:val="18"/>
          <w:szCs w:val="18"/>
        </w:rPr>
        <w:t>zen op de noodzaak om nationale capaciteiten te versterken en pleiten voor EU-financiering binnen het huidige en toekomstige Meerjarig Financieel Kader (MFK).</w:t>
      </w:r>
      <w:r w:rsidR="009935F9">
        <w:rPr>
          <w:rFonts w:ascii="Verdana" w:hAnsi="Verdana"/>
          <w:sz w:val="18"/>
          <w:szCs w:val="18"/>
        </w:rPr>
        <w:t xml:space="preserve"> </w:t>
      </w:r>
    </w:p>
    <w:p w:rsidR="009935F9" w:rsidP="00DC7517" w:rsidRDefault="009935F9" w14:paraId="768F9077" w14:textId="77777777">
      <w:pPr>
        <w:spacing w:after="0"/>
        <w:rPr>
          <w:rFonts w:ascii="Verdana" w:hAnsi="Verdana"/>
          <w:sz w:val="18"/>
          <w:szCs w:val="18"/>
        </w:rPr>
      </w:pPr>
    </w:p>
    <w:p w:rsidR="00DC7517" w:rsidP="00DC7517" w:rsidRDefault="0043782E" w14:paraId="1F4568D5" w14:textId="2B6F9EC6">
      <w:pPr>
        <w:spacing w:after="0"/>
        <w:rPr>
          <w:rFonts w:ascii="Verdana" w:hAnsi="Verdana"/>
          <w:sz w:val="18"/>
          <w:szCs w:val="18"/>
        </w:rPr>
      </w:pPr>
      <w:r>
        <w:rPr>
          <w:rFonts w:ascii="Verdana" w:hAnsi="Verdana"/>
          <w:sz w:val="18"/>
          <w:szCs w:val="18"/>
        </w:rPr>
        <w:t>Het kabinet informeert uw</w:t>
      </w:r>
      <w:r w:rsidRPr="00B44F1B">
        <w:rPr>
          <w:rFonts w:ascii="Verdana" w:hAnsi="Verdana"/>
          <w:sz w:val="18"/>
          <w:szCs w:val="18"/>
        </w:rPr>
        <w:t xml:space="preserve"> </w:t>
      </w:r>
      <w:r w:rsidRPr="00B44F1B" w:rsidR="003E2009">
        <w:rPr>
          <w:rFonts w:ascii="Verdana" w:hAnsi="Verdana"/>
          <w:sz w:val="18"/>
          <w:szCs w:val="18"/>
        </w:rPr>
        <w:t xml:space="preserve">Kamer </w:t>
      </w:r>
      <w:r>
        <w:rPr>
          <w:rFonts w:ascii="Verdana" w:hAnsi="Verdana"/>
          <w:sz w:val="18"/>
          <w:szCs w:val="18"/>
        </w:rPr>
        <w:t>conform de gebruikelijke</w:t>
      </w:r>
      <w:r w:rsidRPr="00B44F1B" w:rsidR="003E2009">
        <w:rPr>
          <w:rFonts w:ascii="Verdana" w:hAnsi="Verdana"/>
          <w:sz w:val="18"/>
          <w:szCs w:val="18"/>
        </w:rPr>
        <w:t xml:space="preserve"> BNC-</w:t>
      </w:r>
      <w:r>
        <w:rPr>
          <w:rFonts w:ascii="Verdana" w:hAnsi="Verdana"/>
          <w:sz w:val="18"/>
          <w:szCs w:val="18"/>
        </w:rPr>
        <w:t>procedure</w:t>
      </w:r>
      <w:r w:rsidRPr="00B44F1B">
        <w:rPr>
          <w:rFonts w:ascii="Verdana" w:hAnsi="Verdana"/>
          <w:sz w:val="18"/>
          <w:szCs w:val="18"/>
        </w:rPr>
        <w:t xml:space="preserve"> </w:t>
      </w:r>
      <w:r w:rsidRPr="00B44F1B" w:rsidR="003E2009">
        <w:rPr>
          <w:rFonts w:ascii="Verdana" w:hAnsi="Verdana"/>
          <w:sz w:val="18"/>
          <w:szCs w:val="18"/>
        </w:rPr>
        <w:t>over het standpunt van het kabinet</w:t>
      </w:r>
      <w:r>
        <w:rPr>
          <w:rFonts w:ascii="Verdana" w:hAnsi="Verdana"/>
          <w:sz w:val="18"/>
          <w:szCs w:val="18"/>
        </w:rPr>
        <w:t xml:space="preserve"> over het voorstel</w:t>
      </w:r>
      <w:r w:rsidRPr="00B44F1B" w:rsidR="003E2009">
        <w:rPr>
          <w:rFonts w:ascii="Verdana" w:hAnsi="Verdana"/>
          <w:sz w:val="18"/>
          <w:szCs w:val="18"/>
        </w:rPr>
        <w:t>.</w:t>
      </w:r>
    </w:p>
    <w:p w:rsidRPr="00050D41" w:rsidR="003E2009" w:rsidP="00DC7517" w:rsidRDefault="003E2009" w14:paraId="6966ED02" w14:textId="77777777">
      <w:pPr>
        <w:spacing w:after="0"/>
        <w:rPr>
          <w:rFonts w:ascii="Verdana" w:hAnsi="Verdana"/>
          <w:sz w:val="18"/>
          <w:szCs w:val="18"/>
        </w:rPr>
      </w:pPr>
    </w:p>
    <w:p w:rsidRPr="001C6EB7" w:rsidR="00DC7517" w:rsidP="00DC7517" w:rsidRDefault="00DC7517" w14:paraId="44D384FA" w14:textId="77777777">
      <w:pPr>
        <w:pStyle w:val="Lijstalinea"/>
        <w:numPr>
          <w:ilvl w:val="3"/>
          <w:numId w:val="1"/>
        </w:numPr>
        <w:spacing w:after="0"/>
        <w:rPr>
          <w:rFonts w:ascii="Verdana" w:hAnsi="Verdana"/>
          <w:b/>
          <w:sz w:val="18"/>
          <w:szCs w:val="18"/>
        </w:rPr>
      </w:pPr>
      <w:r>
        <w:rPr>
          <w:rFonts w:ascii="Verdana" w:hAnsi="Verdana"/>
          <w:b/>
          <w:sz w:val="18"/>
          <w:szCs w:val="18"/>
        </w:rPr>
        <w:t>Externe dimensie van migratie</w:t>
      </w:r>
    </w:p>
    <w:p w:rsidR="000B57BF" w:rsidP="00DC7517" w:rsidRDefault="000B57BF" w14:paraId="70FFA369" w14:textId="77777777">
      <w:pPr>
        <w:spacing w:after="0"/>
        <w:rPr>
          <w:rFonts w:ascii="Verdana" w:hAnsi="Verdana" w:eastAsia="Verdana" w:cs="Verdana"/>
          <w:sz w:val="18"/>
          <w:szCs w:val="18"/>
          <w:highlight w:val="yellow"/>
        </w:rPr>
      </w:pPr>
    </w:p>
    <w:p w:rsidR="000B57BF" w:rsidP="000B57BF" w:rsidRDefault="000B57BF" w14:paraId="5220B924" w14:textId="548494CD">
      <w:pPr>
        <w:rPr>
          <w:rFonts w:ascii="Verdana" w:hAnsi="Verdana"/>
          <w:sz w:val="18"/>
          <w:szCs w:val="18"/>
        </w:rPr>
      </w:pPr>
      <w:r>
        <w:rPr>
          <w:rFonts w:ascii="Verdana" w:hAnsi="Verdana"/>
          <w:sz w:val="18"/>
          <w:szCs w:val="18"/>
        </w:rPr>
        <w:t>Onder dit agendapunt spraken de Commissie en de lidstaten over de mogelijkheden voor een EU-kader voor zogenaamde ‘go-and-see’-bezoeken</w:t>
      </w:r>
      <w:r w:rsidR="0043782E">
        <w:rPr>
          <w:rFonts w:ascii="Verdana" w:hAnsi="Verdana"/>
          <w:sz w:val="18"/>
          <w:szCs w:val="18"/>
        </w:rPr>
        <w:t xml:space="preserve"> aan Syrië zonder het verlies van asielstatus</w:t>
      </w:r>
      <w:r>
        <w:rPr>
          <w:rFonts w:ascii="Verdana" w:hAnsi="Verdana"/>
          <w:sz w:val="18"/>
          <w:szCs w:val="18"/>
        </w:rPr>
        <w:t xml:space="preserve">, en over gedwongen terugkeer van Syrische onderdanen die een gevaar vormen voor de nationale veiligheid of strafrechtelijk veroordeeld zijn. De Commissie benadrukte de toegevoegde waarde van EU-coördinatie op go and see-beleid, </w:t>
      </w:r>
      <w:r w:rsidR="0043782E">
        <w:rPr>
          <w:rFonts w:ascii="Verdana" w:hAnsi="Verdana"/>
          <w:sz w:val="18"/>
          <w:szCs w:val="18"/>
        </w:rPr>
        <w:t>onder andere</w:t>
      </w:r>
      <w:r w:rsidR="00680ED2">
        <w:rPr>
          <w:rFonts w:ascii="Verdana" w:hAnsi="Verdana"/>
          <w:sz w:val="18"/>
          <w:szCs w:val="18"/>
        </w:rPr>
        <w:t xml:space="preserve"> </w:t>
      </w:r>
      <w:r>
        <w:rPr>
          <w:rFonts w:ascii="Verdana" w:hAnsi="Verdana"/>
          <w:sz w:val="18"/>
          <w:szCs w:val="18"/>
        </w:rPr>
        <w:t>om secundaire migratie als gevolg van verschillende nationale praktijken te voorkomen, en stelde voor de lidstaten te ondersteunen met de ontwikkeling van een Europees kader.</w:t>
      </w:r>
      <w:r w:rsidRPr="005A6530">
        <w:rPr>
          <w:rFonts w:ascii="Verdana" w:hAnsi="Verdana"/>
          <w:sz w:val="18"/>
          <w:szCs w:val="18"/>
        </w:rPr>
        <w:t xml:space="preserve"> </w:t>
      </w:r>
      <w:r>
        <w:rPr>
          <w:rFonts w:ascii="Verdana" w:hAnsi="Verdana"/>
          <w:sz w:val="18"/>
          <w:szCs w:val="18"/>
        </w:rPr>
        <w:t>De Europese Dienst voor Extern Optreden (EDEO) schetste dat de voorwaarden voor grootschalige verplichte terugkeer van Syriërs momenteel nog niet vervuld zijn.</w:t>
      </w:r>
    </w:p>
    <w:p w:rsidR="000B57BF" w:rsidP="000B57BF" w:rsidRDefault="000B57BF" w14:paraId="4C6B7D95" w14:textId="77777777">
      <w:pPr>
        <w:rPr>
          <w:rFonts w:ascii="Verdana" w:hAnsi="Verdana"/>
          <w:sz w:val="18"/>
          <w:szCs w:val="18"/>
        </w:rPr>
      </w:pPr>
      <w:r>
        <w:rPr>
          <w:rFonts w:ascii="Verdana" w:hAnsi="Verdana"/>
          <w:sz w:val="18"/>
          <w:szCs w:val="18"/>
        </w:rPr>
        <w:t xml:space="preserve">Een groot aantal lidstaten stond open voor de suggestie van de Commissie voor een EU-kader, maar had nog veel vragen waren over de modaliteiten van dergelijke bezoeken. Enkele lidstaten benoemden ook mogelijke gevolgen van een Europees kader voor interne veiligheid. Nagenoeg alle lidstaten waren het erover eens dat de terugkeer van Syrische onderdanen die een bedreiging vormen voor de nationale veiligheid of veroordeeld zijn prioriteit moet hebben, met inachtneming van het internationaal recht. </w:t>
      </w:r>
    </w:p>
    <w:p w:rsidRPr="00DC7517" w:rsidR="00DC7517" w:rsidP="00CE6A9D" w:rsidRDefault="000B57BF" w14:paraId="41A62E27" w14:textId="618ECE6F">
      <w:pPr>
        <w:rPr>
          <w:rFonts w:ascii="Verdana" w:hAnsi="Verdana"/>
          <w:b/>
          <w:bCs/>
          <w:sz w:val="18"/>
          <w:szCs w:val="18"/>
        </w:rPr>
      </w:pPr>
      <w:r>
        <w:rPr>
          <w:rFonts w:ascii="Verdana" w:hAnsi="Verdana"/>
          <w:sz w:val="18"/>
          <w:szCs w:val="18"/>
        </w:rPr>
        <w:t xml:space="preserve">Nederland heeft ingebracht </w:t>
      </w:r>
      <w:r w:rsidRPr="000008A9">
        <w:rPr>
          <w:rFonts w:ascii="Verdana" w:hAnsi="Verdana"/>
          <w:sz w:val="18"/>
          <w:szCs w:val="18"/>
        </w:rPr>
        <w:t xml:space="preserve">dat eerst </w:t>
      </w:r>
      <w:r w:rsidRPr="000008A9" w:rsidR="0043782E">
        <w:rPr>
          <w:rFonts w:ascii="Verdana" w:hAnsi="Verdana"/>
          <w:sz w:val="18"/>
          <w:szCs w:val="18"/>
        </w:rPr>
        <w:t xml:space="preserve">moeten worden </w:t>
      </w:r>
      <w:r w:rsidRPr="000008A9">
        <w:rPr>
          <w:rFonts w:ascii="Verdana" w:hAnsi="Verdana"/>
          <w:sz w:val="18"/>
          <w:szCs w:val="18"/>
        </w:rPr>
        <w:t xml:space="preserve">verkend hoe een Europees raamwerk voor </w:t>
      </w:r>
      <w:r>
        <w:rPr>
          <w:rFonts w:ascii="Verdana" w:hAnsi="Verdana"/>
          <w:sz w:val="18"/>
          <w:szCs w:val="18"/>
        </w:rPr>
        <w:t>‘</w:t>
      </w:r>
      <w:r w:rsidRPr="000008A9">
        <w:rPr>
          <w:rFonts w:ascii="Verdana" w:hAnsi="Verdana"/>
          <w:sz w:val="18"/>
          <w:szCs w:val="18"/>
        </w:rPr>
        <w:t>go and see</w:t>
      </w:r>
      <w:r>
        <w:rPr>
          <w:rFonts w:ascii="Verdana" w:hAnsi="Verdana"/>
          <w:sz w:val="18"/>
          <w:szCs w:val="18"/>
        </w:rPr>
        <w:t>’</w:t>
      </w:r>
      <w:r w:rsidRPr="000008A9">
        <w:rPr>
          <w:rFonts w:ascii="Verdana" w:hAnsi="Verdana"/>
          <w:sz w:val="18"/>
          <w:szCs w:val="18"/>
        </w:rPr>
        <w:t xml:space="preserve"> samenhangt met Europese wetgeving zoals de Kwalificatierichtlijn en of het daadwerkelijk bijdraagt aan vrijwillige terugkeer. Bovendien </w:t>
      </w:r>
      <w:r>
        <w:rPr>
          <w:rFonts w:ascii="Verdana" w:hAnsi="Verdana"/>
          <w:sz w:val="18"/>
          <w:szCs w:val="18"/>
        </w:rPr>
        <w:t xml:space="preserve">heeft Nederland </w:t>
      </w:r>
      <w:r w:rsidRPr="000008A9">
        <w:rPr>
          <w:rFonts w:ascii="Verdana" w:hAnsi="Verdana"/>
          <w:sz w:val="18"/>
          <w:szCs w:val="18"/>
        </w:rPr>
        <w:t>er</w:t>
      </w:r>
      <w:r>
        <w:rPr>
          <w:rFonts w:ascii="Verdana" w:hAnsi="Verdana"/>
          <w:sz w:val="18"/>
          <w:szCs w:val="18"/>
        </w:rPr>
        <w:t xml:space="preserve">voor gepleit </w:t>
      </w:r>
      <w:r w:rsidRPr="000008A9">
        <w:rPr>
          <w:rFonts w:ascii="Verdana" w:hAnsi="Verdana"/>
          <w:sz w:val="18"/>
          <w:szCs w:val="18"/>
        </w:rPr>
        <w:t xml:space="preserve">dat </w:t>
      </w:r>
      <w:r>
        <w:rPr>
          <w:rFonts w:ascii="Verdana" w:hAnsi="Verdana"/>
          <w:sz w:val="18"/>
          <w:szCs w:val="18"/>
        </w:rPr>
        <w:t xml:space="preserve">er ingezet wordt op </w:t>
      </w:r>
      <w:r w:rsidRPr="000008A9">
        <w:rPr>
          <w:rFonts w:ascii="Verdana" w:hAnsi="Verdana"/>
          <w:sz w:val="18"/>
          <w:szCs w:val="18"/>
        </w:rPr>
        <w:t>een bredere terugkeerstrategie</w:t>
      </w:r>
      <w:r>
        <w:rPr>
          <w:rFonts w:ascii="Verdana" w:hAnsi="Verdana"/>
          <w:sz w:val="18"/>
          <w:szCs w:val="18"/>
        </w:rPr>
        <w:t xml:space="preserve"> waarin ook gewerkt wordt aan het creëren van de condities voor grootschaliger verplichte terugkeer. </w:t>
      </w:r>
      <w:r w:rsidRPr="00DB2042" w:rsidR="00DB2042">
        <w:rPr>
          <w:rFonts w:ascii="Verdana" w:hAnsi="Verdana"/>
          <w:sz w:val="18"/>
          <w:szCs w:val="18"/>
        </w:rPr>
        <w:t>Voor de uitvoering van de motie van de leden Piri en Bontenbal over de “go-and-see”-regeling voor Syriërs in Nederland verwijs ik u naar de Kamerbrief van 17 maart jl</w:t>
      </w:r>
      <w:r w:rsidR="00CE6A9D">
        <w:rPr>
          <w:rFonts w:ascii="Verdana" w:hAnsi="Verdana"/>
          <w:sz w:val="18"/>
          <w:szCs w:val="18"/>
        </w:rPr>
        <w:t>.</w:t>
      </w:r>
      <w:r>
        <w:rPr>
          <w:rStyle w:val="Voetnootmarkering"/>
          <w:rFonts w:ascii="Verdana" w:hAnsi="Verdana"/>
          <w:sz w:val="18"/>
          <w:szCs w:val="18"/>
        </w:rPr>
        <w:footnoteReference w:id="3"/>
      </w:r>
    </w:p>
    <w:p w:rsidRPr="00835384" w:rsidR="00DC7517" w:rsidP="00DC7517" w:rsidRDefault="00DC7517" w14:paraId="7D8E44E6" w14:textId="77777777">
      <w:pPr>
        <w:pStyle w:val="Lijstalinea"/>
        <w:spacing w:after="0"/>
        <w:ind w:left="0"/>
        <w:rPr>
          <w:rFonts w:ascii="Verdana" w:hAnsi="Verdana"/>
          <w:sz w:val="18"/>
          <w:szCs w:val="18"/>
        </w:rPr>
      </w:pPr>
    </w:p>
    <w:p w:rsidR="00DC7517" w:rsidP="00DC7517" w:rsidRDefault="00DC7517" w14:paraId="55F61B32" w14:textId="08E952A7">
      <w:pPr>
        <w:pStyle w:val="Lijstalinea"/>
        <w:numPr>
          <w:ilvl w:val="3"/>
          <w:numId w:val="1"/>
        </w:numPr>
        <w:spacing w:after="0"/>
        <w:rPr>
          <w:rFonts w:ascii="Verdana" w:hAnsi="Verdana"/>
          <w:b/>
          <w:bCs/>
          <w:sz w:val="18"/>
          <w:szCs w:val="18"/>
        </w:rPr>
      </w:pPr>
      <w:bookmarkStart w:name="_Hlk190417844" w:id="2"/>
      <w:r>
        <w:rPr>
          <w:rFonts w:ascii="Verdana" w:hAnsi="Verdana"/>
          <w:b/>
          <w:bCs/>
          <w:sz w:val="18"/>
          <w:szCs w:val="18"/>
        </w:rPr>
        <w:t>Gevolgen van de huidige geopolitieke situatie op de interne veiligheid van de EU</w:t>
      </w:r>
      <w:r w:rsidR="005A4190">
        <w:rPr>
          <w:rFonts w:ascii="Verdana" w:hAnsi="Verdana"/>
          <w:b/>
          <w:bCs/>
          <w:sz w:val="18"/>
          <w:szCs w:val="18"/>
        </w:rPr>
        <w:br/>
      </w:r>
    </w:p>
    <w:p w:rsidR="00DC7517" w:rsidP="00DC7517" w:rsidRDefault="00DC7517" w14:paraId="5D7E3FE1" w14:textId="77777777">
      <w:pPr>
        <w:pStyle w:val="Lijstalinea"/>
        <w:numPr>
          <w:ilvl w:val="4"/>
          <w:numId w:val="1"/>
        </w:numPr>
        <w:spacing w:after="0"/>
        <w:rPr>
          <w:rFonts w:ascii="Verdana" w:hAnsi="Verdana"/>
          <w:b/>
          <w:bCs/>
          <w:sz w:val="18"/>
          <w:szCs w:val="18"/>
        </w:rPr>
      </w:pPr>
      <w:r>
        <w:rPr>
          <w:rFonts w:ascii="Verdana" w:hAnsi="Verdana"/>
          <w:b/>
          <w:bCs/>
          <w:sz w:val="18"/>
          <w:szCs w:val="18"/>
        </w:rPr>
        <w:t>Syrië</w:t>
      </w:r>
    </w:p>
    <w:bookmarkEnd w:id="2"/>
    <w:p w:rsidR="0042688F" w:rsidP="00DC7517" w:rsidRDefault="00E42D7D" w14:paraId="08C55472" w14:textId="31754D64">
      <w:pPr>
        <w:spacing w:after="0"/>
        <w:rPr>
          <w:rFonts w:ascii="Verdana" w:hAnsi="Verdana"/>
          <w:sz w:val="18"/>
          <w:szCs w:val="18"/>
        </w:rPr>
      </w:pPr>
      <w:r w:rsidRPr="0042688F">
        <w:rPr>
          <w:rFonts w:ascii="Verdana" w:hAnsi="Verdana"/>
          <w:sz w:val="18"/>
          <w:szCs w:val="18"/>
        </w:rPr>
        <w:t xml:space="preserve">Tijdens de JBZ-Raad is stilgestaan bij de veiligheidssituatie in </w:t>
      </w:r>
      <w:r w:rsidRPr="0042688F" w:rsidR="008822E7">
        <w:rPr>
          <w:rFonts w:ascii="Verdana" w:hAnsi="Verdana"/>
          <w:sz w:val="18"/>
          <w:szCs w:val="18"/>
        </w:rPr>
        <w:t>Syrië</w:t>
      </w:r>
      <w:r w:rsidRPr="0042688F">
        <w:rPr>
          <w:rFonts w:ascii="Verdana" w:hAnsi="Verdana"/>
          <w:sz w:val="18"/>
          <w:szCs w:val="18"/>
        </w:rPr>
        <w:t xml:space="preserve"> en de mogelijke gevolgen daarvan voor de interne </w:t>
      </w:r>
      <w:r w:rsidRPr="0042688F" w:rsidR="0042688F">
        <w:rPr>
          <w:rFonts w:ascii="Verdana" w:hAnsi="Verdana"/>
          <w:sz w:val="18"/>
          <w:szCs w:val="18"/>
        </w:rPr>
        <w:t>veiligheid</w:t>
      </w:r>
      <w:r w:rsidRPr="0042688F">
        <w:rPr>
          <w:rFonts w:ascii="Verdana" w:hAnsi="Verdana"/>
          <w:sz w:val="18"/>
          <w:szCs w:val="18"/>
        </w:rPr>
        <w:t xml:space="preserve"> van de EU. De Commissie onderstreepte het belang van het voorkomen van een </w:t>
      </w:r>
      <w:r w:rsidRPr="0042688F" w:rsidR="0042688F">
        <w:rPr>
          <w:rFonts w:ascii="Verdana" w:hAnsi="Verdana"/>
          <w:sz w:val="18"/>
          <w:szCs w:val="18"/>
        </w:rPr>
        <w:t>machtsvacuüm</w:t>
      </w:r>
      <w:r w:rsidRPr="0042688F">
        <w:rPr>
          <w:rFonts w:ascii="Verdana" w:hAnsi="Verdana"/>
          <w:sz w:val="18"/>
          <w:szCs w:val="18"/>
        </w:rPr>
        <w:t xml:space="preserve"> in de regio en houdt de ontwikkeling nauwlettend in de gaten.</w:t>
      </w:r>
    </w:p>
    <w:p w:rsidR="0042688F" w:rsidP="00DC7517" w:rsidRDefault="0042688F" w14:paraId="34BD98B0" w14:textId="77777777">
      <w:pPr>
        <w:spacing w:after="0"/>
        <w:rPr>
          <w:rFonts w:ascii="Verdana" w:hAnsi="Verdana"/>
          <w:sz w:val="18"/>
          <w:szCs w:val="18"/>
        </w:rPr>
      </w:pPr>
    </w:p>
    <w:p w:rsidR="001328DD" w:rsidP="00DC7517" w:rsidRDefault="0042688F" w14:paraId="5F9A51B0" w14:textId="7C1D2C03">
      <w:pPr>
        <w:spacing w:after="0"/>
        <w:rPr>
          <w:rFonts w:ascii="Verdana" w:hAnsi="Verdana"/>
          <w:sz w:val="18"/>
          <w:szCs w:val="18"/>
        </w:rPr>
      </w:pPr>
      <w:r>
        <w:rPr>
          <w:rFonts w:ascii="Verdana" w:hAnsi="Verdana"/>
          <w:sz w:val="18"/>
          <w:szCs w:val="18"/>
        </w:rPr>
        <w:t xml:space="preserve">De </w:t>
      </w:r>
      <w:r w:rsidRPr="0042688F">
        <w:rPr>
          <w:rFonts w:ascii="Verdana" w:hAnsi="Verdana"/>
          <w:sz w:val="18"/>
          <w:szCs w:val="18"/>
        </w:rPr>
        <w:t>EU-coördinator voor terrorismebestrijding (EU CTC)</w:t>
      </w:r>
      <w:r>
        <w:rPr>
          <w:rFonts w:ascii="Verdana" w:hAnsi="Verdana"/>
          <w:sz w:val="18"/>
          <w:szCs w:val="18"/>
        </w:rPr>
        <w:t xml:space="preserve"> informeerde de JBZ-Raad over de huidige situatie in Syrië</w:t>
      </w:r>
      <w:r w:rsidR="00015BF4">
        <w:rPr>
          <w:rFonts w:ascii="Verdana" w:hAnsi="Verdana"/>
          <w:sz w:val="18"/>
          <w:szCs w:val="18"/>
        </w:rPr>
        <w:t xml:space="preserve">. Volgens de EU CTC is de situatie in </w:t>
      </w:r>
      <w:r w:rsidR="008822E7">
        <w:rPr>
          <w:rFonts w:ascii="Verdana" w:hAnsi="Verdana"/>
          <w:sz w:val="18"/>
          <w:szCs w:val="18"/>
        </w:rPr>
        <w:t>Syrië</w:t>
      </w:r>
      <w:r w:rsidR="00015BF4">
        <w:rPr>
          <w:rFonts w:ascii="Verdana" w:hAnsi="Verdana"/>
          <w:sz w:val="18"/>
          <w:szCs w:val="18"/>
        </w:rPr>
        <w:t xml:space="preserve"> zorgwekkend en kunnen de ontwikkelingen in de regio directe gevolgen hebben voor de interne veiligheid van de EU</w:t>
      </w:r>
      <w:r w:rsidR="008822E7">
        <w:rPr>
          <w:rFonts w:ascii="Verdana" w:hAnsi="Verdana"/>
          <w:sz w:val="18"/>
          <w:szCs w:val="18"/>
        </w:rPr>
        <w:t xml:space="preserve"> en verwees hierbij naar </w:t>
      </w:r>
      <w:r w:rsidR="00B23FE1">
        <w:rPr>
          <w:rFonts w:ascii="Verdana" w:hAnsi="Verdana"/>
          <w:sz w:val="18"/>
          <w:szCs w:val="18"/>
        </w:rPr>
        <w:t>het</w:t>
      </w:r>
      <w:r w:rsidR="008822E7">
        <w:rPr>
          <w:rFonts w:ascii="Verdana" w:hAnsi="Verdana"/>
          <w:sz w:val="18"/>
          <w:szCs w:val="18"/>
        </w:rPr>
        <w:t xml:space="preserve"> EU CTC actieplan</w:t>
      </w:r>
      <w:r w:rsidR="00B23FE1">
        <w:rPr>
          <w:rFonts w:ascii="Verdana" w:hAnsi="Verdana"/>
          <w:sz w:val="18"/>
          <w:szCs w:val="18"/>
        </w:rPr>
        <w:t xml:space="preserve"> Syrië</w:t>
      </w:r>
      <w:r w:rsidR="00C12DE3">
        <w:rPr>
          <w:rFonts w:ascii="Verdana" w:hAnsi="Verdana"/>
          <w:sz w:val="18"/>
          <w:szCs w:val="18"/>
        </w:rPr>
        <w:t xml:space="preserve"> om de effecten te mitigeren</w:t>
      </w:r>
      <w:r w:rsidR="008822E7">
        <w:rPr>
          <w:rFonts w:ascii="Verdana" w:hAnsi="Verdana"/>
          <w:sz w:val="18"/>
          <w:szCs w:val="18"/>
        </w:rPr>
        <w:t xml:space="preserve">. </w:t>
      </w:r>
      <w:r w:rsidR="001328DD">
        <w:rPr>
          <w:rFonts w:ascii="Verdana" w:hAnsi="Verdana"/>
          <w:sz w:val="18"/>
          <w:szCs w:val="18"/>
        </w:rPr>
        <w:t xml:space="preserve">De EU CTC benadrukte </w:t>
      </w:r>
      <w:r w:rsidR="008822E7">
        <w:rPr>
          <w:rFonts w:ascii="Verdana" w:hAnsi="Verdana"/>
          <w:sz w:val="18"/>
          <w:szCs w:val="18"/>
        </w:rPr>
        <w:t>h</w:t>
      </w:r>
      <w:r w:rsidR="001328DD">
        <w:rPr>
          <w:rFonts w:ascii="Verdana" w:hAnsi="Verdana"/>
          <w:sz w:val="18"/>
          <w:szCs w:val="18"/>
        </w:rPr>
        <w:t xml:space="preserve">et belang van tijdige informatie-uitwisseling en samenwerking met betrokken partners. </w:t>
      </w:r>
      <w:r w:rsidR="00015BF4">
        <w:rPr>
          <w:rFonts w:ascii="Verdana" w:hAnsi="Verdana"/>
          <w:sz w:val="18"/>
          <w:szCs w:val="18"/>
        </w:rPr>
        <w:t>Specifiek ging de aandacht uit naar de detentiekampen en gevangenissen.</w:t>
      </w:r>
    </w:p>
    <w:p w:rsidR="001328DD" w:rsidP="00DC7517" w:rsidRDefault="001328DD" w14:paraId="3B0A2D1C" w14:textId="77777777">
      <w:pPr>
        <w:spacing w:after="0"/>
        <w:rPr>
          <w:rFonts w:ascii="Verdana" w:hAnsi="Verdana"/>
          <w:sz w:val="18"/>
          <w:szCs w:val="18"/>
        </w:rPr>
      </w:pPr>
    </w:p>
    <w:p w:rsidR="00015BF4" w:rsidP="00DC7517" w:rsidRDefault="00015BF4" w14:paraId="1FAEDAA9" w14:textId="062E5DC3">
      <w:pPr>
        <w:spacing w:after="0"/>
        <w:rPr>
          <w:rFonts w:ascii="Verdana" w:hAnsi="Verdana"/>
          <w:sz w:val="18"/>
          <w:szCs w:val="18"/>
        </w:rPr>
      </w:pPr>
      <w:r>
        <w:rPr>
          <w:rFonts w:ascii="Verdana" w:hAnsi="Verdana"/>
          <w:sz w:val="18"/>
          <w:szCs w:val="18"/>
        </w:rPr>
        <w:t>Een meerderheid van de lidstaten sprak steun uit voor het actieplan van de EU</w:t>
      </w:r>
      <w:r w:rsidR="0001337C">
        <w:rPr>
          <w:rFonts w:ascii="Verdana" w:hAnsi="Verdana"/>
          <w:sz w:val="18"/>
          <w:szCs w:val="18"/>
        </w:rPr>
        <w:t xml:space="preserve"> CTC</w:t>
      </w:r>
      <w:r>
        <w:rPr>
          <w:rFonts w:ascii="Verdana" w:hAnsi="Verdana"/>
          <w:sz w:val="18"/>
          <w:szCs w:val="18"/>
        </w:rPr>
        <w:t xml:space="preserve"> </w:t>
      </w:r>
      <w:r w:rsidR="001328DD">
        <w:rPr>
          <w:rFonts w:ascii="Verdana" w:hAnsi="Verdana"/>
          <w:sz w:val="18"/>
          <w:szCs w:val="18"/>
        </w:rPr>
        <w:t xml:space="preserve">en benadrukte het belang van versterkte samenwerking en informatie-uitwisseling. </w:t>
      </w:r>
      <w:r>
        <w:rPr>
          <w:rFonts w:ascii="Verdana" w:hAnsi="Verdana"/>
          <w:sz w:val="18"/>
          <w:szCs w:val="18"/>
        </w:rPr>
        <w:t xml:space="preserve">Hierbij werd breed gedeeld dat grensveiligheid en het tegengaan van radicalisering prioriteit moet krijgen. </w:t>
      </w:r>
      <w:r w:rsidR="001328DD">
        <w:rPr>
          <w:rFonts w:ascii="Verdana" w:hAnsi="Verdana"/>
          <w:sz w:val="18"/>
          <w:szCs w:val="18"/>
        </w:rPr>
        <w:t xml:space="preserve">Daarbij werd gewezen op de noodzaak om de grenzen te beveiligen, radicalisering te voorkomen en coördinatie bij de omgang </w:t>
      </w:r>
      <w:r w:rsidR="00C12DE3">
        <w:rPr>
          <w:rFonts w:ascii="Verdana" w:hAnsi="Verdana"/>
          <w:sz w:val="18"/>
          <w:szCs w:val="18"/>
        </w:rPr>
        <w:t xml:space="preserve">met </w:t>
      </w:r>
      <w:r w:rsidR="001328DD">
        <w:rPr>
          <w:rFonts w:ascii="Verdana" w:hAnsi="Verdana"/>
          <w:sz w:val="18"/>
          <w:szCs w:val="18"/>
        </w:rPr>
        <w:t xml:space="preserve">terugkeerders. </w:t>
      </w:r>
      <w:r>
        <w:rPr>
          <w:rFonts w:ascii="Verdana" w:hAnsi="Verdana"/>
          <w:sz w:val="18"/>
          <w:szCs w:val="18"/>
        </w:rPr>
        <w:t xml:space="preserve">Daarnaast benadrukten meerdere lidstaten, waaronder Nederland, dat de besluitvorming over repatriëringen een nationale bevoegdheid blijft. </w:t>
      </w:r>
    </w:p>
    <w:p w:rsidRPr="0042688F" w:rsidR="00015BF4" w:rsidP="00DC7517" w:rsidRDefault="00015BF4" w14:paraId="68FA4EC5" w14:textId="77777777">
      <w:pPr>
        <w:spacing w:after="0"/>
        <w:rPr>
          <w:rFonts w:ascii="Verdana" w:hAnsi="Verdana"/>
          <w:b/>
          <w:bCs/>
          <w:sz w:val="18"/>
          <w:szCs w:val="18"/>
        </w:rPr>
      </w:pPr>
    </w:p>
    <w:p w:rsidR="00DC7517" w:rsidP="00DC7517" w:rsidRDefault="00DC7517" w14:paraId="30E7C9F0" w14:textId="77777777">
      <w:pPr>
        <w:pStyle w:val="Lijstalinea"/>
        <w:numPr>
          <w:ilvl w:val="4"/>
          <w:numId w:val="1"/>
        </w:numPr>
        <w:spacing w:after="0"/>
        <w:rPr>
          <w:rFonts w:ascii="Verdana" w:hAnsi="Verdana"/>
          <w:b/>
          <w:bCs/>
          <w:sz w:val="18"/>
          <w:szCs w:val="18"/>
        </w:rPr>
      </w:pPr>
      <w:r>
        <w:rPr>
          <w:rFonts w:ascii="Verdana" w:hAnsi="Verdana"/>
          <w:b/>
          <w:bCs/>
          <w:sz w:val="18"/>
          <w:szCs w:val="18"/>
        </w:rPr>
        <w:t>Oekraïne</w:t>
      </w:r>
    </w:p>
    <w:p w:rsidR="00DF2A0D" w:rsidP="006D513C" w:rsidRDefault="006D513C" w14:paraId="114F1B10" w14:textId="3BCFC041">
      <w:pPr>
        <w:spacing w:after="0"/>
        <w:rPr>
          <w:rFonts w:ascii="Verdana" w:hAnsi="Verdana"/>
          <w:sz w:val="18"/>
          <w:szCs w:val="18"/>
        </w:rPr>
      </w:pPr>
      <w:r>
        <w:rPr>
          <w:rFonts w:ascii="Verdana" w:hAnsi="Verdana"/>
          <w:sz w:val="18"/>
          <w:szCs w:val="18"/>
        </w:rPr>
        <w:t>Het</w:t>
      </w:r>
      <w:r w:rsidRPr="006D513C">
        <w:rPr>
          <w:rFonts w:ascii="Verdana" w:hAnsi="Verdana"/>
          <w:sz w:val="18"/>
          <w:szCs w:val="18"/>
        </w:rPr>
        <w:t xml:space="preserve"> Voorzitterschap </w:t>
      </w:r>
      <w:r>
        <w:rPr>
          <w:rFonts w:ascii="Verdana" w:hAnsi="Verdana"/>
          <w:sz w:val="18"/>
          <w:szCs w:val="18"/>
        </w:rPr>
        <w:t xml:space="preserve">gaf </w:t>
      </w:r>
      <w:r w:rsidRPr="006D513C">
        <w:rPr>
          <w:rFonts w:ascii="Verdana" w:hAnsi="Verdana"/>
          <w:sz w:val="18"/>
          <w:szCs w:val="18"/>
        </w:rPr>
        <w:t>een toelichting o</w:t>
      </w:r>
      <w:r w:rsidR="0001337C">
        <w:rPr>
          <w:rFonts w:ascii="Verdana" w:hAnsi="Verdana"/>
          <w:sz w:val="18"/>
          <w:szCs w:val="18"/>
        </w:rPr>
        <w:t>ver</w:t>
      </w:r>
      <w:r w:rsidRPr="006D513C">
        <w:rPr>
          <w:rFonts w:ascii="Verdana" w:hAnsi="Verdana"/>
          <w:sz w:val="18"/>
          <w:szCs w:val="18"/>
        </w:rPr>
        <w:t xml:space="preserve"> de</w:t>
      </w:r>
      <w:r>
        <w:rPr>
          <w:rFonts w:ascii="Verdana" w:hAnsi="Verdana"/>
          <w:sz w:val="18"/>
          <w:szCs w:val="18"/>
        </w:rPr>
        <w:t xml:space="preserve"> </w:t>
      </w:r>
      <w:r w:rsidRPr="006D513C">
        <w:rPr>
          <w:rFonts w:ascii="Verdana" w:hAnsi="Verdana"/>
          <w:sz w:val="18"/>
          <w:szCs w:val="18"/>
        </w:rPr>
        <w:t>gevolgen van de Russische agressie</w:t>
      </w:r>
      <w:r w:rsidR="00C12DE3">
        <w:rPr>
          <w:rFonts w:ascii="Verdana" w:hAnsi="Verdana"/>
          <w:sz w:val="18"/>
          <w:szCs w:val="18"/>
        </w:rPr>
        <w:t>oorlog</w:t>
      </w:r>
      <w:r w:rsidRPr="006D513C">
        <w:rPr>
          <w:rFonts w:ascii="Verdana" w:hAnsi="Verdana"/>
          <w:sz w:val="18"/>
          <w:szCs w:val="18"/>
        </w:rPr>
        <w:t xml:space="preserve"> tegen Oekraïne voor de interne</w:t>
      </w:r>
      <w:r>
        <w:rPr>
          <w:rFonts w:ascii="Verdana" w:hAnsi="Verdana"/>
          <w:sz w:val="18"/>
          <w:szCs w:val="18"/>
        </w:rPr>
        <w:t xml:space="preserve"> </w:t>
      </w:r>
      <w:r w:rsidRPr="006D513C">
        <w:rPr>
          <w:rFonts w:ascii="Verdana" w:hAnsi="Verdana"/>
          <w:sz w:val="18"/>
          <w:szCs w:val="18"/>
        </w:rPr>
        <w:t>veiligheid van de EU</w:t>
      </w:r>
      <w:r>
        <w:rPr>
          <w:rFonts w:ascii="Verdana" w:hAnsi="Verdana"/>
          <w:sz w:val="18"/>
          <w:szCs w:val="18"/>
        </w:rPr>
        <w:t xml:space="preserve">. Hoewel de directe impact momenteel beperkt is, blijft waakzaamheid geboden. De Commissie sprak onverminderde steun uit voor Oekraïne en gaf een huidige stand van zaken. Er is een goede justitiële samenwerking tussen de EU en Oekraïne. </w:t>
      </w:r>
      <w:r w:rsidR="00BD2A43">
        <w:rPr>
          <w:rFonts w:ascii="Verdana" w:hAnsi="Verdana"/>
          <w:sz w:val="18"/>
          <w:szCs w:val="18"/>
        </w:rPr>
        <w:t>Oekraïne</w:t>
      </w:r>
      <w:r w:rsidR="00837852">
        <w:rPr>
          <w:rFonts w:ascii="Verdana" w:hAnsi="Verdana"/>
          <w:sz w:val="18"/>
          <w:szCs w:val="18"/>
        </w:rPr>
        <w:t xml:space="preserve"> zet zich in om vuurwapensmokkel te voorkomen en hoopt op terugkeer van </w:t>
      </w:r>
      <w:r w:rsidR="00BD2A43">
        <w:rPr>
          <w:rFonts w:ascii="Verdana" w:hAnsi="Verdana"/>
          <w:sz w:val="18"/>
          <w:szCs w:val="18"/>
        </w:rPr>
        <w:t>Oekraïners</w:t>
      </w:r>
      <w:r w:rsidR="00837852">
        <w:rPr>
          <w:rFonts w:ascii="Verdana" w:hAnsi="Verdana"/>
          <w:sz w:val="18"/>
          <w:szCs w:val="18"/>
        </w:rPr>
        <w:t xml:space="preserve"> </w:t>
      </w:r>
      <w:r w:rsidR="00C12DE3">
        <w:rPr>
          <w:rFonts w:ascii="Verdana" w:hAnsi="Verdana"/>
          <w:sz w:val="18"/>
          <w:szCs w:val="18"/>
        </w:rPr>
        <w:t>via</w:t>
      </w:r>
      <w:r w:rsidR="00837852">
        <w:rPr>
          <w:rFonts w:ascii="Verdana" w:hAnsi="Verdana"/>
          <w:sz w:val="18"/>
          <w:szCs w:val="18"/>
        </w:rPr>
        <w:t xml:space="preserve"> </w:t>
      </w:r>
      <w:r w:rsidR="0001337C">
        <w:rPr>
          <w:rFonts w:ascii="Verdana" w:hAnsi="Verdana"/>
          <w:sz w:val="18"/>
          <w:szCs w:val="18"/>
        </w:rPr>
        <w:t xml:space="preserve">zogeheten </w:t>
      </w:r>
      <w:r w:rsidRPr="0001337C" w:rsidR="00837852">
        <w:rPr>
          <w:rFonts w:ascii="Verdana" w:hAnsi="Verdana"/>
          <w:i/>
          <w:iCs/>
          <w:sz w:val="18"/>
          <w:szCs w:val="18"/>
        </w:rPr>
        <w:t>unity hubs</w:t>
      </w:r>
      <w:r w:rsidR="00C12DE3">
        <w:rPr>
          <w:rFonts w:ascii="Verdana" w:hAnsi="Verdana"/>
          <w:i/>
          <w:iCs/>
          <w:sz w:val="18"/>
          <w:szCs w:val="18"/>
        </w:rPr>
        <w:t xml:space="preserve">, </w:t>
      </w:r>
      <w:r w:rsidR="00C12DE3">
        <w:rPr>
          <w:rFonts w:ascii="Verdana" w:hAnsi="Verdana"/>
          <w:sz w:val="18"/>
          <w:szCs w:val="18"/>
        </w:rPr>
        <w:t>centra die Oekraïners in Europa ondersteunen</w:t>
      </w:r>
      <w:r w:rsidR="00837852">
        <w:rPr>
          <w:rFonts w:ascii="Verdana" w:hAnsi="Verdana"/>
          <w:sz w:val="18"/>
          <w:szCs w:val="18"/>
        </w:rPr>
        <w:t xml:space="preserve">. </w:t>
      </w:r>
      <w:r w:rsidR="00BD2A43">
        <w:rPr>
          <w:rFonts w:ascii="Verdana" w:hAnsi="Verdana"/>
          <w:sz w:val="18"/>
          <w:szCs w:val="18"/>
        </w:rPr>
        <w:t>Daarbij wees de Commissie op de noodzaak om de komende maanden beslissingen te nemen over de</w:t>
      </w:r>
      <w:r w:rsidR="0013696A">
        <w:rPr>
          <w:rFonts w:ascii="Verdana" w:hAnsi="Verdana"/>
          <w:sz w:val="18"/>
          <w:szCs w:val="18"/>
        </w:rPr>
        <w:t xml:space="preserve"> Richtlijn</w:t>
      </w:r>
      <w:r w:rsidR="00BD2A43">
        <w:rPr>
          <w:rFonts w:ascii="Verdana" w:hAnsi="Verdana"/>
          <w:sz w:val="18"/>
          <w:szCs w:val="18"/>
        </w:rPr>
        <w:t xml:space="preserve"> </w:t>
      </w:r>
      <w:r w:rsidR="0013696A">
        <w:rPr>
          <w:rFonts w:ascii="Verdana" w:hAnsi="Verdana"/>
          <w:sz w:val="18"/>
          <w:szCs w:val="18"/>
        </w:rPr>
        <w:t>T</w:t>
      </w:r>
      <w:r w:rsidR="00BD2A43">
        <w:rPr>
          <w:rFonts w:ascii="Verdana" w:hAnsi="Verdana"/>
          <w:sz w:val="18"/>
          <w:szCs w:val="18"/>
        </w:rPr>
        <w:t xml:space="preserve">ijdelijke </w:t>
      </w:r>
      <w:r w:rsidR="0013696A">
        <w:rPr>
          <w:rFonts w:ascii="Verdana" w:hAnsi="Verdana"/>
          <w:sz w:val="18"/>
          <w:szCs w:val="18"/>
        </w:rPr>
        <w:t>B</w:t>
      </w:r>
      <w:r w:rsidR="00BD2A43">
        <w:rPr>
          <w:rFonts w:ascii="Verdana" w:hAnsi="Verdana"/>
          <w:sz w:val="18"/>
          <w:szCs w:val="18"/>
        </w:rPr>
        <w:t xml:space="preserve">escherming, met aandacht voor eerlijke lastenverdeling, een exit strategie en gecoördineerde steun voor vrijwillige terugkeer. </w:t>
      </w:r>
    </w:p>
    <w:p w:rsidR="00BD2A43" w:rsidP="006D513C" w:rsidRDefault="00BD2A43" w14:paraId="611A4A47" w14:textId="77777777">
      <w:pPr>
        <w:spacing w:after="0"/>
        <w:rPr>
          <w:rFonts w:ascii="Verdana" w:hAnsi="Verdana"/>
          <w:sz w:val="18"/>
          <w:szCs w:val="18"/>
        </w:rPr>
      </w:pPr>
    </w:p>
    <w:p w:rsidRPr="006D513C" w:rsidR="00BD2A43" w:rsidP="006D513C" w:rsidRDefault="00BD2A43" w14:paraId="4C4512BB" w14:textId="19D70321">
      <w:pPr>
        <w:spacing w:after="0"/>
        <w:rPr>
          <w:rFonts w:ascii="Verdana" w:hAnsi="Verdana"/>
          <w:sz w:val="18"/>
          <w:szCs w:val="18"/>
        </w:rPr>
      </w:pPr>
      <w:r>
        <w:rPr>
          <w:rFonts w:ascii="Verdana" w:hAnsi="Verdana"/>
          <w:sz w:val="18"/>
          <w:szCs w:val="18"/>
        </w:rPr>
        <w:t>Enkele lidstaten uitten hun zorgen over de geopolitieke ontwikkelingen en benadrukte het belang van blijvende steun aan Oekraïne. Nederland onderstreepte naast het belang van defensiecapaciteit ook het belang van</w:t>
      </w:r>
      <w:r w:rsidR="009935F9">
        <w:rPr>
          <w:rFonts w:ascii="Verdana" w:hAnsi="Verdana"/>
          <w:sz w:val="18"/>
          <w:szCs w:val="18"/>
        </w:rPr>
        <w:t xml:space="preserve"> het versterken van</w:t>
      </w:r>
      <w:r>
        <w:rPr>
          <w:rFonts w:ascii="Verdana" w:hAnsi="Verdana"/>
          <w:sz w:val="18"/>
          <w:szCs w:val="18"/>
        </w:rPr>
        <w:t xml:space="preserve"> civiele weerbaarheid</w:t>
      </w:r>
      <w:r w:rsidR="009935F9">
        <w:rPr>
          <w:rFonts w:ascii="Verdana" w:hAnsi="Verdana"/>
          <w:sz w:val="18"/>
          <w:szCs w:val="18"/>
        </w:rPr>
        <w:t xml:space="preserve"> op nationaal en EU-niveau.</w:t>
      </w:r>
      <w:r>
        <w:rPr>
          <w:rFonts w:ascii="Verdana" w:hAnsi="Verdana"/>
          <w:sz w:val="18"/>
          <w:szCs w:val="18"/>
        </w:rPr>
        <w:t xml:space="preserve"> </w:t>
      </w:r>
    </w:p>
    <w:p w:rsidRPr="001654B7" w:rsidR="008D0497" w:rsidP="00E4752E" w:rsidRDefault="008D0497" w14:paraId="1CF7B05B" w14:textId="55DF390D">
      <w:pPr>
        <w:spacing w:after="0"/>
        <w:rPr>
          <w:rFonts w:ascii="Verdana" w:hAnsi="Verdana"/>
          <w:sz w:val="18"/>
          <w:szCs w:val="18"/>
        </w:rPr>
      </w:pPr>
    </w:p>
    <w:p w:rsidRPr="00BD2A43" w:rsidR="3B2513F5" w:rsidP="0053450F" w:rsidRDefault="5087C090" w14:paraId="5D4CD254" w14:textId="5C84F37B">
      <w:pPr>
        <w:pStyle w:val="Lijstalinea"/>
        <w:numPr>
          <w:ilvl w:val="3"/>
          <w:numId w:val="1"/>
        </w:numPr>
        <w:spacing w:after="0"/>
        <w:rPr>
          <w:sz w:val="18"/>
          <w:szCs w:val="18"/>
        </w:rPr>
      </w:pPr>
      <w:bookmarkStart w:name="_Hlk190417951" w:id="3"/>
      <w:r w:rsidRPr="0053450F">
        <w:rPr>
          <w:rFonts w:ascii="Verdana" w:hAnsi="Verdana"/>
          <w:b/>
          <w:bCs/>
          <w:sz w:val="18"/>
          <w:szCs w:val="18"/>
        </w:rPr>
        <w:t>De strijd tegen drugshandel en georganiseerde criminaliteit</w:t>
      </w:r>
    </w:p>
    <w:p w:rsidR="00BD2A43" w:rsidP="00BD2A43" w:rsidRDefault="00BD2A43" w14:paraId="33DACB4F" w14:textId="77777777">
      <w:pPr>
        <w:spacing w:after="0"/>
        <w:rPr>
          <w:sz w:val="18"/>
          <w:szCs w:val="18"/>
        </w:rPr>
      </w:pPr>
    </w:p>
    <w:p w:rsidR="00DC7517" w:rsidP="00C16BD1" w:rsidRDefault="00BD2A43" w14:paraId="7EB652EB" w14:textId="42DB915C">
      <w:pPr>
        <w:spacing w:after="0"/>
        <w:rPr>
          <w:rFonts w:ascii="Verdana" w:hAnsi="Verdana"/>
          <w:sz w:val="18"/>
          <w:szCs w:val="18"/>
        </w:rPr>
      </w:pPr>
      <w:r w:rsidRPr="00BD2A43">
        <w:rPr>
          <w:rFonts w:ascii="Verdana" w:hAnsi="Verdana"/>
          <w:sz w:val="18"/>
          <w:szCs w:val="18"/>
        </w:rPr>
        <w:t>Tijdens dit agendapunt</w:t>
      </w:r>
      <w:r>
        <w:rPr>
          <w:rFonts w:ascii="Verdana" w:hAnsi="Verdana"/>
          <w:sz w:val="18"/>
          <w:szCs w:val="18"/>
        </w:rPr>
        <w:t xml:space="preserve"> gaf het Voorzitterschap een korte toelicht</w:t>
      </w:r>
      <w:r w:rsidR="00E46758">
        <w:rPr>
          <w:rFonts w:ascii="Verdana" w:hAnsi="Verdana"/>
          <w:sz w:val="18"/>
          <w:szCs w:val="18"/>
        </w:rPr>
        <w:t>ing</w:t>
      </w:r>
      <w:r w:rsidR="00C12DE3">
        <w:rPr>
          <w:rFonts w:ascii="Verdana" w:hAnsi="Verdana"/>
          <w:sz w:val="18"/>
          <w:szCs w:val="18"/>
        </w:rPr>
        <w:t xml:space="preserve"> </w:t>
      </w:r>
      <w:r>
        <w:rPr>
          <w:rFonts w:ascii="Verdana" w:hAnsi="Verdana"/>
          <w:sz w:val="18"/>
          <w:szCs w:val="18"/>
        </w:rPr>
        <w:t xml:space="preserve">op de activiteiten </w:t>
      </w:r>
      <w:r w:rsidR="00C12DE3">
        <w:rPr>
          <w:rFonts w:ascii="Verdana" w:hAnsi="Verdana"/>
          <w:sz w:val="18"/>
          <w:szCs w:val="18"/>
        </w:rPr>
        <w:t xml:space="preserve">die het in het kader van de strijd tegen georganiseerde criminaliteit oppakt </w:t>
      </w:r>
      <w:r>
        <w:rPr>
          <w:rFonts w:ascii="Verdana" w:hAnsi="Verdana"/>
          <w:sz w:val="18"/>
          <w:szCs w:val="18"/>
        </w:rPr>
        <w:t xml:space="preserve">tijdens het </w:t>
      </w:r>
      <w:r w:rsidR="0001337C">
        <w:rPr>
          <w:rFonts w:ascii="Verdana" w:hAnsi="Verdana"/>
          <w:sz w:val="18"/>
          <w:szCs w:val="18"/>
        </w:rPr>
        <w:t>V</w:t>
      </w:r>
      <w:r>
        <w:rPr>
          <w:rFonts w:ascii="Verdana" w:hAnsi="Verdana"/>
          <w:sz w:val="18"/>
          <w:szCs w:val="18"/>
        </w:rPr>
        <w:t xml:space="preserve">oorzitterschap. Hierbij onderstreept het Voorzitterschap het belang van samenwerking met derde landen, en in het bijzonder CLASI. </w:t>
      </w:r>
      <w:r w:rsidR="00AD4FD7">
        <w:rPr>
          <w:rFonts w:ascii="Verdana" w:hAnsi="Verdana"/>
          <w:sz w:val="18"/>
          <w:szCs w:val="18"/>
        </w:rPr>
        <w:t xml:space="preserve">De Commissie gaf een toelichting op </w:t>
      </w:r>
      <w:r w:rsidR="0001337C">
        <w:rPr>
          <w:rFonts w:ascii="Verdana" w:hAnsi="Verdana"/>
          <w:sz w:val="18"/>
          <w:szCs w:val="18"/>
        </w:rPr>
        <w:t>aankomende</w:t>
      </w:r>
      <w:r w:rsidR="00AD4FD7">
        <w:rPr>
          <w:rFonts w:ascii="Verdana" w:hAnsi="Verdana"/>
          <w:sz w:val="18"/>
          <w:szCs w:val="18"/>
        </w:rPr>
        <w:t xml:space="preserve"> activiteiten in het kader van de strijd tegen georganiseerde criminaliteit</w:t>
      </w:r>
      <w:r w:rsidR="0001337C">
        <w:rPr>
          <w:rFonts w:ascii="Verdana" w:hAnsi="Verdana"/>
          <w:sz w:val="18"/>
          <w:szCs w:val="18"/>
        </w:rPr>
        <w:t>,</w:t>
      </w:r>
      <w:r w:rsidR="00AD4FD7">
        <w:rPr>
          <w:rFonts w:ascii="Verdana" w:hAnsi="Verdana"/>
          <w:sz w:val="18"/>
          <w:szCs w:val="18"/>
        </w:rPr>
        <w:t xml:space="preserve"> waaronder een herziening van het bestaande EU-kaderbesluit betreffende georganiseerde criminaliteit,</w:t>
      </w:r>
      <w:r w:rsidR="0001337C">
        <w:rPr>
          <w:rFonts w:ascii="Verdana" w:hAnsi="Verdana"/>
          <w:sz w:val="18"/>
          <w:szCs w:val="18"/>
        </w:rPr>
        <w:t xml:space="preserve"> de bestrijding </w:t>
      </w:r>
      <w:r w:rsidR="00AD4FD7">
        <w:rPr>
          <w:rFonts w:ascii="Verdana" w:hAnsi="Verdana"/>
          <w:sz w:val="18"/>
          <w:szCs w:val="18"/>
        </w:rPr>
        <w:t xml:space="preserve">van criminele activiteiten in de </w:t>
      </w:r>
      <w:r w:rsidR="0001337C">
        <w:rPr>
          <w:rFonts w:ascii="Verdana" w:hAnsi="Verdana"/>
          <w:sz w:val="18"/>
          <w:szCs w:val="18"/>
        </w:rPr>
        <w:t xml:space="preserve">(kleinere) </w:t>
      </w:r>
      <w:r w:rsidR="00AD4FD7">
        <w:rPr>
          <w:rFonts w:ascii="Verdana" w:hAnsi="Verdana"/>
          <w:sz w:val="18"/>
          <w:szCs w:val="18"/>
        </w:rPr>
        <w:t>havens</w:t>
      </w:r>
      <w:r w:rsidR="0001337C">
        <w:rPr>
          <w:rFonts w:ascii="Verdana" w:hAnsi="Verdana"/>
          <w:sz w:val="18"/>
          <w:szCs w:val="18"/>
        </w:rPr>
        <w:t xml:space="preserve"> en </w:t>
      </w:r>
      <w:r w:rsidR="00AD4FD7">
        <w:rPr>
          <w:rFonts w:ascii="Verdana" w:hAnsi="Verdana"/>
          <w:sz w:val="18"/>
          <w:szCs w:val="18"/>
        </w:rPr>
        <w:t>een nieuw EU-actieplan ter bestrijding van vuurwapensmokkel.</w:t>
      </w:r>
      <w:bookmarkEnd w:id="3"/>
    </w:p>
    <w:p w:rsidR="00DC7517" w:rsidP="00866BD0" w:rsidRDefault="00DC7517" w14:paraId="0E64AE74" w14:textId="77777777">
      <w:pPr>
        <w:pStyle w:val="Lijstalinea"/>
        <w:spacing w:after="0"/>
        <w:ind w:left="360"/>
        <w:rPr>
          <w:rFonts w:ascii="Verdana" w:hAnsi="Verdana"/>
          <w:sz w:val="18"/>
          <w:szCs w:val="18"/>
        </w:rPr>
      </w:pPr>
    </w:p>
    <w:p w:rsidRPr="00DC7517" w:rsidR="00DC7517" w:rsidP="00DC7517" w:rsidRDefault="00DC7517" w14:paraId="5FF7BAF7" w14:textId="0361657E">
      <w:pPr>
        <w:pStyle w:val="Lijstalinea"/>
        <w:numPr>
          <w:ilvl w:val="3"/>
          <w:numId w:val="1"/>
        </w:numPr>
        <w:spacing w:after="0"/>
        <w:rPr>
          <w:rFonts w:ascii="Verdana" w:hAnsi="Verdana" w:eastAsia="Verdana" w:cs="Verdana"/>
          <w:b/>
          <w:bCs/>
          <w:sz w:val="18"/>
          <w:szCs w:val="18"/>
        </w:rPr>
      </w:pPr>
      <w:r w:rsidRPr="00DC7517">
        <w:rPr>
          <w:rFonts w:ascii="Verdana" w:hAnsi="Verdana"/>
          <w:b/>
          <w:bCs/>
          <w:sz w:val="18"/>
          <w:szCs w:val="18"/>
        </w:rPr>
        <w:t>Overige onderwerpen</w:t>
      </w:r>
      <w:r w:rsidR="00CE6A9D">
        <w:rPr>
          <w:rFonts w:ascii="Verdana" w:hAnsi="Verdana"/>
          <w:b/>
          <w:bCs/>
          <w:sz w:val="18"/>
          <w:szCs w:val="18"/>
        </w:rPr>
        <w:br/>
      </w:r>
    </w:p>
    <w:p w:rsidR="00981945" w:rsidP="008A79EE" w:rsidRDefault="000B57BF" w14:paraId="2F180FC4" w14:textId="6AAAA95A">
      <w:pPr>
        <w:pStyle w:val="Lijstalinea"/>
        <w:numPr>
          <w:ilvl w:val="4"/>
          <w:numId w:val="1"/>
        </w:numPr>
        <w:spacing w:after="0"/>
        <w:rPr>
          <w:rFonts w:ascii="Verdana" w:hAnsi="Verdana" w:eastAsia="Verdana" w:cs="Verdana"/>
          <w:b/>
          <w:bCs/>
          <w:sz w:val="18"/>
          <w:szCs w:val="18"/>
        </w:rPr>
      </w:pPr>
      <w:r>
        <w:rPr>
          <w:rFonts w:ascii="Verdana" w:hAnsi="Verdana" w:eastAsia="Verdana" w:cs="Verdana"/>
          <w:b/>
          <w:bCs/>
          <w:sz w:val="18"/>
          <w:szCs w:val="18"/>
        </w:rPr>
        <w:t>Implementatie Asiel- en Migratiepact</w:t>
      </w:r>
    </w:p>
    <w:p w:rsidR="00AD4FD7" w:rsidP="00C16BD1" w:rsidRDefault="000B57BF" w14:paraId="1F0F763E" w14:textId="7D9C696D">
      <w:pPr>
        <w:spacing w:after="0"/>
        <w:rPr>
          <w:rFonts w:ascii="Verdana" w:hAnsi="Verdana" w:eastAsia="Verdana" w:cs="Verdana"/>
          <w:b/>
          <w:bCs/>
          <w:sz w:val="18"/>
          <w:szCs w:val="18"/>
        </w:rPr>
      </w:pPr>
      <w:r>
        <w:rPr>
          <w:rFonts w:ascii="Verdana" w:hAnsi="Verdana"/>
          <w:sz w:val="18"/>
          <w:szCs w:val="18"/>
        </w:rPr>
        <w:t xml:space="preserve">De Commissie gaf een stand van zaken van de implementatie van het Pact en stelde vast dat ten tijde van het plaatsvinden van de JBZ-Raad bijna alle lidstaten hun nationale implementatieplannen hebben ingediend. De Commissie spoorde resterende lidstaat aan dit met spoed alsnog te doen. </w:t>
      </w:r>
      <w:r w:rsidRPr="00687FC3">
        <w:rPr>
          <w:rFonts w:ascii="Verdana" w:hAnsi="Verdana" w:eastAsia="Times New Roman"/>
          <w:color w:val="000000"/>
          <w:sz w:val="18"/>
          <w:szCs w:val="18"/>
        </w:rPr>
        <w:t>De Commissie gaf aan v</w:t>
      </w:r>
      <w:r>
        <w:rPr>
          <w:rFonts w:ascii="Verdana" w:hAnsi="Verdana" w:eastAsia="Times New Roman"/>
          <w:color w:val="000000"/>
          <w:sz w:val="18"/>
          <w:szCs w:val="18"/>
        </w:rPr>
        <w:t>óó</w:t>
      </w:r>
      <w:r w:rsidRPr="00687FC3">
        <w:rPr>
          <w:rFonts w:ascii="Verdana" w:hAnsi="Verdana" w:eastAsia="Times New Roman"/>
          <w:color w:val="000000"/>
          <w:sz w:val="18"/>
          <w:szCs w:val="18"/>
        </w:rPr>
        <w:t>r de zomer een voortgangsrapport over de implementatie van het Pact te zullen presenteren.</w:t>
      </w:r>
      <w:r>
        <w:rPr>
          <w:rFonts w:ascii="Verdana" w:hAnsi="Verdana" w:eastAsia="Times New Roman"/>
          <w:color w:val="000000"/>
          <w:sz w:val="18"/>
          <w:szCs w:val="18"/>
        </w:rPr>
        <w:t xml:space="preserve"> </w:t>
      </w:r>
      <w:r w:rsidRPr="00783467">
        <w:rPr>
          <w:rFonts w:ascii="Verdana" w:hAnsi="Verdana"/>
          <w:sz w:val="18"/>
          <w:szCs w:val="18"/>
        </w:rPr>
        <w:t>Ook kondigde de Commissie een voorstel aan voor de verdeling van de middelen die in de herziening van het Meerjarig Financieel Kader</w:t>
      </w:r>
      <w:r w:rsidR="00FB108B">
        <w:rPr>
          <w:rFonts w:ascii="Verdana" w:hAnsi="Verdana"/>
          <w:sz w:val="18"/>
          <w:szCs w:val="18"/>
        </w:rPr>
        <w:t xml:space="preserve"> (MFK)</w:t>
      </w:r>
      <w:r w:rsidRPr="00783467">
        <w:rPr>
          <w:rFonts w:ascii="Verdana" w:hAnsi="Verdana"/>
          <w:sz w:val="18"/>
          <w:szCs w:val="18"/>
        </w:rPr>
        <w:t xml:space="preserve"> voor de implementatie van het Pact beschikbaar zijn gesteld. Dit voorstel is inmiddels in het Comité voor de Migratie- en Veiligheidsfondsen (</w:t>
      </w:r>
      <w:r w:rsidRPr="00783467">
        <w:rPr>
          <w:rFonts w:ascii="Verdana" w:hAnsi="Verdana"/>
          <w:i/>
          <w:iCs/>
          <w:sz w:val="18"/>
          <w:szCs w:val="18"/>
        </w:rPr>
        <w:t>Home Affairs Committee</w:t>
      </w:r>
      <w:r w:rsidRPr="00783467">
        <w:rPr>
          <w:rFonts w:ascii="Verdana" w:hAnsi="Verdana"/>
          <w:sz w:val="18"/>
          <w:szCs w:val="18"/>
        </w:rPr>
        <w:t xml:space="preserve">) besproken. De voorgestelde verdeling over de lidstaten </w:t>
      </w:r>
      <w:r>
        <w:rPr>
          <w:rFonts w:ascii="Verdana" w:hAnsi="Verdana"/>
          <w:sz w:val="18"/>
          <w:szCs w:val="18"/>
        </w:rPr>
        <w:t>is</w:t>
      </w:r>
      <w:r w:rsidRPr="00783467">
        <w:rPr>
          <w:rFonts w:ascii="Verdana" w:hAnsi="Verdana"/>
          <w:sz w:val="18"/>
          <w:szCs w:val="18"/>
        </w:rPr>
        <w:t xml:space="preserve"> gebaseerd op de objectieve criteria die in de verordeningen voor de asiel- en migratiefondsen zijn vastgelegd, aangevuld met: het aantal begunstigden van tijdelijke bescherming in de lidstaten; de druk op de buitengrenzen van de lidstaten in het licht van de nieuwe vereisten voor de asielgrensprocedure; en het vermogen van de lidstaten om de economische last van de implementatie te dragen. Dit is in lijn met de inzet van Nederland</w:t>
      </w:r>
      <w:r>
        <w:rPr>
          <w:rFonts w:ascii="Verdana" w:hAnsi="Verdana"/>
          <w:sz w:val="18"/>
          <w:szCs w:val="18"/>
        </w:rPr>
        <w:t>, zoals met uw Kamer gedeeld in de kabinetsappreciatie van het Gemeenschappelijk Implementatieplan</w:t>
      </w:r>
      <w:r>
        <w:rPr>
          <w:rStyle w:val="Voetnootmarkering"/>
          <w:rFonts w:ascii="Verdana" w:hAnsi="Verdana"/>
          <w:sz w:val="18"/>
          <w:szCs w:val="18"/>
        </w:rPr>
        <w:footnoteReference w:id="4"/>
      </w:r>
      <w:r>
        <w:rPr>
          <w:rFonts w:ascii="Verdana" w:hAnsi="Verdana"/>
          <w:sz w:val="18"/>
          <w:szCs w:val="18"/>
        </w:rPr>
        <w:t>,</w:t>
      </w:r>
      <w:r w:rsidRPr="00783467">
        <w:rPr>
          <w:rFonts w:ascii="Verdana" w:hAnsi="Verdana"/>
          <w:sz w:val="18"/>
          <w:szCs w:val="18"/>
        </w:rPr>
        <w:t xml:space="preserve"> dat financiële ondersteuning primair ten goede moet komen aan de implementatie van elementen uit het Pact die bijdragen aan versterking van de buitengrenzen. Nederland is akkoord gegaan met het voorstel. Geen van de overige lidstaten heeft bezwaar geuit, waarmee het voorstel is </w:t>
      </w:r>
      <w:r w:rsidR="00C12DE3">
        <w:rPr>
          <w:rFonts w:ascii="Verdana" w:hAnsi="Verdana"/>
          <w:sz w:val="18"/>
          <w:szCs w:val="18"/>
        </w:rPr>
        <w:t>vastgesteld</w:t>
      </w:r>
      <w:r w:rsidRPr="00783467">
        <w:rPr>
          <w:rFonts w:ascii="Verdana" w:hAnsi="Verdana"/>
          <w:sz w:val="18"/>
          <w:szCs w:val="18"/>
        </w:rPr>
        <w:t>. Het aan Nederland toebedeelde budget wordt via de asiel- en migratiefondsen (AMIF en BMVI) beschikbaar gesteld, in gedeeld beheer met de Commissie. Dit betekent concreet dat het budget enkel na implementatie en verantwoording daadwerkelijk beschikbaar komt.</w:t>
      </w:r>
    </w:p>
    <w:p w:rsidRPr="00DC7517" w:rsidR="00AD4FD7" w:rsidP="008A43C3" w:rsidRDefault="00AD4FD7" w14:paraId="121E82B4" w14:textId="77777777">
      <w:pPr>
        <w:pStyle w:val="Lijstalinea"/>
        <w:spacing w:after="0"/>
        <w:ind w:left="284"/>
        <w:rPr>
          <w:rFonts w:ascii="Verdana" w:hAnsi="Verdana" w:eastAsia="Verdana" w:cs="Verdana"/>
          <w:b/>
          <w:bCs/>
          <w:sz w:val="18"/>
          <w:szCs w:val="18"/>
        </w:rPr>
      </w:pPr>
    </w:p>
    <w:p w:rsidR="00DC7517" w:rsidP="00CE6A9D" w:rsidRDefault="00DC7517" w14:paraId="229CAD6B" w14:textId="1C66E43E">
      <w:pPr>
        <w:pStyle w:val="Lijstalinea"/>
        <w:numPr>
          <w:ilvl w:val="4"/>
          <w:numId w:val="1"/>
        </w:numPr>
        <w:spacing w:after="0"/>
        <w:ind w:left="284" w:firstLine="0"/>
        <w:rPr>
          <w:rFonts w:ascii="Verdana" w:hAnsi="Verdana" w:eastAsia="Verdana" w:cs="Verdana"/>
          <w:b/>
          <w:bCs/>
          <w:sz w:val="18"/>
          <w:szCs w:val="18"/>
        </w:rPr>
      </w:pPr>
      <w:r w:rsidRPr="00DC7517">
        <w:rPr>
          <w:rFonts w:ascii="Verdana" w:hAnsi="Verdana" w:eastAsia="Verdana" w:cs="Verdana"/>
          <w:b/>
          <w:bCs/>
          <w:sz w:val="18"/>
          <w:szCs w:val="18"/>
        </w:rPr>
        <w:t>42e sessie van de Raad van Arabische ministers van Binnenlandse Zaken</w:t>
      </w:r>
    </w:p>
    <w:p w:rsidR="00E41DA4" w:rsidP="00981945" w:rsidRDefault="00AD4FD7" w14:paraId="0A737F92" w14:textId="004E955D">
      <w:pPr>
        <w:spacing w:after="0"/>
        <w:rPr>
          <w:rFonts w:ascii="Verdana" w:hAnsi="Verdana" w:eastAsia="Verdana" w:cs="Verdana"/>
          <w:b/>
          <w:bCs/>
          <w:sz w:val="24"/>
          <w:szCs w:val="24"/>
        </w:rPr>
      </w:pPr>
      <w:r>
        <w:rPr>
          <w:rFonts w:ascii="Verdana" w:hAnsi="Verdana" w:eastAsia="Verdana" w:cs="Verdana"/>
          <w:sz w:val="18"/>
          <w:szCs w:val="18"/>
        </w:rPr>
        <w:t xml:space="preserve">Tijdens de </w:t>
      </w:r>
      <w:r w:rsidR="00C12DE3">
        <w:rPr>
          <w:rFonts w:ascii="Verdana" w:hAnsi="Verdana" w:eastAsia="Verdana" w:cs="Verdana"/>
          <w:sz w:val="18"/>
          <w:szCs w:val="18"/>
        </w:rPr>
        <w:t>JBZ-</w:t>
      </w:r>
      <w:r>
        <w:rPr>
          <w:rFonts w:ascii="Verdana" w:hAnsi="Verdana" w:eastAsia="Verdana" w:cs="Verdana"/>
          <w:sz w:val="18"/>
          <w:szCs w:val="18"/>
        </w:rPr>
        <w:t xml:space="preserve">Raad </w:t>
      </w:r>
      <w:r w:rsidR="00C12DE3">
        <w:rPr>
          <w:rFonts w:ascii="Verdana" w:hAnsi="Verdana" w:eastAsia="Verdana" w:cs="Verdana"/>
          <w:sz w:val="18"/>
          <w:szCs w:val="18"/>
        </w:rPr>
        <w:t>gaf</w:t>
      </w:r>
      <w:r>
        <w:rPr>
          <w:rFonts w:ascii="Verdana" w:hAnsi="Verdana" w:eastAsia="Verdana" w:cs="Verdana"/>
          <w:sz w:val="18"/>
          <w:szCs w:val="18"/>
        </w:rPr>
        <w:t xml:space="preserve"> Portugal een terugkoppeling </w:t>
      </w:r>
      <w:r w:rsidR="00C12DE3">
        <w:rPr>
          <w:rFonts w:ascii="Verdana" w:hAnsi="Verdana" w:eastAsia="Verdana" w:cs="Verdana"/>
          <w:sz w:val="18"/>
          <w:szCs w:val="18"/>
        </w:rPr>
        <w:t>van de 42</w:t>
      </w:r>
      <w:r w:rsidRPr="00AD4FD7" w:rsidR="00C12DE3">
        <w:rPr>
          <w:rFonts w:ascii="Verdana" w:hAnsi="Verdana" w:eastAsia="Verdana" w:cs="Verdana"/>
          <w:sz w:val="18"/>
          <w:szCs w:val="18"/>
          <w:vertAlign w:val="superscript"/>
        </w:rPr>
        <w:t>e</w:t>
      </w:r>
      <w:r w:rsidR="00C12DE3">
        <w:rPr>
          <w:rFonts w:ascii="Verdana" w:hAnsi="Verdana" w:eastAsia="Verdana" w:cs="Verdana"/>
          <w:sz w:val="18"/>
          <w:szCs w:val="18"/>
        </w:rPr>
        <w:t xml:space="preserve"> sessie van de Raad van Arabische ministers van Binnenlandse Zaken </w:t>
      </w:r>
      <w:r w:rsidR="00FC1D41">
        <w:rPr>
          <w:rFonts w:ascii="Verdana" w:hAnsi="Verdana" w:eastAsia="Verdana" w:cs="Verdana"/>
          <w:sz w:val="18"/>
          <w:szCs w:val="18"/>
        </w:rPr>
        <w:t xml:space="preserve">en </w:t>
      </w:r>
      <w:r w:rsidR="00C12DE3">
        <w:rPr>
          <w:rFonts w:ascii="Verdana" w:hAnsi="Verdana" w:eastAsia="Verdana" w:cs="Verdana"/>
          <w:sz w:val="18"/>
          <w:szCs w:val="18"/>
        </w:rPr>
        <w:t xml:space="preserve">riep de overige </w:t>
      </w:r>
      <w:r>
        <w:rPr>
          <w:rFonts w:ascii="Verdana" w:hAnsi="Verdana" w:eastAsia="Verdana" w:cs="Verdana"/>
          <w:sz w:val="18"/>
          <w:szCs w:val="18"/>
        </w:rPr>
        <w:t xml:space="preserve">lidstaten </w:t>
      </w:r>
      <w:r w:rsidR="00C12DE3">
        <w:rPr>
          <w:rFonts w:ascii="Verdana" w:hAnsi="Verdana" w:eastAsia="Verdana" w:cs="Verdana"/>
          <w:sz w:val="18"/>
          <w:szCs w:val="18"/>
        </w:rPr>
        <w:t xml:space="preserve">op </w:t>
      </w:r>
      <w:r>
        <w:rPr>
          <w:rFonts w:ascii="Verdana" w:hAnsi="Verdana" w:eastAsia="Verdana" w:cs="Verdana"/>
          <w:sz w:val="18"/>
          <w:szCs w:val="18"/>
        </w:rPr>
        <w:t xml:space="preserve">aanwezig te zijn bij de aangekondigde interministeriële conferentie aankomende herfst. </w:t>
      </w:r>
      <w:r w:rsidR="00E41DA4">
        <w:rPr>
          <w:rFonts w:ascii="Verdana" w:hAnsi="Verdana" w:eastAsia="Verdana" w:cs="Verdana"/>
          <w:sz w:val="18"/>
          <w:szCs w:val="18"/>
        </w:rPr>
        <w:t>Portugal ziet potenti</w:t>
      </w:r>
      <w:r w:rsidR="00C12DE3">
        <w:rPr>
          <w:rFonts w:ascii="Verdana" w:hAnsi="Verdana" w:eastAsia="Verdana" w:cs="Verdana"/>
          <w:sz w:val="18"/>
          <w:szCs w:val="18"/>
        </w:rPr>
        <w:t>e</w:t>
      </w:r>
      <w:r w:rsidR="00E41DA4">
        <w:rPr>
          <w:rFonts w:ascii="Verdana" w:hAnsi="Verdana" w:eastAsia="Verdana" w:cs="Verdana"/>
          <w:sz w:val="18"/>
          <w:szCs w:val="18"/>
        </w:rPr>
        <w:t xml:space="preserve"> om samenwerking te verbeteren en ook aan de zijde van de Arabische ministers is er belangstelling om politiek dialoog met de EU voort te zetten.</w:t>
      </w:r>
      <w:r w:rsidR="00FB108B">
        <w:rPr>
          <w:rFonts w:ascii="Verdana" w:hAnsi="Verdana" w:eastAsia="Verdana" w:cs="Verdana"/>
          <w:sz w:val="18"/>
          <w:szCs w:val="18"/>
        </w:rPr>
        <w:br/>
      </w:r>
    </w:p>
    <w:p w:rsidR="008B6FCB" w:rsidP="00D42F00" w:rsidRDefault="008B6FCB" w14:paraId="104208C2" w14:textId="77777777">
      <w:pPr>
        <w:pStyle w:val="Lijstalinea"/>
        <w:numPr>
          <w:ilvl w:val="0"/>
          <w:numId w:val="1"/>
        </w:numPr>
        <w:spacing w:after="0"/>
        <w:ind w:left="426"/>
      </w:pPr>
      <w:r>
        <w:rPr>
          <w:rFonts w:ascii="Verdana" w:hAnsi="Verdana" w:eastAsia="Verdana" w:cs="Verdana"/>
          <w:b/>
          <w:bCs/>
          <w:sz w:val="24"/>
          <w:szCs w:val="24"/>
        </w:rPr>
        <w:t xml:space="preserve"> </w:t>
      </w:r>
      <w:r w:rsidRPr="3BB47E1C">
        <w:rPr>
          <w:rFonts w:ascii="Verdana" w:hAnsi="Verdana" w:eastAsia="Verdana" w:cs="Verdana"/>
          <w:b/>
          <w:bCs/>
          <w:sz w:val="24"/>
          <w:szCs w:val="24"/>
        </w:rPr>
        <w:t>Justitie</w:t>
      </w:r>
      <w:r>
        <w:br/>
      </w:r>
    </w:p>
    <w:p w:rsidRPr="001C6EB7" w:rsidR="00701052" w:rsidP="00701052" w:rsidRDefault="00701052" w14:paraId="501B9C02" w14:textId="77777777">
      <w:pPr>
        <w:pStyle w:val="Lijstalinea"/>
        <w:numPr>
          <w:ilvl w:val="3"/>
          <w:numId w:val="1"/>
        </w:numPr>
        <w:spacing w:after="0"/>
        <w:rPr>
          <w:rFonts w:ascii="Verdana" w:hAnsi="Verdana"/>
          <w:b/>
          <w:sz w:val="18"/>
          <w:szCs w:val="18"/>
        </w:rPr>
      </w:pPr>
      <w:bookmarkStart w:name="_Hlk190418115" w:id="4"/>
      <w:r w:rsidRPr="001C6EB7">
        <w:rPr>
          <w:rFonts w:ascii="Verdana" w:hAnsi="Verdana"/>
          <w:b/>
          <w:sz w:val="18"/>
          <w:szCs w:val="18"/>
        </w:rPr>
        <w:t>Richtlijn tot harmonisatie van bepaalde aspecten van het insolventierecht</w:t>
      </w:r>
    </w:p>
    <w:bookmarkEnd w:id="4"/>
    <w:p w:rsidR="00655F8E" w:rsidP="00655F8E" w:rsidRDefault="00655F8E" w14:paraId="5FA4C166" w14:textId="77777777">
      <w:pPr>
        <w:pStyle w:val="Lijstalinea"/>
        <w:spacing w:after="0"/>
        <w:ind w:left="360"/>
        <w:rPr>
          <w:rFonts w:ascii="Verdana" w:hAnsi="Verdana"/>
          <w:sz w:val="18"/>
          <w:szCs w:val="18"/>
        </w:rPr>
      </w:pPr>
    </w:p>
    <w:p w:rsidR="00C427C9" w:rsidP="00C427C9" w:rsidRDefault="00C427C9" w14:paraId="2EF0973C" w14:textId="5CE7ED9F">
      <w:pPr>
        <w:spacing w:after="0"/>
        <w:rPr>
          <w:rFonts w:ascii="Verdana" w:hAnsi="Verdana"/>
          <w:sz w:val="18"/>
          <w:szCs w:val="18"/>
        </w:rPr>
      </w:pPr>
      <w:r>
        <w:rPr>
          <w:rFonts w:ascii="Verdana" w:hAnsi="Verdana"/>
          <w:sz w:val="18"/>
          <w:szCs w:val="18"/>
        </w:rPr>
        <w:t xml:space="preserve">Tijdens de JBZ-Raad </w:t>
      </w:r>
      <w:r w:rsidR="00473CE9">
        <w:rPr>
          <w:rFonts w:ascii="Verdana" w:hAnsi="Verdana"/>
          <w:sz w:val="18"/>
          <w:szCs w:val="18"/>
        </w:rPr>
        <w:t>werd gedebatteerd</w:t>
      </w:r>
      <w:r>
        <w:rPr>
          <w:rFonts w:ascii="Verdana" w:hAnsi="Verdana"/>
          <w:sz w:val="18"/>
          <w:szCs w:val="18"/>
        </w:rPr>
        <w:t xml:space="preserve"> over</w:t>
      </w:r>
      <w:r w:rsidRPr="00C427C9">
        <w:rPr>
          <w:rFonts w:ascii="Verdana" w:hAnsi="Verdana"/>
          <w:sz w:val="18"/>
          <w:szCs w:val="18"/>
        </w:rPr>
        <w:t xml:space="preserve"> (de wenselijkheid van) automatische contractsovername in de </w:t>
      </w:r>
      <w:r w:rsidR="00C12DE3">
        <w:rPr>
          <w:rFonts w:ascii="Verdana" w:hAnsi="Verdana"/>
          <w:sz w:val="18"/>
          <w:szCs w:val="18"/>
        </w:rPr>
        <w:t xml:space="preserve">zogeheten </w:t>
      </w:r>
      <w:r w:rsidRPr="00C427C9">
        <w:rPr>
          <w:rFonts w:ascii="Verdana" w:hAnsi="Verdana"/>
          <w:sz w:val="18"/>
          <w:szCs w:val="18"/>
        </w:rPr>
        <w:t xml:space="preserve">pre-pack procedure </w:t>
      </w:r>
      <w:r w:rsidR="00473CE9">
        <w:rPr>
          <w:rFonts w:ascii="Verdana" w:hAnsi="Verdana"/>
          <w:sz w:val="18"/>
          <w:szCs w:val="18"/>
        </w:rPr>
        <w:t>va</w:t>
      </w:r>
      <w:r w:rsidRPr="00C427C9">
        <w:rPr>
          <w:rFonts w:ascii="Verdana" w:hAnsi="Verdana"/>
          <w:sz w:val="18"/>
          <w:szCs w:val="18"/>
        </w:rPr>
        <w:t xml:space="preserve">n het voorstel voor een </w:t>
      </w:r>
      <w:r>
        <w:rPr>
          <w:rFonts w:ascii="Verdana" w:hAnsi="Verdana"/>
          <w:sz w:val="18"/>
          <w:szCs w:val="18"/>
        </w:rPr>
        <w:t>r</w:t>
      </w:r>
      <w:r w:rsidRPr="00C427C9">
        <w:rPr>
          <w:rFonts w:ascii="Verdana" w:hAnsi="Verdana"/>
          <w:sz w:val="18"/>
          <w:szCs w:val="18"/>
        </w:rPr>
        <w:t>ichtlijn ter harmonisatie van bepaalde aspecten van het insolventierecht.</w:t>
      </w:r>
      <w:r w:rsidR="00473CE9">
        <w:rPr>
          <w:rFonts w:ascii="Verdana" w:hAnsi="Verdana"/>
          <w:sz w:val="18"/>
          <w:szCs w:val="18"/>
        </w:rPr>
        <w:t xml:space="preserve"> In een pre-pack procedure wordt beoordeeld of </w:t>
      </w:r>
      <w:r w:rsidRPr="00473CE9" w:rsidR="00473CE9">
        <w:rPr>
          <w:rFonts w:ascii="Verdana" w:hAnsi="Verdana"/>
          <w:sz w:val="18"/>
          <w:szCs w:val="18"/>
        </w:rPr>
        <w:t>na het uitspreken van het faillissement een doorstart van de onderneming mogelijk is</w:t>
      </w:r>
      <w:r w:rsidR="00473CE9">
        <w:rPr>
          <w:rFonts w:ascii="Verdana" w:hAnsi="Verdana"/>
          <w:sz w:val="18"/>
          <w:szCs w:val="18"/>
        </w:rPr>
        <w:t>.</w:t>
      </w:r>
      <w:r w:rsidRPr="00C427C9">
        <w:rPr>
          <w:rFonts w:ascii="Verdana" w:hAnsi="Verdana"/>
          <w:sz w:val="18"/>
          <w:szCs w:val="18"/>
        </w:rPr>
        <w:t xml:space="preserve"> Het Voorzitterschap vroeg </w:t>
      </w:r>
      <w:r>
        <w:rPr>
          <w:rFonts w:ascii="Verdana" w:hAnsi="Verdana"/>
          <w:sz w:val="18"/>
          <w:szCs w:val="18"/>
        </w:rPr>
        <w:t>de lidstaten</w:t>
      </w:r>
      <w:r w:rsidRPr="00C427C9">
        <w:rPr>
          <w:rFonts w:ascii="Verdana" w:hAnsi="Verdana"/>
          <w:sz w:val="18"/>
          <w:szCs w:val="18"/>
        </w:rPr>
        <w:t xml:space="preserve"> te reflecteren op (i) de juiste balans tussen automatische contractsovername en contractsvrijheid en (ii) de benodigde flexibiliteit en benodigde uitzonderingen ten aanzien van een dergelijke regeling. </w:t>
      </w:r>
    </w:p>
    <w:p w:rsidR="00C427C9" w:rsidP="00C427C9" w:rsidRDefault="00C427C9" w14:paraId="4EFEDB53" w14:textId="77777777">
      <w:pPr>
        <w:spacing w:after="0"/>
        <w:rPr>
          <w:rFonts w:ascii="Verdana" w:hAnsi="Verdana"/>
          <w:sz w:val="18"/>
          <w:szCs w:val="18"/>
        </w:rPr>
      </w:pPr>
    </w:p>
    <w:p w:rsidR="002B5F62" w:rsidP="00C427C9" w:rsidRDefault="00C427C9" w14:paraId="16D4DE11" w14:textId="7A7ED4BB">
      <w:pPr>
        <w:spacing w:after="0"/>
        <w:rPr>
          <w:rFonts w:ascii="Verdana" w:hAnsi="Verdana"/>
          <w:sz w:val="18"/>
          <w:szCs w:val="18"/>
        </w:rPr>
      </w:pPr>
      <w:r w:rsidRPr="00C427C9">
        <w:rPr>
          <w:rFonts w:ascii="Verdana" w:hAnsi="Verdana"/>
          <w:sz w:val="18"/>
          <w:szCs w:val="18"/>
        </w:rPr>
        <w:t xml:space="preserve">Enkele </w:t>
      </w:r>
      <w:r>
        <w:rPr>
          <w:rFonts w:ascii="Verdana" w:hAnsi="Verdana"/>
          <w:sz w:val="18"/>
          <w:szCs w:val="18"/>
        </w:rPr>
        <w:t>lidstaten</w:t>
      </w:r>
      <w:r w:rsidRPr="00C427C9">
        <w:rPr>
          <w:rFonts w:ascii="Verdana" w:hAnsi="Verdana"/>
          <w:sz w:val="18"/>
          <w:szCs w:val="18"/>
        </w:rPr>
        <w:t xml:space="preserve"> waren (zeer) kritisch </w:t>
      </w:r>
      <w:r w:rsidR="00473CE9">
        <w:rPr>
          <w:rFonts w:ascii="Verdana" w:hAnsi="Verdana"/>
          <w:sz w:val="18"/>
          <w:szCs w:val="18"/>
        </w:rPr>
        <w:t>over</w:t>
      </w:r>
      <w:r w:rsidRPr="00C427C9">
        <w:rPr>
          <w:rFonts w:ascii="Verdana" w:hAnsi="Verdana"/>
          <w:sz w:val="18"/>
          <w:szCs w:val="18"/>
        </w:rPr>
        <w:t xml:space="preserve"> een bepaling over automatische contractsovername</w:t>
      </w:r>
      <w:r>
        <w:rPr>
          <w:rFonts w:ascii="Verdana" w:hAnsi="Verdana"/>
          <w:sz w:val="18"/>
          <w:szCs w:val="18"/>
        </w:rPr>
        <w:t>. Andere lidstaten</w:t>
      </w:r>
      <w:r w:rsidRPr="00C427C9">
        <w:rPr>
          <w:rFonts w:ascii="Verdana" w:hAnsi="Verdana"/>
          <w:sz w:val="18"/>
          <w:szCs w:val="18"/>
        </w:rPr>
        <w:t xml:space="preserve"> zagen meerwaarde zolang voldoende flexibiliteit geborgd bl</w:t>
      </w:r>
      <w:r w:rsidR="002B5F62">
        <w:rPr>
          <w:rFonts w:ascii="Verdana" w:hAnsi="Verdana"/>
          <w:sz w:val="18"/>
          <w:szCs w:val="18"/>
        </w:rPr>
        <w:t xml:space="preserve">ijft, </w:t>
      </w:r>
      <w:r>
        <w:rPr>
          <w:rFonts w:ascii="Verdana" w:hAnsi="Verdana"/>
          <w:sz w:val="18"/>
          <w:szCs w:val="18"/>
        </w:rPr>
        <w:t xml:space="preserve">terwijl een kleiner aantal lidstaten hun </w:t>
      </w:r>
      <w:r w:rsidR="002B5F62">
        <w:rPr>
          <w:rFonts w:ascii="Verdana" w:hAnsi="Verdana"/>
          <w:sz w:val="18"/>
          <w:szCs w:val="18"/>
        </w:rPr>
        <w:t xml:space="preserve">uitdrukkelijke </w:t>
      </w:r>
      <w:r>
        <w:rPr>
          <w:rFonts w:ascii="Verdana" w:hAnsi="Verdana"/>
          <w:sz w:val="18"/>
          <w:szCs w:val="18"/>
        </w:rPr>
        <w:t xml:space="preserve">steun uitspraken voor de </w:t>
      </w:r>
      <w:r w:rsidRPr="00C427C9">
        <w:rPr>
          <w:rFonts w:ascii="Verdana" w:hAnsi="Verdana"/>
          <w:sz w:val="18"/>
          <w:szCs w:val="18"/>
        </w:rPr>
        <w:t xml:space="preserve">regeling. Nederland benadrukte </w:t>
      </w:r>
      <w:r w:rsidR="00473CE9">
        <w:rPr>
          <w:rFonts w:ascii="Verdana" w:hAnsi="Verdana"/>
          <w:sz w:val="18"/>
          <w:szCs w:val="18"/>
        </w:rPr>
        <w:t>dat</w:t>
      </w:r>
      <w:r w:rsidRPr="00C427C9">
        <w:rPr>
          <w:rFonts w:ascii="Verdana" w:hAnsi="Verdana"/>
          <w:sz w:val="18"/>
          <w:szCs w:val="18"/>
        </w:rPr>
        <w:t xml:space="preserve"> </w:t>
      </w:r>
      <w:r>
        <w:rPr>
          <w:rFonts w:ascii="Verdana" w:hAnsi="Verdana"/>
          <w:sz w:val="18"/>
          <w:szCs w:val="18"/>
        </w:rPr>
        <w:t xml:space="preserve">de </w:t>
      </w:r>
      <w:r w:rsidRPr="00C427C9">
        <w:rPr>
          <w:rFonts w:ascii="Verdana" w:hAnsi="Verdana"/>
          <w:sz w:val="18"/>
          <w:szCs w:val="18"/>
        </w:rPr>
        <w:t>pre-pack</w:t>
      </w:r>
      <w:r w:rsidR="00473CE9">
        <w:rPr>
          <w:rFonts w:ascii="Verdana" w:hAnsi="Verdana"/>
          <w:sz w:val="18"/>
          <w:szCs w:val="18"/>
        </w:rPr>
        <w:t>-</w:t>
      </w:r>
      <w:r>
        <w:rPr>
          <w:rFonts w:ascii="Verdana" w:hAnsi="Verdana"/>
          <w:sz w:val="18"/>
          <w:szCs w:val="18"/>
        </w:rPr>
        <w:t xml:space="preserve">regeling </w:t>
      </w:r>
      <w:r w:rsidR="00473CE9">
        <w:rPr>
          <w:rFonts w:ascii="Verdana" w:hAnsi="Verdana"/>
          <w:sz w:val="18"/>
          <w:szCs w:val="18"/>
        </w:rPr>
        <w:t xml:space="preserve">positief bijdraagt </w:t>
      </w:r>
      <w:r w:rsidRPr="00C427C9">
        <w:rPr>
          <w:rFonts w:ascii="Verdana" w:hAnsi="Verdana"/>
          <w:sz w:val="18"/>
          <w:szCs w:val="18"/>
        </w:rPr>
        <w:t>aan</w:t>
      </w:r>
      <w:r w:rsidR="00250F20">
        <w:rPr>
          <w:rFonts w:ascii="Verdana" w:hAnsi="Verdana"/>
          <w:sz w:val="18"/>
          <w:szCs w:val="18"/>
        </w:rPr>
        <w:t xml:space="preserve"> de</w:t>
      </w:r>
      <w:r w:rsidRPr="00C427C9">
        <w:rPr>
          <w:rFonts w:ascii="Verdana" w:hAnsi="Verdana"/>
          <w:sz w:val="18"/>
          <w:szCs w:val="18"/>
        </w:rPr>
        <w:t xml:space="preserve"> </w:t>
      </w:r>
      <w:r>
        <w:rPr>
          <w:rFonts w:ascii="Verdana" w:hAnsi="Verdana"/>
          <w:sz w:val="18"/>
          <w:szCs w:val="18"/>
        </w:rPr>
        <w:t xml:space="preserve">doelen van </w:t>
      </w:r>
      <w:r w:rsidRPr="00C427C9">
        <w:rPr>
          <w:rFonts w:ascii="Verdana" w:hAnsi="Verdana"/>
          <w:sz w:val="18"/>
          <w:szCs w:val="18"/>
        </w:rPr>
        <w:t>de Kapitaal Markt Unie</w:t>
      </w:r>
      <w:r>
        <w:rPr>
          <w:rFonts w:ascii="Verdana" w:hAnsi="Verdana"/>
          <w:sz w:val="18"/>
          <w:szCs w:val="18"/>
        </w:rPr>
        <w:t xml:space="preserve">. </w:t>
      </w:r>
      <w:r w:rsidR="009935F9">
        <w:rPr>
          <w:rFonts w:ascii="Verdana" w:hAnsi="Verdana"/>
          <w:sz w:val="18"/>
          <w:szCs w:val="18"/>
        </w:rPr>
        <w:t xml:space="preserve">Daarbij lichtte Nederland het eigen systeem toe dat </w:t>
      </w:r>
      <w:r w:rsidRPr="00C427C9" w:rsidR="009935F9">
        <w:rPr>
          <w:rFonts w:ascii="Verdana" w:hAnsi="Verdana"/>
          <w:sz w:val="18"/>
          <w:szCs w:val="18"/>
        </w:rPr>
        <w:t>geen automatische contractsovername kent</w:t>
      </w:r>
      <w:r w:rsidR="0041344E">
        <w:rPr>
          <w:rFonts w:ascii="Verdana" w:hAnsi="Verdana"/>
          <w:sz w:val="18"/>
          <w:szCs w:val="18"/>
        </w:rPr>
        <w:t xml:space="preserve">, </w:t>
      </w:r>
      <w:r w:rsidR="00473CE9">
        <w:rPr>
          <w:rFonts w:ascii="Verdana" w:hAnsi="Verdana"/>
          <w:sz w:val="18"/>
          <w:szCs w:val="18"/>
        </w:rPr>
        <w:t xml:space="preserve">maar </w:t>
      </w:r>
      <w:r w:rsidR="00EF3120">
        <w:rPr>
          <w:rFonts w:ascii="Verdana" w:hAnsi="Verdana"/>
          <w:sz w:val="18"/>
          <w:szCs w:val="18"/>
        </w:rPr>
        <w:t>gaf aan</w:t>
      </w:r>
      <w:r w:rsidR="00473CE9">
        <w:rPr>
          <w:rFonts w:ascii="Verdana" w:hAnsi="Verdana"/>
          <w:sz w:val="18"/>
          <w:szCs w:val="18"/>
        </w:rPr>
        <w:t xml:space="preserve"> open te staan</w:t>
      </w:r>
      <w:r w:rsidR="009935F9">
        <w:rPr>
          <w:rFonts w:ascii="Verdana" w:hAnsi="Verdana"/>
          <w:sz w:val="18"/>
          <w:szCs w:val="18"/>
        </w:rPr>
        <w:t xml:space="preserve"> voor de potentiële meerwaarde van het compromisvoorstel. </w:t>
      </w:r>
      <w:r w:rsidR="00250F20">
        <w:rPr>
          <w:rFonts w:ascii="Verdana" w:hAnsi="Verdana"/>
          <w:sz w:val="18"/>
          <w:szCs w:val="18"/>
        </w:rPr>
        <w:t>Nederland gaf aan dat v</w:t>
      </w:r>
      <w:r w:rsidR="009935F9">
        <w:rPr>
          <w:rFonts w:ascii="Verdana" w:hAnsi="Verdana"/>
          <w:sz w:val="18"/>
          <w:szCs w:val="18"/>
        </w:rPr>
        <w:t>erdere discussie op technisch niveau nodig</w:t>
      </w:r>
      <w:r w:rsidR="00250F20">
        <w:rPr>
          <w:rFonts w:ascii="Verdana" w:hAnsi="Verdana"/>
          <w:sz w:val="18"/>
          <w:szCs w:val="18"/>
        </w:rPr>
        <w:t xml:space="preserve"> is</w:t>
      </w:r>
      <w:r w:rsidR="009935F9">
        <w:rPr>
          <w:rFonts w:ascii="Verdana" w:hAnsi="Verdana"/>
          <w:sz w:val="18"/>
          <w:szCs w:val="18"/>
        </w:rPr>
        <w:t>.</w:t>
      </w:r>
    </w:p>
    <w:p w:rsidR="009935F9" w:rsidP="00C427C9" w:rsidRDefault="009935F9" w14:paraId="33A11716" w14:textId="77777777">
      <w:pPr>
        <w:spacing w:after="0"/>
        <w:rPr>
          <w:rFonts w:ascii="Verdana" w:hAnsi="Verdana"/>
          <w:sz w:val="18"/>
          <w:szCs w:val="18"/>
        </w:rPr>
      </w:pPr>
    </w:p>
    <w:p w:rsidRPr="00C427C9" w:rsidR="00C427C9" w:rsidP="00C427C9" w:rsidRDefault="00C427C9" w14:paraId="10D6DF11" w14:textId="2B2488CE">
      <w:pPr>
        <w:spacing w:after="0"/>
        <w:rPr>
          <w:rFonts w:ascii="Verdana" w:hAnsi="Verdana"/>
          <w:sz w:val="18"/>
          <w:szCs w:val="18"/>
        </w:rPr>
      </w:pPr>
      <w:r>
        <w:rPr>
          <w:rFonts w:ascii="Verdana" w:hAnsi="Verdana"/>
          <w:sz w:val="18"/>
          <w:szCs w:val="18"/>
        </w:rPr>
        <w:t>Het Voorzitter</w:t>
      </w:r>
      <w:r w:rsidR="007A61AC">
        <w:rPr>
          <w:rFonts w:ascii="Verdana" w:hAnsi="Verdana"/>
          <w:sz w:val="18"/>
          <w:szCs w:val="18"/>
        </w:rPr>
        <w:t xml:space="preserve">schap </w:t>
      </w:r>
      <w:r>
        <w:rPr>
          <w:rFonts w:ascii="Verdana" w:hAnsi="Verdana"/>
          <w:sz w:val="18"/>
          <w:szCs w:val="18"/>
        </w:rPr>
        <w:t xml:space="preserve">concludeerde dat de JBZ-Raad een </w:t>
      </w:r>
      <w:r w:rsidRPr="00C427C9">
        <w:rPr>
          <w:rFonts w:ascii="Verdana" w:hAnsi="Verdana"/>
          <w:sz w:val="18"/>
          <w:szCs w:val="18"/>
        </w:rPr>
        <w:t>voorkeur uit</w:t>
      </w:r>
      <w:r>
        <w:rPr>
          <w:rFonts w:ascii="Verdana" w:hAnsi="Verdana"/>
          <w:sz w:val="18"/>
          <w:szCs w:val="18"/>
        </w:rPr>
        <w:t>sprak</w:t>
      </w:r>
      <w:r w:rsidRPr="00C427C9">
        <w:rPr>
          <w:rFonts w:ascii="Verdana" w:hAnsi="Verdana"/>
          <w:sz w:val="18"/>
          <w:szCs w:val="18"/>
        </w:rPr>
        <w:t xml:space="preserve"> voor een pre-pack regeling op hoofdlijnen en </w:t>
      </w:r>
      <w:r>
        <w:rPr>
          <w:rFonts w:ascii="Verdana" w:hAnsi="Verdana"/>
          <w:sz w:val="18"/>
          <w:szCs w:val="18"/>
        </w:rPr>
        <w:t xml:space="preserve">dat dit gesprek </w:t>
      </w:r>
      <w:r w:rsidRPr="00C427C9">
        <w:rPr>
          <w:rFonts w:ascii="Verdana" w:hAnsi="Verdana"/>
          <w:sz w:val="18"/>
          <w:szCs w:val="18"/>
        </w:rPr>
        <w:t xml:space="preserve">op technisch niveau </w:t>
      </w:r>
      <w:r>
        <w:rPr>
          <w:rFonts w:ascii="Verdana" w:hAnsi="Verdana"/>
          <w:sz w:val="18"/>
          <w:szCs w:val="18"/>
        </w:rPr>
        <w:t>wordt voorgezet</w:t>
      </w:r>
      <w:r w:rsidRPr="00C427C9">
        <w:rPr>
          <w:rFonts w:ascii="Verdana" w:hAnsi="Verdana"/>
          <w:sz w:val="18"/>
          <w:szCs w:val="18"/>
        </w:rPr>
        <w:t>.</w:t>
      </w:r>
      <w:r>
        <w:rPr>
          <w:rFonts w:ascii="Verdana" w:hAnsi="Verdana"/>
          <w:sz w:val="18"/>
          <w:szCs w:val="18"/>
        </w:rPr>
        <w:br/>
      </w:r>
    </w:p>
    <w:p w:rsidRPr="007F707C" w:rsidR="008B6FCB" w:rsidP="00D42F00" w:rsidRDefault="00701052" w14:paraId="519B4A8C" w14:textId="37EF09B4">
      <w:pPr>
        <w:pStyle w:val="Lijstalinea"/>
        <w:numPr>
          <w:ilvl w:val="3"/>
          <w:numId w:val="1"/>
        </w:numPr>
        <w:spacing w:after="0"/>
        <w:rPr>
          <w:rFonts w:ascii="Verdana" w:hAnsi="Verdana"/>
          <w:b/>
          <w:bCs/>
          <w:sz w:val="18"/>
          <w:szCs w:val="18"/>
        </w:rPr>
      </w:pPr>
      <w:bookmarkStart w:name="_Hlk190418127" w:id="5"/>
      <w:r>
        <w:rPr>
          <w:rFonts w:ascii="Verdana" w:hAnsi="Verdana"/>
          <w:b/>
          <w:bCs/>
          <w:sz w:val="18"/>
          <w:szCs w:val="18"/>
        </w:rPr>
        <w:t>De rechtsstaat als pijler voor democratie in Europa</w:t>
      </w:r>
    </w:p>
    <w:bookmarkEnd w:id="5"/>
    <w:p w:rsidR="008B6FCB" w:rsidP="00903DFE" w:rsidRDefault="008B6FCB" w14:paraId="171CAA37" w14:textId="77777777">
      <w:pPr>
        <w:spacing w:after="0"/>
        <w:rPr>
          <w:rFonts w:ascii="Verdana" w:hAnsi="Verdana"/>
          <w:sz w:val="18"/>
          <w:szCs w:val="18"/>
        </w:rPr>
      </w:pPr>
    </w:p>
    <w:p w:rsidR="0027147F" w:rsidP="00903DFE" w:rsidRDefault="00903DFE" w14:paraId="717F9FFC" w14:textId="0E79F7BF">
      <w:pPr>
        <w:spacing w:after="0"/>
        <w:rPr>
          <w:rFonts w:ascii="Verdana" w:hAnsi="Verdana"/>
          <w:sz w:val="18"/>
          <w:szCs w:val="18"/>
        </w:rPr>
      </w:pPr>
      <w:r w:rsidRPr="00903DFE">
        <w:rPr>
          <w:rFonts w:ascii="Verdana" w:hAnsi="Verdana"/>
          <w:sz w:val="18"/>
          <w:szCs w:val="18"/>
        </w:rPr>
        <w:t xml:space="preserve">Tijdens de besloten </w:t>
      </w:r>
      <w:r>
        <w:rPr>
          <w:rFonts w:ascii="Verdana" w:hAnsi="Verdana"/>
          <w:sz w:val="18"/>
          <w:szCs w:val="18"/>
        </w:rPr>
        <w:t>m</w:t>
      </w:r>
      <w:r w:rsidRPr="00903DFE">
        <w:rPr>
          <w:rFonts w:ascii="Verdana" w:hAnsi="Verdana"/>
          <w:sz w:val="18"/>
          <w:szCs w:val="18"/>
        </w:rPr>
        <w:t xml:space="preserve">inisterslunch werd gesproken over de uitdagingen </w:t>
      </w:r>
      <w:r w:rsidR="00473CE9">
        <w:rPr>
          <w:rFonts w:ascii="Verdana" w:hAnsi="Verdana"/>
          <w:sz w:val="18"/>
          <w:szCs w:val="18"/>
        </w:rPr>
        <w:t>voor</w:t>
      </w:r>
      <w:r w:rsidRPr="00903DFE">
        <w:rPr>
          <w:rFonts w:ascii="Verdana" w:hAnsi="Verdana"/>
          <w:sz w:val="18"/>
          <w:szCs w:val="18"/>
        </w:rPr>
        <w:t xml:space="preserve"> en versterking van de recht</w:t>
      </w:r>
      <w:r w:rsidR="00473CE9">
        <w:rPr>
          <w:rFonts w:ascii="Verdana" w:hAnsi="Verdana"/>
          <w:sz w:val="18"/>
          <w:szCs w:val="18"/>
        </w:rPr>
        <w:t>s</w:t>
      </w:r>
      <w:r w:rsidRPr="00903DFE">
        <w:rPr>
          <w:rFonts w:ascii="Verdana" w:hAnsi="Verdana"/>
          <w:sz w:val="18"/>
          <w:szCs w:val="18"/>
        </w:rPr>
        <w:t>staat</w:t>
      </w:r>
      <w:r w:rsidR="00473CE9">
        <w:rPr>
          <w:rFonts w:ascii="Verdana" w:hAnsi="Verdana"/>
          <w:sz w:val="18"/>
          <w:szCs w:val="18"/>
        </w:rPr>
        <w:t xml:space="preserve"> in</w:t>
      </w:r>
      <w:r w:rsidRPr="00903DFE">
        <w:rPr>
          <w:rFonts w:ascii="Verdana" w:hAnsi="Verdana"/>
          <w:sz w:val="18"/>
          <w:szCs w:val="18"/>
        </w:rPr>
        <w:t xml:space="preserve"> nationaal en Europees verband. </w:t>
      </w:r>
      <w:r w:rsidR="008C5C2E">
        <w:rPr>
          <w:rFonts w:ascii="Verdana" w:hAnsi="Verdana"/>
          <w:sz w:val="18"/>
          <w:szCs w:val="18"/>
        </w:rPr>
        <w:t xml:space="preserve">Lidstaten deelden nationale </w:t>
      </w:r>
      <w:r w:rsidRPr="00EF3120" w:rsidR="008C5C2E">
        <w:rPr>
          <w:rFonts w:ascii="Verdana" w:hAnsi="Verdana"/>
          <w:i/>
          <w:iCs/>
          <w:sz w:val="18"/>
          <w:szCs w:val="18"/>
        </w:rPr>
        <w:t>best practices</w:t>
      </w:r>
      <w:r w:rsidR="008C5C2E">
        <w:rPr>
          <w:rFonts w:ascii="Verdana" w:hAnsi="Verdana"/>
          <w:sz w:val="18"/>
          <w:szCs w:val="18"/>
        </w:rPr>
        <w:t xml:space="preserve"> om de </w:t>
      </w:r>
      <w:r w:rsidR="0027147F">
        <w:rPr>
          <w:rFonts w:ascii="Verdana" w:hAnsi="Verdana"/>
          <w:sz w:val="18"/>
          <w:szCs w:val="18"/>
        </w:rPr>
        <w:t xml:space="preserve">onafhankelijkheid van de </w:t>
      </w:r>
      <w:r w:rsidR="008C5C2E">
        <w:rPr>
          <w:rFonts w:ascii="Verdana" w:hAnsi="Verdana"/>
          <w:sz w:val="18"/>
          <w:szCs w:val="18"/>
        </w:rPr>
        <w:t xml:space="preserve">rechtspraak te </w:t>
      </w:r>
      <w:r w:rsidR="0027147F">
        <w:rPr>
          <w:rFonts w:ascii="Verdana" w:hAnsi="Verdana"/>
          <w:sz w:val="18"/>
          <w:szCs w:val="18"/>
        </w:rPr>
        <w:t>versterken</w:t>
      </w:r>
      <w:r w:rsidR="008C5C2E">
        <w:rPr>
          <w:rFonts w:ascii="Verdana" w:hAnsi="Verdana"/>
          <w:sz w:val="18"/>
          <w:szCs w:val="18"/>
        </w:rPr>
        <w:t xml:space="preserve">. </w:t>
      </w:r>
      <w:r w:rsidR="0027147F">
        <w:rPr>
          <w:rFonts w:ascii="Verdana" w:hAnsi="Verdana"/>
          <w:sz w:val="18"/>
          <w:szCs w:val="18"/>
        </w:rPr>
        <w:t xml:space="preserve">Nederland gaf aan </w:t>
      </w:r>
      <w:r w:rsidR="009935F9">
        <w:rPr>
          <w:rFonts w:ascii="Verdana" w:hAnsi="Verdana"/>
          <w:sz w:val="18"/>
          <w:szCs w:val="18"/>
        </w:rPr>
        <w:t xml:space="preserve">dat </w:t>
      </w:r>
      <w:r w:rsidR="0027147F">
        <w:rPr>
          <w:rFonts w:ascii="Verdana" w:hAnsi="Verdana"/>
          <w:sz w:val="18"/>
          <w:szCs w:val="18"/>
        </w:rPr>
        <w:t>e</w:t>
      </w:r>
      <w:r w:rsidRPr="0027147F" w:rsidR="0027147F">
        <w:rPr>
          <w:rFonts w:ascii="Verdana" w:hAnsi="Verdana"/>
          <w:sz w:val="18"/>
          <w:szCs w:val="18"/>
        </w:rPr>
        <w:t xml:space="preserve">en onafhankelijke rechterlijke macht een van de fundamentele beginselen </w:t>
      </w:r>
      <w:r w:rsidR="0027147F">
        <w:rPr>
          <w:rFonts w:ascii="Verdana" w:hAnsi="Verdana"/>
          <w:sz w:val="18"/>
          <w:szCs w:val="18"/>
        </w:rPr>
        <w:t xml:space="preserve">is </w:t>
      </w:r>
      <w:r w:rsidRPr="0027147F" w:rsidR="0027147F">
        <w:rPr>
          <w:rFonts w:ascii="Verdana" w:hAnsi="Verdana"/>
          <w:sz w:val="18"/>
          <w:szCs w:val="18"/>
        </w:rPr>
        <w:t xml:space="preserve">van onze democratische rechtsstaat. </w:t>
      </w:r>
      <w:r w:rsidR="0027147F">
        <w:rPr>
          <w:rFonts w:ascii="Verdana" w:hAnsi="Verdana"/>
          <w:sz w:val="18"/>
          <w:szCs w:val="18"/>
        </w:rPr>
        <w:t xml:space="preserve">Het is </w:t>
      </w:r>
      <w:r w:rsidRPr="0027147F" w:rsidR="0027147F">
        <w:rPr>
          <w:rFonts w:ascii="Verdana" w:hAnsi="Verdana"/>
          <w:sz w:val="18"/>
          <w:szCs w:val="18"/>
        </w:rPr>
        <w:t xml:space="preserve">belangrijk te blijven investeren in het vertrouwen dat de Nederlandse samenleving heeft in de onafhankelijkheid van de rechterlijke macht en te blijven onderzoeken of verbeteringen mogelijk en wenselijk zijn. </w:t>
      </w:r>
    </w:p>
    <w:p w:rsidR="0027147F" w:rsidP="00903DFE" w:rsidRDefault="0027147F" w14:paraId="7900351D" w14:textId="77777777">
      <w:pPr>
        <w:spacing w:after="0"/>
        <w:rPr>
          <w:rFonts w:ascii="Verdana" w:hAnsi="Verdana"/>
          <w:sz w:val="18"/>
          <w:szCs w:val="18"/>
        </w:rPr>
      </w:pPr>
    </w:p>
    <w:p w:rsidRPr="00903DFE" w:rsidR="00903DFE" w:rsidP="00903DFE" w:rsidRDefault="00903DFE" w14:paraId="0F911DE9" w14:textId="6165B547">
      <w:pPr>
        <w:spacing w:after="0"/>
        <w:rPr>
          <w:rFonts w:ascii="Verdana" w:hAnsi="Verdana"/>
          <w:sz w:val="18"/>
          <w:szCs w:val="18"/>
        </w:rPr>
      </w:pPr>
      <w:r w:rsidRPr="00242CB6">
        <w:rPr>
          <w:rFonts w:ascii="Verdana" w:hAnsi="Verdana"/>
          <w:sz w:val="18"/>
          <w:szCs w:val="18"/>
        </w:rPr>
        <w:t xml:space="preserve">Verschillende lidstaten benadrukten </w:t>
      </w:r>
      <w:r w:rsidRPr="00242CB6" w:rsidR="0027147F">
        <w:rPr>
          <w:rFonts w:ascii="Verdana" w:hAnsi="Verdana"/>
          <w:sz w:val="18"/>
          <w:szCs w:val="18"/>
        </w:rPr>
        <w:t xml:space="preserve">daarnaast </w:t>
      </w:r>
      <w:r w:rsidRPr="00242CB6">
        <w:rPr>
          <w:rFonts w:ascii="Verdana" w:hAnsi="Verdana"/>
          <w:sz w:val="18"/>
          <w:szCs w:val="18"/>
        </w:rPr>
        <w:t xml:space="preserve">het belang van de EU-rechtsstaatrapportage en wezen op het </w:t>
      </w:r>
      <w:r w:rsidRPr="00242CB6">
        <w:rPr>
          <w:rFonts w:ascii="Verdana" w:hAnsi="Verdana" w:cstheme="minorHAnsi"/>
          <w:sz w:val="18"/>
          <w:szCs w:val="18"/>
        </w:rPr>
        <w:t>belang van de rechtsstaatconditionaliteit in het kader van het MFK.</w:t>
      </w:r>
      <w:r w:rsidRPr="007F3C52" w:rsidR="0027147F">
        <w:rPr>
          <w:rFonts w:ascii="Verdana" w:hAnsi="Verdana" w:cstheme="minorHAnsi"/>
          <w:sz w:val="18"/>
          <w:szCs w:val="18"/>
        </w:rPr>
        <w:t xml:space="preserve"> </w:t>
      </w:r>
      <w:r w:rsidRPr="00242CB6" w:rsidR="0027147F">
        <w:rPr>
          <w:rFonts w:ascii="Verdana" w:hAnsi="Verdana" w:cstheme="minorHAnsi"/>
          <w:sz w:val="18"/>
          <w:szCs w:val="18"/>
        </w:rPr>
        <w:t xml:space="preserve">Wat betreft het EU-rechtsstaatinstrumentarium stelde Nederland dat alle bestaande instrumenten </w:t>
      </w:r>
      <w:r w:rsidRPr="00242CB6" w:rsidR="00D86737">
        <w:rPr>
          <w:rFonts w:ascii="Verdana" w:hAnsi="Verdana" w:cstheme="minorHAnsi"/>
          <w:sz w:val="18"/>
          <w:szCs w:val="18"/>
        </w:rPr>
        <w:t>zo volledig mogelijk</w:t>
      </w:r>
      <w:r w:rsidRPr="00242CB6" w:rsidR="0027147F">
        <w:rPr>
          <w:rFonts w:ascii="Verdana" w:hAnsi="Verdana" w:cstheme="minorHAnsi"/>
          <w:sz w:val="18"/>
          <w:szCs w:val="18"/>
        </w:rPr>
        <w:t xml:space="preserve"> moeten worden benut</w:t>
      </w:r>
      <w:r w:rsidRPr="00242CB6" w:rsidR="00ED3752">
        <w:rPr>
          <w:rFonts w:ascii="Verdana" w:hAnsi="Verdana" w:cstheme="minorHAnsi"/>
          <w:sz w:val="18"/>
          <w:szCs w:val="18"/>
        </w:rPr>
        <w:t xml:space="preserve"> en waar mogelijk versterkt. </w:t>
      </w:r>
      <w:r w:rsidRPr="007F3C52" w:rsidR="00ED3752">
        <w:rPr>
          <w:rFonts w:ascii="Verdana" w:hAnsi="Verdana" w:cstheme="minorHAnsi"/>
          <w:sz w:val="18"/>
          <w:szCs w:val="18"/>
        </w:rPr>
        <w:t>Zo is Nederland</w:t>
      </w:r>
      <w:r w:rsidRPr="007F3C52" w:rsidR="00242CB6">
        <w:rPr>
          <w:rFonts w:ascii="Verdana" w:hAnsi="Verdana" w:cstheme="minorHAnsi"/>
          <w:sz w:val="18"/>
          <w:szCs w:val="18"/>
        </w:rPr>
        <w:t xml:space="preserve"> </w:t>
      </w:r>
      <w:r w:rsidRPr="007F3C52" w:rsidR="00ED3752">
        <w:rPr>
          <w:rFonts w:ascii="Verdana" w:hAnsi="Verdana" w:cstheme="minorHAnsi"/>
          <w:sz w:val="18"/>
          <w:szCs w:val="18"/>
        </w:rPr>
        <w:t>voorstander van een koppeling tussen de ontvangst van EU-middelen en de</w:t>
      </w:r>
      <w:r w:rsidR="00473CE9">
        <w:rPr>
          <w:rFonts w:ascii="Verdana" w:hAnsi="Verdana" w:cstheme="minorHAnsi"/>
          <w:sz w:val="18"/>
          <w:szCs w:val="18"/>
        </w:rPr>
        <w:t xml:space="preserve"> mate waarin e</w:t>
      </w:r>
      <w:r w:rsidR="0041344E">
        <w:rPr>
          <w:rFonts w:ascii="Verdana" w:hAnsi="Verdana" w:cstheme="minorHAnsi"/>
          <w:sz w:val="18"/>
          <w:szCs w:val="18"/>
        </w:rPr>
        <w:t>e</w:t>
      </w:r>
      <w:r w:rsidR="00473CE9">
        <w:rPr>
          <w:rFonts w:ascii="Verdana" w:hAnsi="Verdana" w:cstheme="minorHAnsi"/>
          <w:sz w:val="18"/>
          <w:szCs w:val="18"/>
        </w:rPr>
        <w:t xml:space="preserve">n lidstaat </w:t>
      </w:r>
      <w:r w:rsidRPr="007F3C52" w:rsidR="00ED3752">
        <w:rPr>
          <w:rFonts w:ascii="Verdana" w:hAnsi="Verdana" w:cstheme="minorHAnsi"/>
          <w:sz w:val="18"/>
          <w:szCs w:val="18"/>
        </w:rPr>
        <w:t xml:space="preserve">de beginselen van de rechtsstaat </w:t>
      </w:r>
      <w:r w:rsidRPr="007F3C52" w:rsidR="00473CE9">
        <w:rPr>
          <w:rFonts w:ascii="Verdana" w:hAnsi="Verdana" w:cstheme="minorHAnsi"/>
          <w:sz w:val="18"/>
          <w:szCs w:val="18"/>
        </w:rPr>
        <w:t>eerbiedig</w:t>
      </w:r>
      <w:r w:rsidR="00473CE9">
        <w:rPr>
          <w:rFonts w:ascii="Verdana" w:hAnsi="Verdana" w:cstheme="minorHAnsi"/>
          <w:sz w:val="18"/>
          <w:szCs w:val="18"/>
        </w:rPr>
        <w:t>t</w:t>
      </w:r>
      <w:r w:rsidRPr="007F3C52" w:rsidR="00473CE9">
        <w:rPr>
          <w:rFonts w:ascii="Verdana" w:hAnsi="Verdana" w:cstheme="minorHAnsi"/>
          <w:sz w:val="18"/>
          <w:szCs w:val="18"/>
        </w:rPr>
        <w:t xml:space="preserve"> </w:t>
      </w:r>
      <w:r w:rsidRPr="007F3C52" w:rsidR="00ED3752">
        <w:rPr>
          <w:rFonts w:ascii="Verdana" w:hAnsi="Verdana" w:cstheme="minorHAnsi"/>
          <w:sz w:val="18"/>
          <w:szCs w:val="18"/>
        </w:rPr>
        <w:t xml:space="preserve">en </w:t>
      </w:r>
      <w:r w:rsidR="00473CE9">
        <w:rPr>
          <w:rFonts w:ascii="Verdana" w:hAnsi="Verdana" w:cstheme="minorHAnsi"/>
          <w:sz w:val="18"/>
          <w:szCs w:val="18"/>
        </w:rPr>
        <w:t>de</w:t>
      </w:r>
      <w:r w:rsidRPr="007F3C52" w:rsidR="00ED3752">
        <w:rPr>
          <w:rFonts w:ascii="Verdana" w:hAnsi="Verdana" w:cstheme="minorHAnsi"/>
          <w:sz w:val="18"/>
          <w:szCs w:val="18"/>
        </w:rPr>
        <w:t xml:space="preserve"> grondrechten uit het Handvest</w:t>
      </w:r>
      <w:r w:rsidR="00473CE9">
        <w:rPr>
          <w:rFonts w:ascii="Verdana" w:hAnsi="Verdana" w:cstheme="minorHAnsi"/>
          <w:sz w:val="18"/>
          <w:szCs w:val="18"/>
        </w:rPr>
        <w:t xml:space="preserve"> naleeft</w:t>
      </w:r>
      <w:r w:rsidRPr="007F3C52" w:rsidR="00ED3752">
        <w:rPr>
          <w:rFonts w:ascii="Verdana" w:hAnsi="Verdana"/>
          <w:sz w:val="18"/>
          <w:szCs w:val="18"/>
        </w:rPr>
        <w:t>.</w:t>
      </w:r>
      <w:r w:rsidRPr="00242CB6">
        <w:rPr>
          <w:rFonts w:ascii="Verdana" w:hAnsi="Verdana"/>
          <w:sz w:val="18"/>
          <w:szCs w:val="18"/>
        </w:rPr>
        <w:t xml:space="preserve"> Enkele lidstaten uitten </w:t>
      </w:r>
      <w:r w:rsidRPr="00242CB6" w:rsidR="0027147F">
        <w:rPr>
          <w:rFonts w:ascii="Verdana" w:hAnsi="Verdana"/>
          <w:sz w:val="18"/>
          <w:szCs w:val="18"/>
        </w:rPr>
        <w:t xml:space="preserve">verder </w:t>
      </w:r>
      <w:r w:rsidRPr="00242CB6">
        <w:rPr>
          <w:rFonts w:ascii="Verdana" w:hAnsi="Verdana"/>
          <w:sz w:val="18"/>
          <w:szCs w:val="18"/>
        </w:rPr>
        <w:t>zorgen over het gebruik van technologieën</w:t>
      </w:r>
      <w:r w:rsidR="00473CE9">
        <w:rPr>
          <w:rFonts w:ascii="Verdana" w:hAnsi="Verdana"/>
          <w:sz w:val="18"/>
          <w:szCs w:val="18"/>
        </w:rPr>
        <w:t xml:space="preserve"> onder Amerikaans eigenaarschap </w:t>
      </w:r>
      <w:r w:rsidRPr="00242CB6">
        <w:rPr>
          <w:rFonts w:ascii="Verdana" w:hAnsi="Verdana"/>
          <w:sz w:val="18"/>
          <w:szCs w:val="18"/>
        </w:rPr>
        <w:t>en mogelijke gevolgen daarvan voor de rechtsstaat</w:t>
      </w:r>
      <w:r w:rsidRPr="00903DFE">
        <w:rPr>
          <w:rFonts w:ascii="Verdana" w:hAnsi="Verdana"/>
          <w:sz w:val="18"/>
          <w:szCs w:val="18"/>
        </w:rPr>
        <w:t>.</w:t>
      </w:r>
    </w:p>
    <w:p w:rsidRPr="00903DFE" w:rsidR="00903DFE" w:rsidP="00903DFE" w:rsidRDefault="00903DFE" w14:paraId="40D35958" w14:textId="77777777">
      <w:pPr>
        <w:spacing w:after="0"/>
        <w:rPr>
          <w:rFonts w:ascii="Verdana" w:hAnsi="Verdana"/>
          <w:sz w:val="18"/>
          <w:szCs w:val="18"/>
        </w:rPr>
      </w:pPr>
    </w:p>
    <w:p w:rsidRPr="005A4190" w:rsidR="00421883" w:rsidP="005A4190" w:rsidRDefault="00701052" w14:paraId="110ACB36" w14:textId="56222687">
      <w:pPr>
        <w:pStyle w:val="Lijstalinea"/>
        <w:numPr>
          <w:ilvl w:val="3"/>
          <w:numId w:val="1"/>
        </w:numPr>
        <w:spacing w:after="0"/>
        <w:ind w:left="0" w:firstLine="0"/>
        <w:rPr>
          <w:rFonts w:ascii="Verdana" w:hAnsi="Verdana" w:eastAsia="Verdana" w:cs="Verdana"/>
          <w:sz w:val="18"/>
          <w:szCs w:val="18"/>
        </w:rPr>
      </w:pPr>
      <w:bookmarkStart w:name="_Hlk190417985" w:id="6"/>
      <w:r w:rsidRPr="005A4190">
        <w:rPr>
          <w:rFonts w:ascii="Verdana" w:hAnsi="Verdana"/>
          <w:b/>
          <w:bCs/>
          <w:sz w:val="18"/>
          <w:szCs w:val="18"/>
        </w:rPr>
        <w:t xml:space="preserve">Russische agressie tegen Oekraïne: strijd tegen straffeloosheid </w:t>
      </w:r>
      <w:bookmarkEnd w:id="6"/>
      <w:r w:rsidR="00113321">
        <w:br/>
      </w:r>
      <w:r w:rsidRPr="005A4190" w:rsidR="00A84DB8">
        <w:rPr>
          <w:rStyle w:val="Zwaar"/>
          <w:rFonts w:ascii="Verdana" w:hAnsi="Verdana"/>
          <w:b w:val="0"/>
          <w:bCs w:val="0"/>
          <w:color w:val="000000"/>
          <w:sz w:val="18"/>
          <w:szCs w:val="18"/>
        </w:rPr>
        <w:br/>
        <w:t>Het Voorzitterschap en de Commissie benadrukte</w:t>
      </w:r>
      <w:r w:rsidRPr="005A4190" w:rsidR="00903DFE">
        <w:rPr>
          <w:rStyle w:val="Zwaar"/>
          <w:rFonts w:ascii="Verdana" w:hAnsi="Verdana"/>
          <w:b w:val="0"/>
          <w:bCs w:val="0"/>
          <w:color w:val="000000"/>
          <w:sz w:val="18"/>
          <w:szCs w:val="18"/>
        </w:rPr>
        <w:t>n</w:t>
      </w:r>
      <w:r w:rsidRPr="005A4190" w:rsidR="00A84DB8">
        <w:rPr>
          <w:rStyle w:val="Zwaar"/>
          <w:rFonts w:ascii="Verdana" w:hAnsi="Verdana"/>
          <w:b w:val="0"/>
          <w:bCs w:val="0"/>
          <w:color w:val="000000"/>
          <w:sz w:val="18"/>
          <w:szCs w:val="18"/>
        </w:rPr>
        <w:t xml:space="preserve"> het</w:t>
      </w:r>
      <w:r w:rsidRPr="005A4190" w:rsidR="00A84DB8">
        <w:rPr>
          <w:rFonts w:ascii="Verdana" w:hAnsi="Verdana"/>
          <w:b/>
          <w:bCs/>
          <w:color w:val="000000"/>
          <w:sz w:val="18"/>
          <w:szCs w:val="18"/>
        </w:rPr>
        <w:t xml:space="preserve"> </w:t>
      </w:r>
      <w:r w:rsidRPr="005A4190" w:rsidR="00A84DB8">
        <w:rPr>
          <w:rFonts w:ascii="Verdana" w:hAnsi="Verdana"/>
          <w:color w:val="000000"/>
          <w:sz w:val="18"/>
          <w:szCs w:val="18"/>
        </w:rPr>
        <w:t xml:space="preserve">belang om </w:t>
      </w:r>
      <w:r w:rsidR="00C75FF7">
        <w:rPr>
          <w:rFonts w:ascii="Verdana" w:hAnsi="Verdana"/>
          <w:color w:val="000000"/>
          <w:sz w:val="18"/>
          <w:szCs w:val="18"/>
        </w:rPr>
        <w:t xml:space="preserve">de </w:t>
      </w:r>
      <w:r w:rsidRPr="005A4190" w:rsidR="00A84DB8">
        <w:rPr>
          <w:rFonts w:ascii="Verdana" w:hAnsi="Verdana"/>
          <w:color w:val="000000"/>
          <w:sz w:val="18"/>
          <w:szCs w:val="18"/>
        </w:rPr>
        <w:t xml:space="preserve">strijd tegen straffeloosheid voort te zetten en </w:t>
      </w:r>
      <w:r w:rsidRPr="005A4190" w:rsidR="00903DFE">
        <w:rPr>
          <w:rFonts w:ascii="Verdana" w:hAnsi="Verdana"/>
          <w:color w:val="000000"/>
          <w:sz w:val="18"/>
          <w:szCs w:val="18"/>
        </w:rPr>
        <w:t xml:space="preserve">riepen om </w:t>
      </w:r>
      <w:r w:rsidRPr="005A4190" w:rsidR="00A84DB8">
        <w:rPr>
          <w:rFonts w:ascii="Verdana" w:hAnsi="Verdana"/>
          <w:color w:val="000000"/>
          <w:sz w:val="18"/>
          <w:szCs w:val="18"/>
        </w:rPr>
        <w:t xml:space="preserve">voortgang voor de oprichting van de claim-commissie en agressie-tribunaal. </w:t>
      </w:r>
      <w:r w:rsidRPr="005A4190" w:rsidR="00A84DB8">
        <w:rPr>
          <w:rStyle w:val="Zwaar"/>
          <w:rFonts w:ascii="Verdana" w:hAnsi="Verdana"/>
          <w:b w:val="0"/>
          <w:bCs w:val="0"/>
          <w:color w:val="000000"/>
          <w:sz w:val="18"/>
          <w:szCs w:val="18"/>
        </w:rPr>
        <w:t>Eurojust vroeg de lidstaten om bewijs te blijven verzamelen en de daarvoor bestemde databank bij Eurojust</w:t>
      </w:r>
      <w:r w:rsidRPr="005A4190" w:rsidR="007A61AC">
        <w:rPr>
          <w:rStyle w:val="Zwaar"/>
          <w:rFonts w:ascii="Verdana" w:hAnsi="Verdana"/>
          <w:b w:val="0"/>
          <w:bCs w:val="0"/>
          <w:color w:val="000000"/>
          <w:sz w:val="18"/>
          <w:szCs w:val="18"/>
        </w:rPr>
        <w:t xml:space="preserve"> te vullen</w:t>
      </w:r>
      <w:r w:rsidRPr="005A4190" w:rsidR="00A84DB8">
        <w:rPr>
          <w:rStyle w:val="Zwaar"/>
          <w:rFonts w:ascii="Verdana" w:hAnsi="Verdana"/>
          <w:b w:val="0"/>
          <w:bCs w:val="0"/>
          <w:color w:val="000000"/>
          <w:sz w:val="18"/>
          <w:szCs w:val="18"/>
        </w:rPr>
        <w:t xml:space="preserve">. Ook vroeg Eurojust aandacht voor </w:t>
      </w:r>
      <w:r w:rsidRPr="005A4190" w:rsidR="00903DFE">
        <w:rPr>
          <w:rStyle w:val="Zwaar"/>
          <w:rFonts w:ascii="Verdana" w:hAnsi="Verdana"/>
          <w:b w:val="0"/>
          <w:bCs w:val="0"/>
          <w:color w:val="000000"/>
          <w:sz w:val="18"/>
          <w:szCs w:val="18"/>
        </w:rPr>
        <w:t>het verband</w:t>
      </w:r>
      <w:r w:rsidRPr="005A4190" w:rsidR="00A84DB8">
        <w:rPr>
          <w:rStyle w:val="Zwaar"/>
          <w:rFonts w:ascii="Verdana" w:hAnsi="Verdana"/>
          <w:b w:val="0"/>
          <w:bCs w:val="0"/>
          <w:color w:val="000000"/>
          <w:sz w:val="18"/>
          <w:szCs w:val="18"/>
        </w:rPr>
        <w:t xml:space="preserve"> tussen het werk van de ICPA (</w:t>
      </w:r>
      <w:r w:rsidRPr="005A4190" w:rsidR="00A84DB8">
        <w:rPr>
          <w:rStyle w:val="Zwaar"/>
          <w:rFonts w:ascii="Verdana" w:hAnsi="Verdana"/>
          <w:b w:val="0"/>
          <w:bCs w:val="0"/>
          <w:i/>
          <w:iCs/>
          <w:color w:val="000000"/>
          <w:sz w:val="18"/>
          <w:szCs w:val="18"/>
        </w:rPr>
        <w:t xml:space="preserve">Internationaal Centre for the </w:t>
      </w:r>
      <w:r w:rsidRPr="005A4190" w:rsidR="007A61AC">
        <w:rPr>
          <w:rStyle w:val="Zwaar"/>
          <w:rFonts w:ascii="Verdana" w:hAnsi="Verdana"/>
          <w:b w:val="0"/>
          <w:bCs w:val="0"/>
          <w:i/>
          <w:iCs/>
          <w:color w:val="000000"/>
          <w:sz w:val="18"/>
          <w:szCs w:val="18"/>
        </w:rPr>
        <w:t>P</w:t>
      </w:r>
      <w:r w:rsidRPr="005A4190" w:rsidR="00A84DB8">
        <w:rPr>
          <w:rStyle w:val="Zwaar"/>
          <w:rFonts w:ascii="Verdana" w:hAnsi="Verdana"/>
          <w:b w:val="0"/>
          <w:bCs w:val="0"/>
          <w:i/>
          <w:iCs/>
          <w:color w:val="000000"/>
          <w:sz w:val="18"/>
          <w:szCs w:val="18"/>
        </w:rPr>
        <w:t xml:space="preserve">rosecution of the </w:t>
      </w:r>
      <w:r w:rsidRPr="005A4190" w:rsidR="007A61AC">
        <w:rPr>
          <w:rStyle w:val="Zwaar"/>
          <w:rFonts w:ascii="Verdana" w:hAnsi="Verdana"/>
          <w:b w:val="0"/>
          <w:bCs w:val="0"/>
          <w:i/>
          <w:iCs/>
          <w:color w:val="000000"/>
          <w:sz w:val="18"/>
          <w:szCs w:val="18"/>
        </w:rPr>
        <w:t>C</w:t>
      </w:r>
      <w:r w:rsidRPr="005A4190" w:rsidR="00A84DB8">
        <w:rPr>
          <w:rStyle w:val="Zwaar"/>
          <w:rFonts w:ascii="Verdana" w:hAnsi="Verdana"/>
          <w:b w:val="0"/>
          <w:bCs w:val="0"/>
          <w:i/>
          <w:iCs/>
          <w:color w:val="000000"/>
          <w:sz w:val="18"/>
          <w:szCs w:val="18"/>
        </w:rPr>
        <w:t xml:space="preserve">rime of </w:t>
      </w:r>
      <w:r w:rsidRPr="005A4190" w:rsidR="007A61AC">
        <w:rPr>
          <w:rStyle w:val="Zwaar"/>
          <w:rFonts w:ascii="Verdana" w:hAnsi="Verdana"/>
          <w:b w:val="0"/>
          <w:bCs w:val="0"/>
          <w:i/>
          <w:iCs/>
          <w:color w:val="000000"/>
          <w:sz w:val="18"/>
          <w:szCs w:val="18"/>
        </w:rPr>
        <w:t>A</w:t>
      </w:r>
      <w:r w:rsidRPr="005A4190" w:rsidR="00A84DB8">
        <w:rPr>
          <w:rStyle w:val="Zwaar"/>
          <w:rFonts w:ascii="Verdana" w:hAnsi="Verdana"/>
          <w:b w:val="0"/>
          <w:bCs w:val="0"/>
          <w:i/>
          <w:iCs/>
          <w:color w:val="000000"/>
          <w:sz w:val="18"/>
          <w:szCs w:val="18"/>
        </w:rPr>
        <w:t>gression</w:t>
      </w:r>
      <w:r w:rsidRPr="005A4190" w:rsidR="00A84DB8">
        <w:rPr>
          <w:rStyle w:val="Zwaar"/>
          <w:rFonts w:ascii="Verdana" w:hAnsi="Verdana"/>
          <w:b w:val="0"/>
          <w:bCs w:val="0"/>
          <w:color w:val="000000"/>
          <w:sz w:val="18"/>
          <w:szCs w:val="18"/>
        </w:rPr>
        <w:t xml:space="preserve">) en het </w:t>
      </w:r>
      <w:r w:rsidRPr="005A4190" w:rsidR="007A61AC">
        <w:rPr>
          <w:rStyle w:val="Zwaar"/>
          <w:rFonts w:ascii="Verdana" w:hAnsi="Verdana"/>
          <w:b w:val="0"/>
          <w:bCs w:val="0"/>
          <w:color w:val="000000"/>
          <w:sz w:val="18"/>
          <w:szCs w:val="18"/>
        </w:rPr>
        <w:t>toekomstige</w:t>
      </w:r>
      <w:r w:rsidRPr="005A4190" w:rsidR="00A84DB8">
        <w:rPr>
          <w:rStyle w:val="Zwaar"/>
          <w:rFonts w:ascii="Verdana" w:hAnsi="Verdana"/>
          <w:b w:val="0"/>
          <w:bCs w:val="0"/>
          <w:color w:val="000000"/>
          <w:sz w:val="18"/>
          <w:szCs w:val="18"/>
        </w:rPr>
        <w:t xml:space="preserve"> agressietribunaal. Nederland </w:t>
      </w:r>
      <w:r w:rsidRPr="005A4190" w:rsidR="00E71205">
        <w:rPr>
          <w:rStyle w:val="Zwaar"/>
          <w:rFonts w:ascii="Verdana" w:hAnsi="Verdana"/>
          <w:b w:val="0"/>
          <w:bCs w:val="0"/>
          <w:color w:val="000000"/>
          <w:sz w:val="18"/>
          <w:szCs w:val="18"/>
        </w:rPr>
        <w:t>uitte zorgen</w:t>
      </w:r>
      <w:r w:rsidRPr="005A4190" w:rsidR="00A84DB8">
        <w:rPr>
          <w:rFonts w:ascii="Verdana" w:hAnsi="Verdana"/>
          <w:b/>
          <w:bCs/>
          <w:color w:val="000000"/>
          <w:sz w:val="18"/>
          <w:szCs w:val="18"/>
        </w:rPr>
        <w:t xml:space="preserve"> </w:t>
      </w:r>
      <w:r w:rsidRPr="005A4190" w:rsidR="00A84DB8">
        <w:rPr>
          <w:rFonts w:ascii="Verdana" w:hAnsi="Verdana"/>
          <w:color w:val="000000"/>
          <w:sz w:val="18"/>
          <w:szCs w:val="18"/>
        </w:rPr>
        <w:t xml:space="preserve">over de ontwikkelingen rond sancties </w:t>
      </w:r>
      <w:r w:rsidR="00473CE9">
        <w:rPr>
          <w:rFonts w:ascii="Verdana" w:hAnsi="Verdana"/>
          <w:color w:val="000000"/>
          <w:sz w:val="18"/>
          <w:szCs w:val="18"/>
        </w:rPr>
        <w:t>tegen</w:t>
      </w:r>
      <w:r w:rsidRPr="005A4190" w:rsidR="00473CE9">
        <w:rPr>
          <w:rFonts w:ascii="Verdana" w:hAnsi="Verdana"/>
          <w:color w:val="000000"/>
          <w:sz w:val="18"/>
          <w:szCs w:val="18"/>
        </w:rPr>
        <w:t xml:space="preserve"> </w:t>
      </w:r>
      <w:r w:rsidRPr="005A4190" w:rsidR="00A84DB8">
        <w:rPr>
          <w:rFonts w:ascii="Verdana" w:hAnsi="Verdana"/>
          <w:color w:val="000000"/>
          <w:sz w:val="18"/>
          <w:szCs w:val="18"/>
        </w:rPr>
        <w:t xml:space="preserve">het Internationaal Strafhof en </w:t>
      </w:r>
      <w:r w:rsidRPr="005A4190" w:rsidR="00E71205">
        <w:rPr>
          <w:rFonts w:ascii="Verdana" w:hAnsi="Verdana"/>
          <w:color w:val="000000"/>
          <w:sz w:val="18"/>
          <w:szCs w:val="18"/>
        </w:rPr>
        <w:t xml:space="preserve">sprak </w:t>
      </w:r>
      <w:r w:rsidRPr="005A4190" w:rsidR="00A84DB8">
        <w:rPr>
          <w:rFonts w:ascii="Verdana" w:hAnsi="Verdana"/>
          <w:color w:val="000000"/>
          <w:sz w:val="18"/>
          <w:szCs w:val="18"/>
        </w:rPr>
        <w:t>de w</w:t>
      </w:r>
      <w:r w:rsidRPr="005A4190" w:rsidR="007A61AC">
        <w:rPr>
          <w:rFonts w:ascii="Verdana" w:hAnsi="Verdana"/>
          <w:color w:val="000000"/>
          <w:sz w:val="18"/>
          <w:szCs w:val="18"/>
        </w:rPr>
        <w:t>e</w:t>
      </w:r>
      <w:r w:rsidRPr="005A4190" w:rsidR="00A84DB8">
        <w:rPr>
          <w:rFonts w:ascii="Verdana" w:hAnsi="Verdana"/>
          <w:color w:val="000000"/>
          <w:sz w:val="18"/>
          <w:szCs w:val="18"/>
        </w:rPr>
        <w:t>n</w:t>
      </w:r>
      <w:r w:rsidRPr="005A4190" w:rsidR="007A61AC">
        <w:rPr>
          <w:rFonts w:ascii="Verdana" w:hAnsi="Verdana"/>
          <w:color w:val="000000"/>
          <w:sz w:val="18"/>
          <w:szCs w:val="18"/>
        </w:rPr>
        <w:t>s</w:t>
      </w:r>
      <w:r w:rsidRPr="005A4190" w:rsidR="00A84DB8">
        <w:rPr>
          <w:rFonts w:ascii="Verdana" w:hAnsi="Verdana"/>
          <w:color w:val="000000"/>
          <w:sz w:val="18"/>
          <w:szCs w:val="18"/>
        </w:rPr>
        <w:t xml:space="preserve"> </w:t>
      </w:r>
      <w:r w:rsidRPr="005A4190" w:rsidR="007A61AC">
        <w:rPr>
          <w:rFonts w:ascii="Verdana" w:hAnsi="Verdana"/>
          <w:color w:val="000000"/>
          <w:sz w:val="18"/>
          <w:szCs w:val="18"/>
        </w:rPr>
        <w:t xml:space="preserve">uit </w:t>
      </w:r>
      <w:r w:rsidRPr="005A4190" w:rsidR="00A84DB8">
        <w:rPr>
          <w:rFonts w:ascii="Verdana" w:hAnsi="Verdana"/>
          <w:color w:val="000000"/>
          <w:sz w:val="18"/>
          <w:szCs w:val="18"/>
        </w:rPr>
        <w:t xml:space="preserve">om samen met lidstaten te bekijken hoe het </w:t>
      </w:r>
      <w:r w:rsidRPr="005A4190" w:rsidR="00E71205">
        <w:rPr>
          <w:rFonts w:ascii="Verdana" w:hAnsi="Verdana"/>
          <w:color w:val="000000"/>
          <w:sz w:val="18"/>
          <w:szCs w:val="18"/>
        </w:rPr>
        <w:t xml:space="preserve">Internationaal </w:t>
      </w:r>
      <w:r w:rsidRPr="005A4190" w:rsidR="00A84DB8">
        <w:rPr>
          <w:rFonts w:ascii="Verdana" w:hAnsi="Verdana"/>
          <w:color w:val="000000"/>
          <w:sz w:val="18"/>
          <w:szCs w:val="18"/>
        </w:rPr>
        <w:t xml:space="preserve">Strafhof gesteund </w:t>
      </w:r>
      <w:r w:rsidR="00473CE9">
        <w:rPr>
          <w:rFonts w:ascii="Verdana" w:hAnsi="Verdana"/>
          <w:color w:val="000000"/>
          <w:sz w:val="18"/>
          <w:szCs w:val="18"/>
        </w:rPr>
        <w:t>blijft</w:t>
      </w:r>
      <w:r w:rsidRPr="005A4190" w:rsidR="00A84DB8">
        <w:rPr>
          <w:rFonts w:ascii="Verdana" w:hAnsi="Verdana"/>
          <w:color w:val="000000"/>
          <w:sz w:val="18"/>
          <w:szCs w:val="18"/>
        </w:rPr>
        <w:t>. Een aantal lidstaten spraken h</w:t>
      </w:r>
      <w:r w:rsidRPr="005A4190" w:rsidR="007A61AC">
        <w:rPr>
          <w:rFonts w:ascii="Verdana" w:hAnsi="Verdana"/>
          <w:color w:val="000000"/>
          <w:sz w:val="18"/>
          <w:szCs w:val="18"/>
        </w:rPr>
        <w:t>ier</w:t>
      </w:r>
      <w:r w:rsidRPr="005A4190" w:rsidR="00E71205">
        <w:rPr>
          <w:rFonts w:ascii="Verdana" w:hAnsi="Verdana"/>
          <w:color w:val="000000"/>
          <w:sz w:val="18"/>
          <w:szCs w:val="18"/>
        </w:rPr>
        <w:t>voor</w:t>
      </w:r>
      <w:r w:rsidRPr="005A4190" w:rsidR="007A61AC">
        <w:rPr>
          <w:rFonts w:ascii="Verdana" w:hAnsi="Verdana"/>
          <w:color w:val="000000"/>
          <w:sz w:val="18"/>
          <w:szCs w:val="18"/>
        </w:rPr>
        <w:t xml:space="preserve"> uitdrukkelijke steun uit. </w:t>
      </w:r>
    </w:p>
    <w:p w:rsidRPr="000A6F51" w:rsidR="009F20E5" w:rsidP="00D42F00" w:rsidRDefault="009F20E5" w14:paraId="7ABFECFE" w14:textId="5D76C14E">
      <w:pPr>
        <w:spacing w:after="0"/>
        <w:rPr>
          <w:rFonts w:ascii="Verdana" w:hAnsi="Verdana" w:eastAsia="Verdana" w:cs="Verdana"/>
          <w:sz w:val="18"/>
          <w:szCs w:val="18"/>
        </w:rPr>
      </w:pPr>
    </w:p>
    <w:p w:rsidRPr="005A4190" w:rsidR="00835384" w:rsidP="00347CB1" w:rsidRDefault="1CC05FC3" w14:paraId="3A4D413D" w14:textId="7B2ECDB2">
      <w:pPr>
        <w:pStyle w:val="Lijstalinea"/>
        <w:numPr>
          <w:ilvl w:val="3"/>
          <w:numId w:val="1"/>
        </w:numPr>
        <w:spacing w:after="0"/>
        <w:rPr>
          <w:rFonts w:ascii="Verdana" w:hAnsi="Verdana"/>
          <w:sz w:val="18"/>
          <w:szCs w:val="18"/>
        </w:rPr>
      </w:pPr>
      <w:r w:rsidRPr="005A4190">
        <w:rPr>
          <w:rFonts w:ascii="Verdana" w:hAnsi="Verdana"/>
          <w:b/>
          <w:bCs/>
          <w:sz w:val="18"/>
          <w:szCs w:val="18"/>
        </w:rPr>
        <w:t>Conclusies over de toepassing van het EU-Grondrechtenhandvest: financiering ter bevordering bescherming en handhaving van grondrechten</w:t>
      </w:r>
    </w:p>
    <w:p w:rsidRPr="00E4752E" w:rsidR="0028026B" w:rsidP="00E4752E" w:rsidRDefault="007A61AC" w14:paraId="35CC75B8" w14:textId="23721C1C">
      <w:pPr>
        <w:rPr>
          <w:rFonts w:ascii="Verdana" w:hAnsi="Verdana"/>
          <w:sz w:val="18"/>
          <w:szCs w:val="18"/>
        </w:rPr>
      </w:pPr>
      <w:r>
        <w:rPr>
          <w:rFonts w:ascii="Verdana" w:hAnsi="Verdana"/>
          <w:sz w:val="18"/>
          <w:szCs w:val="18"/>
        </w:rPr>
        <w:br/>
      </w:r>
      <w:r w:rsidRPr="007A61AC">
        <w:rPr>
          <w:rFonts w:ascii="Verdana" w:hAnsi="Verdana"/>
          <w:sz w:val="18"/>
          <w:szCs w:val="18"/>
        </w:rPr>
        <w:t>De Commissie, het Voorzitterschap en een grote meerderheid van lidstaten spraken hun steun uit voor de Raadsconclusies financiering maatschappelijk middenveld. De Raad</w:t>
      </w:r>
      <w:r w:rsidR="00473CE9">
        <w:rPr>
          <w:rFonts w:ascii="Verdana" w:hAnsi="Verdana"/>
          <w:sz w:val="18"/>
          <w:szCs w:val="18"/>
        </w:rPr>
        <w:t>s</w:t>
      </w:r>
      <w:r w:rsidRPr="007A61AC">
        <w:rPr>
          <w:rFonts w:ascii="Verdana" w:hAnsi="Verdana"/>
          <w:sz w:val="18"/>
          <w:szCs w:val="18"/>
        </w:rPr>
        <w:t xml:space="preserve">conclusies werden aangenomen.  </w:t>
      </w:r>
    </w:p>
    <w:p w:rsidRPr="003760AB" w:rsidR="00023015" w:rsidP="00D42F00" w:rsidRDefault="00023015" w14:paraId="156BDFE0" w14:textId="77777777">
      <w:pPr>
        <w:pStyle w:val="Lijstalinea"/>
        <w:numPr>
          <w:ilvl w:val="3"/>
          <w:numId w:val="1"/>
        </w:numPr>
        <w:spacing w:after="0"/>
        <w:rPr>
          <w:rFonts w:ascii="Verdana" w:hAnsi="Verdana"/>
          <w:b/>
          <w:bCs/>
          <w:sz w:val="18"/>
          <w:szCs w:val="18"/>
        </w:rPr>
      </w:pPr>
      <w:r w:rsidRPr="003760AB">
        <w:rPr>
          <w:rFonts w:ascii="Verdana" w:hAnsi="Verdana"/>
          <w:b/>
          <w:bCs/>
          <w:sz w:val="18"/>
          <w:szCs w:val="18"/>
        </w:rPr>
        <w:t>Overige onderwerpen</w:t>
      </w:r>
      <w:r>
        <w:br/>
      </w:r>
    </w:p>
    <w:p w:rsidRPr="005A4190" w:rsidR="008A4B4D" w:rsidP="008A4B4D" w:rsidRDefault="00E4752E" w14:paraId="737234A5" w14:textId="73356818">
      <w:pPr>
        <w:pStyle w:val="Lijstalinea"/>
        <w:numPr>
          <w:ilvl w:val="4"/>
          <w:numId w:val="1"/>
        </w:numPr>
        <w:spacing w:after="0"/>
        <w:rPr>
          <w:rFonts w:ascii="Verdana" w:hAnsi="Verdana"/>
          <w:b/>
          <w:bCs/>
          <w:sz w:val="18"/>
          <w:szCs w:val="18"/>
        </w:rPr>
      </w:pPr>
      <w:r>
        <w:rPr>
          <w:rFonts w:ascii="Verdana" w:hAnsi="Verdana"/>
          <w:b/>
          <w:bCs/>
          <w:sz w:val="18"/>
          <w:szCs w:val="18"/>
        </w:rPr>
        <w:t>VN</w:t>
      </w:r>
      <w:r w:rsidR="00473CE9">
        <w:rPr>
          <w:rFonts w:ascii="Verdana" w:hAnsi="Verdana"/>
          <w:b/>
          <w:bCs/>
          <w:sz w:val="18"/>
          <w:szCs w:val="18"/>
        </w:rPr>
        <w:t>-</w:t>
      </w:r>
      <w:r>
        <w:rPr>
          <w:rFonts w:ascii="Verdana" w:hAnsi="Verdana"/>
          <w:b/>
          <w:bCs/>
          <w:sz w:val="18"/>
          <w:szCs w:val="18"/>
        </w:rPr>
        <w:t>conventie tegen cybercrime</w:t>
      </w:r>
    </w:p>
    <w:p w:rsidRPr="007F3C52" w:rsidR="008A4B4D" w:rsidP="007F3C52" w:rsidRDefault="008A4B4D" w14:paraId="51CF72AF" w14:textId="7384EF47">
      <w:pPr>
        <w:spacing w:after="0"/>
        <w:rPr>
          <w:rFonts w:ascii="Verdana" w:hAnsi="Verdana"/>
          <w:sz w:val="18"/>
          <w:szCs w:val="18"/>
        </w:rPr>
      </w:pPr>
      <w:r>
        <w:rPr>
          <w:rFonts w:ascii="Verdana" w:hAnsi="Verdana"/>
          <w:sz w:val="18"/>
          <w:szCs w:val="18"/>
        </w:rPr>
        <w:t xml:space="preserve">Het Voorzitterschap </w:t>
      </w:r>
      <w:r w:rsidR="00770F29">
        <w:rPr>
          <w:rFonts w:ascii="Verdana" w:hAnsi="Verdana"/>
          <w:sz w:val="18"/>
          <w:szCs w:val="18"/>
        </w:rPr>
        <w:t>vertelde over</w:t>
      </w:r>
      <w:r>
        <w:rPr>
          <w:rFonts w:ascii="Verdana" w:hAnsi="Verdana"/>
          <w:sz w:val="18"/>
          <w:szCs w:val="18"/>
        </w:rPr>
        <w:t xml:space="preserve"> aanname van het verdrag inzake cybercriminaliteit in december 2024. Zowel het Voorzitterschap als de Commissie gaven aan tevreden te zijn over de tekst van het verdrag. De Commissie gaf aan te werken aan een ontwerpraadsbesluit ten behoeve van de ratificatie.</w:t>
      </w:r>
    </w:p>
    <w:p w:rsidR="00023015" w:rsidP="00D42F00" w:rsidRDefault="00023015" w14:paraId="5D7AC3ED" w14:textId="77777777">
      <w:pPr>
        <w:pStyle w:val="Lijstalinea"/>
        <w:spacing w:after="0"/>
        <w:ind w:left="786"/>
        <w:rPr>
          <w:rFonts w:ascii="Verdana" w:hAnsi="Verdana"/>
          <w:sz w:val="18"/>
          <w:szCs w:val="18"/>
        </w:rPr>
      </w:pPr>
    </w:p>
    <w:p w:rsidRPr="00AA3430" w:rsidR="00023015" w:rsidP="00D42F00" w:rsidRDefault="00AA3430" w14:paraId="49BB44F9" w14:textId="4E7B1317">
      <w:pPr>
        <w:pStyle w:val="Lijstalinea"/>
        <w:numPr>
          <w:ilvl w:val="4"/>
          <w:numId w:val="1"/>
        </w:numPr>
        <w:spacing w:after="0"/>
        <w:rPr>
          <w:rFonts w:ascii="Verdana" w:hAnsi="Verdana"/>
          <w:b/>
          <w:bCs/>
          <w:sz w:val="18"/>
          <w:szCs w:val="18"/>
          <w:lang w:val="de-DE"/>
        </w:rPr>
      </w:pPr>
      <w:r w:rsidRPr="007F707C">
        <w:rPr>
          <w:rFonts w:ascii="Verdana" w:hAnsi="Verdana"/>
          <w:b/>
          <w:bCs/>
          <w:sz w:val="18"/>
          <w:szCs w:val="18"/>
          <w:lang w:val="de-DE"/>
        </w:rPr>
        <w:t>EU-VS onderhandelingen inzake e-e</w:t>
      </w:r>
      <w:r>
        <w:rPr>
          <w:rFonts w:ascii="Verdana" w:hAnsi="Verdana"/>
          <w:b/>
          <w:bCs/>
          <w:sz w:val="18"/>
          <w:szCs w:val="18"/>
          <w:lang w:val="de-DE"/>
        </w:rPr>
        <w:t>vidence</w:t>
      </w:r>
    </w:p>
    <w:p w:rsidRPr="00153AAA" w:rsidR="00153AAA" w:rsidP="00153AAA" w:rsidRDefault="00153AAA" w14:paraId="4E46ED79" w14:textId="77777777">
      <w:pPr>
        <w:spacing w:after="0"/>
        <w:rPr>
          <w:rFonts w:ascii="Verdana" w:hAnsi="Verdana"/>
          <w:sz w:val="18"/>
          <w:szCs w:val="18"/>
        </w:rPr>
      </w:pPr>
      <w:r w:rsidRPr="00153AAA">
        <w:rPr>
          <w:rFonts w:ascii="Verdana" w:hAnsi="Verdana"/>
          <w:sz w:val="18"/>
          <w:szCs w:val="18"/>
        </w:rPr>
        <w:t xml:space="preserve">De Commissie informeerde over de stand van zaken van de onderhandelingen met de VS voor een EU-VS e-evidence overeenkomst. De laatste onderhandelingen vonden plaats in november. Op verzoek van de nieuwe Amerikaanse regering is de onderhandelingsronde die in maart gepland was opgeschort. De Commissie onderhoudt contact met de VS over een nieuwe datum.   </w:t>
      </w:r>
    </w:p>
    <w:p w:rsidRPr="007F3C52" w:rsidR="00D95CD0" w:rsidP="00866BD0" w:rsidRDefault="00D95CD0" w14:paraId="7120362D" w14:textId="609DCE07">
      <w:pPr>
        <w:spacing w:after="0"/>
        <w:rPr>
          <w:rFonts w:ascii="Verdana" w:hAnsi="Verdana"/>
          <w:sz w:val="18"/>
          <w:szCs w:val="18"/>
        </w:rPr>
      </w:pPr>
    </w:p>
    <w:p w:rsidRPr="005A4190" w:rsidR="00000C42" w:rsidP="005A4190" w:rsidRDefault="008123EB" w14:paraId="5936DEB1" w14:textId="62E763C5">
      <w:pPr>
        <w:pStyle w:val="Lijstalinea"/>
        <w:spacing w:after="0"/>
        <w:ind w:left="0" w:firstLine="426"/>
        <w:rPr>
          <w:highlight w:val="yellow"/>
        </w:rPr>
      </w:pPr>
      <w:r w:rsidRPr="00DC7517">
        <w:rPr>
          <w:rFonts w:ascii="Verdana" w:hAnsi="Verdana"/>
          <w:b/>
          <w:sz w:val="18"/>
          <w:szCs w:val="18"/>
        </w:rPr>
        <w:t>c</w:t>
      </w:r>
      <w:r w:rsidRPr="00DC7517" w:rsidR="00000C42">
        <w:rPr>
          <w:rFonts w:ascii="Verdana" w:hAnsi="Verdana"/>
          <w:b/>
          <w:sz w:val="18"/>
          <w:szCs w:val="18"/>
        </w:rPr>
        <w:t xml:space="preserve">. </w:t>
      </w:r>
      <w:bookmarkStart w:name="_Hlk190942101" w:id="7"/>
      <w:r w:rsidRPr="00DC7517" w:rsidR="00000C42">
        <w:rPr>
          <w:rFonts w:ascii="Verdana" w:hAnsi="Verdana"/>
          <w:b/>
          <w:sz w:val="18"/>
          <w:szCs w:val="18"/>
        </w:rPr>
        <w:t>Versterking justitiële samenwerking derde landen</w:t>
      </w:r>
      <w:r w:rsidR="000F5055">
        <w:rPr>
          <w:b/>
          <w:bCs/>
          <w:highlight w:val="yellow"/>
        </w:rPr>
        <w:br/>
      </w:r>
      <w:bookmarkEnd w:id="7"/>
      <w:r w:rsidRPr="008C3C93" w:rsidR="008C3C93">
        <w:rPr>
          <w:rFonts w:ascii="Verdana" w:hAnsi="Verdana" w:eastAsia="Verdana" w:cs="Verdana"/>
          <w:sz w:val="18"/>
          <w:szCs w:val="18"/>
        </w:rPr>
        <w:t>Het Voorzitterschap lichtte toe</w:t>
      </w:r>
      <w:r w:rsidR="008C3C93">
        <w:rPr>
          <w:rFonts w:ascii="Verdana" w:hAnsi="Verdana" w:eastAsia="Verdana" w:cs="Verdana"/>
          <w:sz w:val="18"/>
          <w:szCs w:val="18"/>
        </w:rPr>
        <w:t xml:space="preserve"> dat,</w:t>
      </w:r>
      <w:r w:rsidRPr="008C3C93" w:rsidR="008C3C93">
        <w:rPr>
          <w:rFonts w:ascii="Verdana" w:hAnsi="Verdana" w:eastAsia="Verdana" w:cs="Verdana"/>
          <w:sz w:val="18"/>
          <w:szCs w:val="18"/>
        </w:rPr>
        <w:t xml:space="preserve"> </w:t>
      </w:r>
      <w:r w:rsidR="008C3C93">
        <w:rPr>
          <w:rFonts w:ascii="Verdana" w:hAnsi="Verdana" w:eastAsia="Verdana" w:cs="Verdana"/>
          <w:sz w:val="18"/>
          <w:szCs w:val="18"/>
        </w:rPr>
        <w:t>op basis van de</w:t>
      </w:r>
      <w:r w:rsidRPr="008C3C93" w:rsidR="008C3C93">
        <w:rPr>
          <w:rFonts w:ascii="Verdana" w:hAnsi="Verdana" w:eastAsia="Verdana" w:cs="Verdana"/>
          <w:sz w:val="18"/>
          <w:szCs w:val="18"/>
        </w:rPr>
        <w:t xml:space="preserve"> Raadconclusies </w:t>
      </w:r>
      <w:r w:rsidR="008C3C93">
        <w:rPr>
          <w:rFonts w:ascii="Verdana" w:hAnsi="Verdana" w:eastAsia="Verdana" w:cs="Verdana"/>
          <w:sz w:val="18"/>
          <w:szCs w:val="18"/>
        </w:rPr>
        <w:t>justitiële samenwerking derde landen di</w:t>
      </w:r>
      <w:r w:rsidRPr="008C3C93" w:rsidR="008C3C93">
        <w:rPr>
          <w:rFonts w:ascii="Verdana" w:hAnsi="Verdana" w:eastAsia="Verdana" w:cs="Verdana"/>
          <w:sz w:val="18"/>
          <w:szCs w:val="18"/>
        </w:rPr>
        <w:t>e vorig jaar zijn vastgesteld</w:t>
      </w:r>
      <w:r w:rsidR="008C3C93">
        <w:rPr>
          <w:rFonts w:ascii="Verdana" w:hAnsi="Verdana" w:eastAsia="Verdana" w:cs="Verdana"/>
          <w:sz w:val="18"/>
          <w:szCs w:val="18"/>
        </w:rPr>
        <w:t xml:space="preserve">, verschillende acties worden ondernomen. </w:t>
      </w:r>
      <w:r w:rsidRPr="008C3C93" w:rsidR="008C3C93">
        <w:rPr>
          <w:rFonts w:ascii="Verdana" w:hAnsi="Verdana" w:eastAsia="Verdana" w:cs="Verdana"/>
          <w:sz w:val="18"/>
          <w:szCs w:val="18"/>
        </w:rPr>
        <w:t xml:space="preserve">Daarbij benadrukte </w:t>
      </w:r>
      <w:r w:rsidR="008C3C93">
        <w:rPr>
          <w:rFonts w:ascii="Verdana" w:hAnsi="Verdana" w:eastAsia="Verdana" w:cs="Verdana"/>
          <w:sz w:val="18"/>
          <w:szCs w:val="18"/>
        </w:rPr>
        <w:t xml:space="preserve">het Voorzitterschap </w:t>
      </w:r>
      <w:r w:rsidRPr="008C3C93" w:rsidR="008C3C93">
        <w:rPr>
          <w:rFonts w:ascii="Verdana" w:hAnsi="Verdana" w:eastAsia="Verdana" w:cs="Verdana"/>
          <w:sz w:val="18"/>
          <w:szCs w:val="18"/>
        </w:rPr>
        <w:t xml:space="preserve">dat de bestrijding van georganiseerde criminaliteit prioriteit is en daarvoor een geïntegreerde </w:t>
      </w:r>
      <w:r w:rsidR="008C3C93">
        <w:rPr>
          <w:rFonts w:ascii="Verdana" w:hAnsi="Verdana" w:eastAsia="Verdana" w:cs="Verdana"/>
          <w:sz w:val="18"/>
          <w:szCs w:val="18"/>
        </w:rPr>
        <w:t>vorm</w:t>
      </w:r>
      <w:r w:rsidRPr="008C3C93" w:rsidR="008C3C93">
        <w:rPr>
          <w:rFonts w:ascii="Verdana" w:hAnsi="Verdana" w:eastAsia="Verdana" w:cs="Verdana"/>
          <w:sz w:val="18"/>
          <w:szCs w:val="18"/>
        </w:rPr>
        <w:t xml:space="preserve"> van samenwerking nodig is. Ook de Commissie be</w:t>
      </w:r>
      <w:r w:rsidR="008C3C93">
        <w:rPr>
          <w:rFonts w:ascii="Verdana" w:hAnsi="Verdana" w:eastAsia="Verdana" w:cs="Verdana"/>
          <w:sz w:val="18"/>
          <w:szCs w:val="18"/>
        </w:rPr>
        <w:t>noemde</w:t>
      </w:r>
      <w:r w:rsidRPr="008C3C93" w:rsidR="008C3C93">
        <w:rPr>
          <w:rFonts w:ascii="Verdana" w:hAnsi="Verdana" w:eastAsia="Verdana" w:cs="Verdana"/>
          <w:sz w:val="18"/>
          <w:szCs w:val="18"/>
        </w:rPr>
        <w:t xml:space="preserve"> </w:t>
      </w:r>
      <w:r w:rsidR="008C3C93">
        <w:rPr>
          <w:rFonts w:ascii="Verdana" w:hAnsi="Verdana" w:eastAsia="Verdana" w:cs="Verdana"/>
          <w:sz w:val="18"/>
          <w:szCs w:val="18"/>
        </w:rPr>
        <w:t>de</w:t>
      </w:r>
      <w:r w:rsidRPr="008C3C93" w:rsidR="008C3C93">
        <w:rPr>
          <w:rFonts w:ascii="Verdana" w:hAnsi="Verdana" w:eastAsia="Verdana" w:cs="Verdana"/>
          <w:sz w:val="18"/>
          <w:szCs w:val="18"/>
        </w:rPr>
        <w:t xml:space="preserve"> samenwerking met derde landen als essentieel. De Commissie riep op om concrete problemen te identificeren en concrete oplossingen bedenken en met de steun van de lidstaten stappen te kunnen zetten.</w:t>
      </w:r>
      <w:r w:rsidR="008C3C93">
        <w:rPr>
          <w:rFonts w:ascii="Verdana" w:hAnsi="Verdana" w:eastAsia="Verdana" w:cs="Verdana"/>
          <w:sz w:val="18"/>
          <w:szCs w:val="18"/>
        </w:rPr>
        <w:t xml:space="preserve"> </w:t>
      </w:r>
    </w:p>
    <w:sectPr w:rsidRPr="005A4190" w:rsidR="00000C42" w:rsidSect="000441A1">
      <w:headerReference w:type="default" r:id="rId1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2E0B4" w14:textId="77777777" w:rsidR="000E1957" w:rsidRDefault="000E1957" w:rsidP="008B6FCB">
      <w:pPr>
        <w:spacing w:after="0" w:line="240" w:lineRule="auto"/>
      </w:pPr>
      <w:r>
        <w:separator/>
      </w:r>
    </w:p>
  </w:endnote>
  <w:endnote w:type="continuationSeparator" w:id="0">
    <w:p w14:paraId="5CDC94A1" w14:textId="77777777" w:rsidR="000E1957" w:rsidRDefault="000E1957" w:rsidP="008B6FCB">
      <w:pPr>
        <w:spacing w:after="0" w:line="240" w:lineRule="auto"/>
      </w:pPr>
      <w:r>
        <w:continuationSeparator/>
      </w:r>
    </w:p>
  </w:endnote>
  <w:endnote w:type="continuationNotice" w:id="1">
    <w:p w14:paraId="27655CA8" w14:textId="77777777" w:rsidR="000E1957" w:rsidRDefault="000E1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498743"/>
      <w:docPartObj>
        <w:docPartGallery w:val="Page Numbers (Bottom of Page)"/>
        <w:docPartUnique/>
      </w:docPartObj>
    </w:sdtPr>
    <w:sdtEndPr/>
    <w:sdtContent>
      <w:p w14:paraId="64F70CD8" w14:textId="6453416E" w:rsidR="0049054D" w:rsidRDefault="0049054D">
        <w:pPr>
          <w:pStyle w:val="Voettekst"/>
          <w:jc w:val="right"/>
        </w:pPr>
        <w:r>
          <w:fldChar w:fldCharType="begin"/>
        </w:r>
        <w:r>
          <w:instrText>PAGE   \* MERGEFORMAT</w:instrText>
        </w:r>
        <w:r>
          <w:fldChar w:fldCharType="separate"/>
        </w:r>
        <w:r w:rsidR="00DA4C87">
          <w:rPr>
            <w:noProof/>
          </w:rPr>
          <w:t>1</w:t>
        </w:r>
        <w:r>
          <w:fldChar w:fldCharType="end"/>
        </w:r>
      </w:p>
    </w:sdtContent>
  </w:sdt>
  <w:p w14:paraId="74B49581" w14:textId="77777777" w:rsidR="0049054D" w:rsidRDefault="004905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2B898" w14:textId="77777777" w:rsidR="000E1957" w:rsidRDefault="000E1957" w:rsidP="008B6FCB">
      <w:pPr>
        <w:spacing w:after="0" w:line="240" w:lineRule="auto"/>
      </w:pPr>
      <w:r>
        <w:separator/>
      </w:r>
    </w:p>
  </w:footnote>
  <w:footnote w:type="continuationSeparator" w:id="0">
    <w:p w14:paraId="16AB3BFB" w14:textId="77777777" w:rsidR="000E1957" w:rsidRDefault="000E1957" w:rsidP="008B6FCB">
      <w:pPr>
        <w:spacing w:after="0" w:line="240" w:lineRule="auto"/>
      </w:pPr>
      <w:r>
        <w:continuationSeparator/>
      </w:r>
    </w:p>
  </w:footnote>
  <w:footnote w:type="continuationNotice" w:id="1">
    <w:p w14:paraId="311F5EA0" w14:textId="77777777" w:rsidR="000E1957" w:rsidRDefault="000E1957">
      <w:pPr>
        <w:spacing w:after="0" w:line="240" w:lineRule="auto"/>
      </w:pPr>
    </w:p>
  </w:footnote>
  <w:footnote w:id="2">
    <w:p w14:paraId="3776F045" w14:textId="27A82DB9" w:rsidR="000B57BF" w:rsidRPr="00783467" w:rsidRDefault="000B57BF" w:rsidP="000B57BF">
      <w:pPr>
        <w:pStyle w:val="Voetnoottekst"/>
      </w:pPr>
      <w:r w:rsidRPr="00783467">
        <w:rPr>
          <w:rFonts w:ascii="Verdana" w:hAnsi="Verdana"/>
          <w:sz w:val="18"/>
          <w:szCs w:val="18"/>
          <w:vertAlign w:val="superscript"/>
        </w:rPr>
        <w:footnoteRef/>
      </w:r>
      <w:r w:rsidRPr="00783467">
        <w:rPr>
          <w:rFonts w:ascii="Verdana" w:hAnsi="Verdana"/>
          <w:sz w:val="18"/>
          <w:szCs w:val="18"/>
        </w:rPr>
        <w:t xml:space="preserve"> </w:t>
      </w:r>
      <w:r w:rsidRPr="00E46758">
        <w:rPr>
          <w:rFonts w:ascii="Verdana" w:hAnsi="Verdana"/>
          <w:sz w:val="16"/>
          <w:szCs w:val="16"/>
        </w:rPr>
        <w:t xml:space="preserve">Kamerstukken </w:t>
      </w:r>
      <w:r w:rsidR="00E46758" w:rsidRPr="00E46758">
        <w:rPr>
          <w:rFonts w:ascii="Verdana" w:hAnsi="Verdana"/>
          <w:sz w:val="16"/>
          <w:szCs w:val="16"/>
        </w:rPr>
        <w:t xml:space="preserve">II, </w:t>
      </w:r>
      <w:r w:rsidRPr="00E46758">
        <w:rPr>
          <w:rFonts w:ascii="Verdana" w:hAnsi="Verdana"/>
          <w:sz w:val="16"/>
          <w:szCs w:val="16"/>
        </w:rPr>
        <w:t>2024 – 2025</w:t>
      </w:r>
      <w:r w:rsidR="00E46758" w:rsidRPr="00E46758">
        <w:rPr>
          <w:rFonts w:ascii="Verdana" w:hAnsi="Verdana"/>
          <w:sz w:val="16"/>
          <w:szCs w:val="16"/>
        </w:rPr>
        <w:t>,</w:t>
      </w:r>
      <w:r w:rsidRPr="00E46758">
        <w:rPr>
          <w:rFonts w:ascii="Verdana" w:hAnsi="Verdana"/>
          <w:sz w:val="16"/>
          <w:szCs w:val="16"/>
        </w:rPr>
        <w:t xml:space="preserve"> 21501 nr. 2179</w:t>
      </w:r>
      <w:r w:rsidR="00E46758">
        <w:rPr>
          <w:rFonts w:ascii="Verdana" w:hAnsi="Verdana"/>
          <w:sz w:val="18"/>
          <w:szCs w:val="18"/>
        </w:rPr>
        <w:t>.</w:t>
      </w:r>
    </w:p>
    <w:p w14:paraId="68EC6540" w14:textId="77777777" w:rsidR="000B57BF" w:rsidRDefault="000B57BF" w:rsidP="000B57BF">
      <w:pPr>
        <w:pStyle w:val="Voetnoottekst"/>
      </w:pPr>
    </w:p>
  </w:footnote>
  <w:footnote w:id="3">
    <w:p w14:paraId="2EB3D2DC" w14:textId="03F5C442" w:rsidR="00DB2042" w:rsidRPr="00DB2042" w:rsidRDefault="000B57BF" w:rsidP="00DB2042">
      <w:pPr>
        <w:pStyle w:val="Voetnoottekst"/>
        <w:rPr>
          <w:rFonts w:ascii="Verdana" w:hAnsi="Verdana"/>
          <w:sz w:val="16"/>
          <w:szCs w:val="16"/>
        </w:rPr>
      </w:pPr>
      <w:r>
        <w:rPr>
          <w:rStyle w:val="Voetnootmarkering"/>
        </w:rPr>
        <w:footnoteRef/>
      </w:r>
      <w:r>
        <w:t xml:space="preserve"> </w:t>
      </w:r>
      <w:r w:rsidR="00DB2042" w:rsidRPr="00E46758">
        <w:rPr>
          <w:rFonts w:ascii="Verdana" w:hAnsi="Verdana"/>
          <w:sz w:val="16"/>
          <w:szCs w:val="16"/>
        </w:rPr>
        <w:t>Kamerstukken II, 2024 – 2025,</w:t>
      </w:r>
      <w:r w:rsidR="00DB2042">
        <w:rPr>
          <w:rFonts w:ascii="Verdana" w:hAnsi="Verdana"/>
          <w:sz w:val="16"/>
          <w:szCs w:val="16"/>
        </w:rPr>
        <w:t xml:space="preserve"> </w:t>
      </w:r>
      <w:r w:rsidR="00DB2042" w:rsidRPr="00DB2042">
        <w:rPr>
          <w:rFonts w:ascii="Verdana" w:hAnsi="Verdana"/>
          <w:sz w:val="16"/>
          <w:szCs w:val="16"/>
        </w:rPr>
        <w:t>19637</w:t>
      </w:r>
      <w:r w:rsidR="00DB2042">
        <w:rPr>
          <w:rFonts w:ascii="Verdana" w:hAnsi="Verdana"/>
          <w:sz w:val="16"/>
          <w:szCs w:val="16"/>
        </w:rPr>
        <w:t xml:space="preserve"> nr. </w:t>
      </w:r>
      <w:r w:rsidR="00DB2042" w:rsidRPr="00DB2042">
        <w:rPr>
          <w:rFonts w:ascii="Verdana" w:hAnsi="Verdana"/>
          <w:sz w:val="16"/>
          <w:szCs w:val="16"/>
        </w:rPr>
        <w:t>3358</w:t>
      </w:r>
    </w:p>
    <w:p w14:paraId="4F976B48" w14:textId="43AD1F0F" w:rsidR="000B57BF" w:rsidRDefault="000B57BF" w:rsidP="000B57BF">
      <w:pPr>
        <w:pStyle w:val="Voetnoottekst"/>
      </w:pPr>
    </w:p>
  </w:footnote>
  <w:footnote w:id="4">
    <w:p w14:paraId="311C9957" w14:textId="77CA830D" w:rsidR="000B57BF" w:rsidRDefault="000B57BF" w:rsidP="000B57BF">
      <w:pPr>
        <w:pStyle w:val="Voetnoottekst"/>
      </w:pPr>
      <w:r>
        <w:rPr>
          <w:rStyle w:val="Voetnootmarkering"/>
        </w:rPr>
        <w:footnoteRef/>
      </w:r>
      <w:r>
        <w:t xml:space="preserve"> </w:t>
      </w:r>
      <w:r w:rsidR="00E46758" w:rsidRPr="00E46758">
        <w:rPr>
          <w:rFonts w:ascii="Verdana" w:hAnsi="Verdana"/>
          <w:sz w:val="16"/>
          <w:szCs w:val="16"/>
        </w:rPr>
        <w:t>Zie v</w:t>
      </w:r>
      <w:r w:rsidRPr="00E46758">
        <w:rPr>
          <w:rFonts w:ascii="Verdana" w:hAnsi="Verdana"/>
          <w:sz w:val="16"/>
          <w:szCs w:val="16"/>
        </w:rPr>
        <w:t>erslag JBZ-</w:t>
      </w:r>
      <w:r w:rsidR="00E46758" w:rsidRPr="00E46758">
        <w:rPr>
          <w:rFonts w:ascii="Verdana" w:hAnsi="Verdana"/>
          <w:sz w:val="16"/>
          <w:szCs w:val="16"/>
        </w:rPr>
        <w:t>R</w:t>
      </w:r>
      <w:r w:rsidRPr="00E46758">
        <w:rPr>
          <w:rFonts w:ascii="Verdana" w:hAnsi="Verdana"/>
          <w:sz w:val="16"/>
          <w:szCs w:val="16"/>
        </w:rPr>
        <w:t xml:space="preserve">aad </w:t>
      </w:r>
      <w:r w:rsidR="00E46758" w:rsidRPr="00E46758">
        <w:rPr>
          <w:rFonts w:ascii="Verdana" w:hAnsi="Verdana"/>
          <w:sz w:val="16"/>
          <w:szCs w:val="16"/>
        </w:rPr>
        <w:t xml:space="preserve">van </w:t>
      </w:r>
      <w:r w:rsidRPr="00E46758">
        <w:rPr>
          <w:rFonts w:ascii="Verdana" w:hAnsi="Verdana"/>
          <w:sz w:val="16"/>
          <w:szCs w:val="16"/>
        </w:rPr>
        <w:t>3 en 4 juni 202</w:t>
      </w:r>
      <w:r w:rsidR="00BB78DD" w:rsidRPr="00E46758">
        <w:rPr>
          <w:rFonts w:ascii="Verdana" w:hAnsi="Verdana"/>
          <w:sz w:val="16"/>
          <w:szCs w:val="16"/>
        </w:rPr>
        <w:t>4</w:t>
      </w:r>
      <w:r w:rsidRPr="00E46758">
        <w:rPr>
          <w:rFonts w:ascii="Verdana" w:hAnsi="Verdana"/>
          <w:sz w:val="16"/>
          <w:szCs w:val="16"/>
        </w:rPr>
        <w:t xml:space="preserve">, </w:t>
      </w:r>
      <w:r w:rsidR="00E46758" w:rsidRPr="00E46758">
        <w:rPr>
          <w:rFonts w:ascii="Verdana" w:hAnsi="Verdana"/>
          <w:sz w:val="16"/>
          <w:szCs w:val="16"/>
        </w:rPr>
        <w:t>K</w:t>
      </w:r>
      <w:r w:rsidRPr="00E46758">
        <w:rPr>
          <w:rFonts w:ascii="Verdana" w:hAnsi="Verdana"/>
          <w:sz w:val="16"/>
          <w:szCs w:val="16"/>
        </w:rPr>
        <w:t>amerstukken</w:t>
      </w:r>
      <w:r w:rsidR="00E46758" w:rsidRPr="00E46758">
        <w:rPr>
          <w:rFonts w:ascii="Verdana" w:hAnsi="Verdana"/>
          <w:sz w:val="16"/>
          <w:szCs w:val="16"/>
        </w:rPr>
        <w:t xml:space="preserve"> II</w:t>
      </w:r>
      <w:r w:rsidRPr="00E46758">
        <w:rPr>
          <w:rFonts w:ascii="Verdana" w:hAnsi="Verdana"/>
          <w:sz w:val="16"/>
          <w:szCs w:val="16"/>
        </w:rPr>
        <w:t xml:space="preserve"> 2023</w:t>
      </w:r>
      <w:r w:rsidR="00E46758" w:rsidRPr="00E46758">
        <w:rPr>
          <w:rFonts w:ascii="Verdana" w:hAnsi="Verdana"/>
          <w:sz w:val="16"/>
          <w:szCs w:val="16"/>
        </w:rPr>
        <w:t>-</w:t>
      </w:r>
      <w:r w:rsidRPr="00E46758">
        <w:rPr>
          <w:rFonts w:ascii="Verdana" w:hAnsi="Verdana"/>
          <w:sz w:val="16"/>
          <w:szCs w:val="16"/>
        </w:rPr>
        <w:t>2024  32317, nr. 882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F7F45" w14:textId="77777777" w:rsidR="0049054D" w:rsidRDefault="00490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81AA2"/>
    <w:multiLevelType w:val="hybridMultilevel"/>
    <w:tmpl w:val="BBCAE35E"/>
    <w:lvl w:ilvl="0" w:tplc="87DEC17A">
      <w:start w:val="1"/>
      <w:numFmt w:val="lowerLetter"/>
      <w:lvlText w:val="%1."/>
      <w:lvlJc w:val="left"/>
      <w:pPr>
        <w:ind w:left="1440" w:hanging="360"/>
      </w:pPr>
      <w:rPr>
        <w:b/>
        <w:bCs/>
      </w:rPr>
    </w:lvl>
    <w:lvl w:ilvl="1" w:tplc="04130019" w:tentative="1">
      <w:start w:val="1"/>
      <w:numFmt w:val="lowerLetter"/>
      <w:lvlText w:val="%2."/>
      <w:lvlJc w:val="left"/>
      <w:pPr>
        <w:ind w:left="2236" w:hanging="360"/>
      </w:pPr>
    </w:lvl>
    <w:lvl w:ilvl="2" w:tplc="0413001B" w:tentative="1">
      <w:start w:val="1"/>
      <w:numFmt w:val="lowerRoman"/>
      <w:lvlText w:val="%3."/>
      <w:lvlJc w:val="right"/>
      <w:pPr>
        <w:ind w:left="2956" w:hanging="180"/>
      </w:pPr>
    </w:lvl>
    <w:lvl w:ilvl="3" w:tplc="0413000F" w:tentative="1">
      <w:start w:val="1"/>
      <w:numFmt w:val="decimal"/>
      <w:lvlText w:val="%4."/>
      <w:lvlJc w:val="left"/>
      <w:pPr>
        <w:ind w:left="3676" w:hanging="360"/>
      </w:pPr>
    </w:lvl>
    <w:lvl w:ilvl="4" w:tplc="04130019" w:tentative="1">
      <w:start w:val="1"/>
      <w:numFmt w:val="lowerLetter"/>
      <w:lvlText w:val="%5."/>
      <w:lvlJc w:val="left"/>
      <w:pPr>
        <w:ind w:left="4396" w:hanging="360"/>
      </w:pPr>
    </w:lvl>
    <w:lvl w:ilvl="5" w:tplc="0413001B" w:tentative="1">
      <w:start w:val="1"/>
      <w:numFmt w:val="lowerRoman"/>
      <w:lvlText w:val="%6."/>
      <w:lvlJc w:val="right"/>
      <w:pPr>
        <w:ind w:left="5116" w:hanging="180"/>
      </w:pPr>
    </w:lvl>
    <w:lvl w:ilvl="6" w:tplc="0413000F" w:tentative="1">
      <w:start w:val="1"/>
      <w:numFmt w:val="decimal"/>
      <w:lvlText w:val="%7."/>
      <w:lvlJc w:val="left"/>
      <w:pPr>
        <w:ind w:left="5836" w:hanging="360"/>
      </w:pPr>
    </w:lvl>
    <w:lvl w:ilvl="7" w:tplc="04130019" w:tentative="1">
      <w:start w:val="1"/>
      <w:numFmt w:val="lowerLetter"/>
      <w:lvlText w:val="%8."/>
      <w:lvlJc w:val="left"/>
      <w:pPr>
        <w:ind w:left="6556" w:hanging="360"/>
      </w:pPr>
    </w:lvl>
    <w:lvl w:ilvl="8" w:tplc="0413001B" w:tentative="1">
      <w:start w:val="1"/>
      <w:numFmt w:val="lowerRoman"/>
      <w:lvlText w:val="%9."/>
      <w:lvlJc w:val="right"/>
      <w:pPr>
        <w:ind w:left="7276" w:hanging="180"/>
      </w:pPr>
    </w:lvl>
  </w:abstractNum>
  <w:abstractNum w:abstractNumId="1" w15:restartNumberingAfterBreak="0">
    <w:nsid w:val="0EEE6BF9"/>
    <w:multiLevelType w:val="hybridMultilevel"/>
    <w:tmpl w:val="9820A310"/>
    <w:lvl w:ilvl="0" w:tplc="64265C90">
      <w:start w:val="1"/>
      <w:numFmt w:val="upperRoman"/>
      <w:lvlText w:val="%1."/>
      <w:lvlJc w:val="left"/>
      <w:pPr>
        <w:ind w:left="720" w:hanging="360"/>
      </w:pPr>
      <w:rPr>
        <w:rFonts w:ascii="Verdana" w:hAnsi="Verdana" w:hint="default"/>
        <w:b/>
        <w:bCs/>
        <w:sz w:val="24"/>
        <w:szCs w:val="24"/>
      </w:rPr>
    </w:lvl>
    <w:lvl w:ilvl="1" w:tplc="87DEC17A">
      <w:start w:val="1"/>
      <w:numFmt w:val="lowerLetter"/>
      <w:lvlText w:val="%2."/>
      <w:lvlJc w:val="left"/>
      <w:pPr>
        <w:ind w:left="644" w:hanging="360"/>
      </w:pPr>
      <w:rPr>
        <w:b/>
        <w:bCs/>
      </w:rPr>
    </w:lvl>
    <w:lvl w:ilvl="2" w:tplc="5CE2C6B0">
      <w:start w:val="1"/>
      <w:numFmt w:val="lowerRoman"/>
      <w:lvlText w:val="%3."/>
      <w:lvlJc w:val="right"/>
      <w:pPr>
        <w:ind w:left="2160" w:hanging="180"/>
      </w:pPr>
    </w:lvl>
    <w:lvl w:ilvl="3" w:tplc="488A624E">
      <w:start w:val="1"/>
      <w:numFmt w:val="decimal"/>
      <w:lvlText w:val="%4."/>
      <w:lvlJc w:val="left"/>
      <w:pPr>
        <w:ind w:left="360" w:hanging="360"/>
      </w:pPr>
      <w:rPr>
        <w:rFonts w:ascii="Verdana" w:hAnsi="Verdana" w:hint="default"/>
        <w:b/>
        <w:bCs/>
        <w:sz w:val="18"/>
        <w:szCs w:val="18"/>
      </w:rPr>
    </w:lvl>
    <w:lvl w:ilvl="4" w:tplc="04B02120">
      <w:start w:val="1"/>
      <w:numFmt w:val="lowerLetter"/>
      <w:lvlText w:val="%5."/>
      <w:lvlJc w:val="left"/>
      <w:pPr>
        <w:ind w:left="786" w:hanging="360"/>
      </w:pPr>
    </w:lvl>
    <w:lvl w:ilvl="5" w:tplc="42D4096C">
      <w:start w:val="1"/>
      <w:numFmt w:val="lowerRoman"/>
      <w:lvlText w:val="%6."/>
      <w:lvlJc w:val="right"/>
      <w:pPr>
        <w:ind w:left="4320" w:hanging="180"/>
      </w:pPr>
    </w:lvl>
    <w:lvl w:ilvl="6" w:tplc="ED0EBE7E">
      <w:start w:val="1"/>
      <w:numFmt w:val="decimal"/>
      <w:lvlText w:val="%7."/>
      <w:lvlJc w:val="left"/>
      <w:pPr>
        <w:ind w:left="5040" w:hanging="360"/>
      </w:pPr>
    </w:lvl>
    <w:lvl w:ilvl="7" w:tplc="9E164A98">
      <w:start w:val="1"/>
      <w:numFmt w:val="lowerLetter"/>
      <w:lvlText w:val="%8."/>
      <w:lvlJc w:val="left"/>
      <w:pPr>
        <w:ind w:left="5760" w:hanging="360"/>
      </w:pPr>
    </w:lvl>
    <w:lvl w:ilvl="8" w:tplc="0C6CDE0C">
      <w:start w:val="1"/>
      <w:numFmt w:val="lowerRoman"/>
      <w:lvlText w:val="%9."/>
      <w:lvlJc w:val="right"/>
      <w:pPr>
        <w:ind w:left="6480" w:hanging="180"/>
      </w:pPr>
    </w:lvl>
  </w:abstractNum>
  <w:abstractNum w:abstractNumId="2" w15:restartNumberingAfterBreak="0">
    <w:nsid w:val="145B1DE9"/>
    <w:multiLevelType w:val="hybridMultilevel"/>
    <w:tmpl w:val="5DE2251C"/>
    <w:lvl w:ilvl="0" w:tplc="F48C567C">
      <w:start w:val="1"/>
      <w:numFmt w:val="lowerLetter"/>
      <w:lvlText w:val="%1)"/>
      <w:lvlJc w:val="left"/>
      <w:pPr>
        <w:ind w:left="502"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F2F09BA"/>
    <w:multiLevelType w:val="hybridMultilevel"/>
    <w:tmpl w:val="B70AA99C"/>
    <w:lvl w:ilvl="0" w:tplc="87DEC17A">
      <w:start w:val="1"/>
      <w:numFmt w:val="lowerLetter"/>
      <w:lvlText w:val="%1."/>
      <w:lvlJc w:val="left"/>
      <w:pPr>
        <w:ind w:left="644" w:hanging="360"/>
      </w:pPr>
      <w:rPr>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DC348C6"/>
    <w:multiLevelType w:val="hybridMultilevel"/>
    <w:tmpl w:val="48F8D8D2"/>
    <w:lvl w:ilvl="0" w:tplc="04B02120">
      <w:start w:val="1"/>
      <w:numFmt w:val="lowerLetter"/>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DA41A1"/>
    <w:multiLevelType w:val="hybridMultilevel"/>
    <w:tmpl w:val="709C80CC"/>
    <w:lvl w:ilvl="0" w:tplc="24BA7D2E">
      <w:start w:val="1"/>
      <w:numFmt w:val="decimal"/>
      <w:lvlText w:val="%1."/>
      <w:lvlJc w:val="left"/>
      <w:pPr>
        <w:ind w:left="360" w:hanging="360"/>
      </w:pPr>
      <w:rPr>
        <w:rFonts w:hint="default"/>
        <w:b/>
      </w:rPr>
    </w:lvl>
    <w:lvl w:ilvl="1" w:tplc="8468195E">
      <w:start w:val="1"/>
      <w:numFmt w:val="lowerLetter"/>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E7C1432"/>
    <w:multiLevelType w:val="hybridMultilevel"/>
    <w:tmpl w:val="9AD8F7EC"/>
    <w:lvl w:ilvl="0" w:tplc="1BD4F924">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CB"/>
    <w:rsid w:val="00000C42"/>
    <w:rsid w:val="00000D90"/>
    <w:rsid w:val="0001337C"/>
    <w:rsid w:val="00015BF4"/>
    <w:rsid w:val="00023015"/>
    <w:rsid w:val="00030AE5"/>
    <w:rsid w:val="00031224"/>
    <w:rsid w:val="000441A1"/>
    <w:rsid w:val="00050D41"/>
    <w:rsid w:val="00060EA5"/>
    <w:rsid w:val="0007346E"/>
    <w:rsid w:val="000923EF"/>
    <w:rsid w:val="000926D2"/>
    <w:rsid w:val="00092D4C"/>
    <w:rsid w:val="000A07FA"/>
    <w:rsid w:val="000A1743"/>
    <w:rsid w:val="000A3F36"/>
    <w:rsid w:val="000A6F51"/>
    <w:rsid w:val="000B1521"/>
    <w:rsid w:val="000B57BF"/>
    <w:rsid w:val="000C7ED8"/>
    <w:rsid w:val="000D0083"/>
    <w:rsid w:val="000D2E4D"/>
    <w:rsid w:val="000E1957"/>
    <w:rsid w:val="000E6AFB"/>
    <w:rsid w:val="000F5055"/>
    <w:rsid w:val="0010690F"/>
    <w:rsid w:val="00113321"/>
    <w:rsid w:val="0012056A"/>
    <w:rsid w:val="001328DD"/>
    <w:rsid w:val="0013696A"/>
    <w:rsid w:val="00140DDA"/>
    <w:rsid w:val="00140ED0"/>
    <w:rsid w:val="00153AAA"/>
    <w:rsid w:val="00161D3C"/>
    <w:rsid w:val="00162D44"/>
    <w:rsid w:val="00162E28"/>
    <w:rsid w:val="00164D61"/>
    <w:rsid w:val="001654B7"/>
    <w:rsid w:val="0016782C"/>
    <w:rsid w:val="00172EFC"/>
    <w:rsid w:val="001751A6"/>
    <w:rsid w:val="001827A3"/>
    <w:rsid w:val="001946F0"/>
    <w:rsid w:val="00196B01"/>
    <w:rsid w:val="001B32EE"/>
    <w:rsid w:val="001B407F"/>
    <w:rsid w:val="001C6EB7"/>
    <w:rsid w:val="001C763B"/>
    <w:rsid w:val="001D7A95"/>
    <w:rsid w:val="001E380D"/>
    <w:rsid w:val="001F1615"/>
    <w:rsid w:val="00202531"/>
    <w:rsid w:val="002073F4"/>
    <w:rsid w:val="002374EB"/>
    <w:rsid w:val="00240DB0"/>
    <w:rsid w:val="00242CB6"/>
    <w:rsid w:val="00250F20"/>
    <w:rsid w:val="00261786"/>
    <w:rsid w:val="0027147F"/>
    <w:rsid w:val="0028026B"/>
    <w:rsid w:val="002926C3"/>
    <w:rsid w:val="002A3471"/>
    <w:rsid w:val="002B5F62"/>
    <w:rsid w:val="002D480F"/>
    <w:rsid w:val="002E2AD1"/>
    <w:rsid w:val="002F177B"/>
    <w:rsid w:val="002F2BE0"/>
    <w:rsid w:val="002F6360"/>
    <w:rsid w:val="00306170"/>
    <w:rsid w:val="00320B3F"/>
    <w:rsid w:val="00332A47"/>
    <w:rsid w:val="00335EFA"/>
    <w:rsid w:val="00343C58"/>
    <w:rsid w:val="0034757A"/>
    <w:rsid w:val="00354DF2"/>
    <w:rsid w:val="00361797"/>
    <w:rsid w:val="00362ACC"/>
    <w:rsid w:val="00362EF3"/>
    <w:rsid w:val="00365A3F"/>
    <w:rsid w:val="00375813"/>
    <w:rsid w:val="00382B3F"/>
    <w:rsid w:val="00390406"/>
    <w:rsid w:val="00390BE1"/>
    <w:rsid w:val="00392B0A"/>
    <w:rsid w:val="00393047"/>
    <w:rsid w:val="00393143"/>
    <w:rsid w:val="00395917"/>
    <w:rsid w:val="003B2A3B"/>
    <w:rsid w:val="003B347C"/>
    <w:rsid w:val="003C21BA"/>
    <w:rsid w:val="003C3929"/>
    <w:rsid w:val="003C6DE8"/>
    <w:rsid w:val="003D0AF1"/>
    <w:rsid w:val="003D2F4E"/>
    <w:rsid w:val="003E044E"/>
    <w:rsid w:val="003E2009"/>
    <w:rsid w:val="003E3166"/>
    <w:rsid w:val="004005C4"/>
    <w:rsid w:val="0041344E"/>
    <w:rsid w:val="00421883"/>
    <w:rsid w:val="0042688F"/>
    <w:rsid w:val="00430444"/>
    <w:rsid w:val="004345B0"/>
    <w:rsid w:val="00437651"/>
    <w:rsid w:val="0043782E"/>
    <w:rsid w:val="00442609"/>
    <w:rsid w:val="00445334"/>
    <w:rsid w:val="00473CE9"/>
    <w:rsid w:val="0049054D"/>
    <w:rsid w:val="004B3DC5"/>
    <w:rsid w:val="004C4DFF"/>
    <w:rsid w:val="004D25C0"/>
    <w:rsid w:val="004D52E0"/>
    <w:rsid w:val="004E336F"/>
    <w:rsid w:val="004F25F0"/>
    <w:rsid w:val="00510D5A"/>
    <w:rsid w:val="00517A90"/>
    <w:rsid w:val="00521092"/>
    <w:rsid w:val="00521316"/>
    <w:rsid w:val="0052693A"/>
    <w:rsid w:val="005300A6"/>
    <w:rsid w:val="0053450F"/>
    <w:rsid w:val="0054321B"/>
    <w:rsid w:val="00563103"/>
    <w:rsid w:val="00572A71"/>
    <w:rsid w:val="00592C67"/>
    <w:rsid w:val="005A4190"/>
    <w:rsid w:val="005A59DC"/>
    <w:rsid w:val="005A72BF"/>
    <w:rsid w:val="005B5090"/>
    <w:rsid w:val="005C34A2"/>
    <w:rsid w:val="005C7CCA"/>
    <w:rsid w:val="005C7FB3"/>
    <w:rsid w:val="005D15B0"/>
    <w:rsid w:val="005D35B6"/>
    <w:rsid w:val="005E569B"/>
    <w:rsid w:val="005F5498"/>
    <w:rsid w:val="005F797B"/>
    <w:rsid w:val="00616B6A"/>
    <w:rsid w:val="006350DF"/>
    <w:rsid w:val="00636C00"/>
    <w:rsid w:val="00641821"/>
    <w:rsid w:val="0064421A"/>
    <w:rsid w:val="00655F8E"/>
    <w:rsid w:val="00665C2E"/>
    <w:rsid w:val="00670D89"/>
    <w:rsid w:val="006712F7"/>
    <w:rsid w:val="00671949"/>
    <w:rsid w:val="00675A7F"/>
    <w:rsid w:val="00680ED2"/>
    <w:rsid w:val="006863A7"/>
    <w:rsid w:val="006A4AD2"/>
    <w:rsid w:val="006C754B"/>
    <w:rsid w:val="006D513C"/>
    <w:rsid w:val="006E1650"/>
    <w:rsid w:val="006E501B"/>
    <w:rsid w:val="006F1643"/>
    <w:rsid w:val="006F21DA"/>
    <w:rsid w:val="006F512B"/>
    <w:rsid w:val="00701052"/>
    <w:rsid w:val="007031CC"/>
    <w:rsid w:val="00720FC3"/>
    <w:rsid w:val="00723B9C"/>
    <w:rsid w:val="00724D50"/>
    <w:rsid w:val="00735DDE"/>
    <w:rsid w:val="00736484"/>
    <w:rsid w:val="0074564B"/>
    <w:rsid w:val="00754206"/>
    <w:rsid w:val="00765DC0"/>
    <w:rsid w:val="0076688C"/>
    <w:rsid w:val="00770467"/>
    <w:rsid w:val="00770A7B"/>
    <w:rsid w:val="00770F29"/>
    <w:rsid w:val="0077353A"/>
    <w:rsid w:val="007860CF"/>
    <w:rsid w:val="00786FD9"/>
    <w:rsid w:val="00790CBD"/>
    <w:rsid w:val="00792C48"/>
    <w:rsid w:val="007A48DF"/>
    <w:rsid w:val="007A4902"/>
    <w:rsid w:val="007A61AC"/>
    <w:rsid w:val="007A73D0"/>
    <w:rsid w:val="007A754F"/>
    <w:rsid w:val="007B30F9"/>
    <w:rsid w:val="007D0590"/>
    <w:rsid w:val="007E01D1"/>
    <w:rsid w:val="007F14CD"/>
    <w:rsid w:val="007F3C52"/>
    <w:rsid w:val="007F600C"/>
    <w:rsid w:val="008076EF"/>
    <w:rsid w:val="00811E05"/>
    <w:rsid w:val="008123EB"/>
    <w:rsid w:val="00813CF0"/>
    <w:rsid w:val="00814D2A"/>
    <w:rsid w:val="00833C61"/>
    <w:rsid w:val="00835384"/>
    <w:rsid w:val="0083561A"/>
    <w:rsid w:val="00837852"/>
    <w:rsid w:val="008449DA"/>
    <w:rsid w:val="008524CE"/>
    <w:rsid w:val="008648AC"/>
    <w:rsid w:val="00866BD0"/>
    <w:rsid w:val="00873946"/>
    <w:rsid w:val="0088118B"/>
    <w:rsid w:val="00881758"/>
    <w:rsid w:val="008822E7"/>
    <w:rsid w:val="008A010C"/>
    <w:rsid w:val="008A09B1"/>
    <w:rsid w:val="008A3A66"/>
    <w:rsid w:val="008A43C3"/>
    <w:rsid w:val="008A4B4D"/>
    <w:rsid w:val="008A61CB"/>
    <w:rsid w:val="008A79EE"/>
    <w:rsid w:val="008B5A44"/>
    <w:rsid w:val="008B6FCB"/>
    <w:rsid w:val="008C3C93"/>
    <w:rsid w:val="008C5C2E"/>
    <w:rsid w:val="008D0497"/>
    <w:rsid w:val="008D7062"/>
    <w:rsid w:val="008E0FDA"/>
    <w:rsid w:val="008E5156"/>
    <w:rsid w:val="008E7E8F"/>
    <w:rsid w:val="008F340B"/>
    <w:rsid w:val="008F3C08"/>
    <w:rsid w:val="009028ED"/>
    <w:rsid w:val="00903DFE"/>
    <w:rsid w:val="009106B4"/>
    <w:rsid w:val="0091263F"/>
    <w:rsid w:val="00912B3D"/>
    <w:rsid w:val="009176C1"/>
    <w:rsid w:val="0092364E"/>
    <w:rsid w:val="009247C4"/>
    <w:rsid w:val="00934C49"/>
    <w:rsid w:val="009353E0"/>
    <w:rsid w:val="00941DA3"/>
    <w:rsid w:val="00944AEA"/>
    <w:rsid w:val="00944E7E"/>
    <w:rsid w:val="00954C14"/>
    <w:rsid w:val="009556B9"/>
    <w:rsid w:val="009663F0"/>
    <w:rsid w:val="00967144"/>
    <w:rsid w:val="00967148"/>
    <w:rsid w:val="00981945"/>
    <w:rsid w:val="00990D79"/>
    <w:rsid w:val="009935F9"/>
    <w:rsid w:val="009A19F5"/>
    <w:rsid w:val="009A2A69"/>
    <w:rsid w:val="009A4CB2"/>
    <w:rsid w:val="009A767C"/>
    <w:rsid w:val="009C02D2"/>
    <w:rsid w:val="009C1BDE"/>
    <w:rsid w:val="009C360E"/>
    <w:rsid w:val="009D017B"/>
    <w:rsid w:val="009E502A"/>
    <w:rsid w:val="009F20E5"/>
    <w:rsid w:val="009F2EEE"/>
    <w:rsid w:val="00A067DD"/>
    <w:rsid w:val="00A21C70"/>
    <w:rsid w:val="00A25240"/>
    <w:rsid w:val="00A415FA"/>
    <w:rsid w:val="00A47341"/>
    <w:rsid w:val="00A501DF"/>
    <w:rsid w:val="00A506E6"/>
    <w:rsid w:val="00A51702"/>
    <w:rsid w:val="00A6000B"/>
    <w:rsid w:val="00A64B8B"/>
    <w:rsid w:val="00A84DB8"/>
    <w:rsid w:val="00A86575"/>
    <w:rsid w:val="00A91209"/>
    <w:rsid w:val="00AA2CF9"/>
    <w:rsid w:val="00AA3430"/>
    <w:rsid w:val="00AC3F06"/>
    <w:rsid w:val="00AC68F7"/>
    <w:rsid w:val="00AC6E1C"/>
    <w:rsid w:val="00AD0758"/>
    <w:rsid w:val="00AD4FD7"/>
    <w:rsid w:val="00AF79ED"/>
    <w:rsid w:val="00B05C9C"/>
    <w:rsid w:val="00B23FE1"/>
    <w:rsid w:val="00B30D73"/>
    <w:rsid w:val="00B44F1B"/>
    <w:rsid w:val="00B60D72"/>
    <w:rsid w:val="00B63068"/>
    <w:rsid w:val="00B63260"/>
    <w:rsid w:val="00B65C11"/>
    <w:rsid w:val="00B974B0"/>
    <w:rsid w:val="00B97C7D"/>
    <w:rsid w:val="00BA57E3"/>
    <w:rsid w:val="00BB3C17"/>
    <w:rsid w:val="00BB47F4"/>
    <w:rsid w:val="00BB78DD"/>
    <w:rsid w:val="00BC379D"/>
    <w:rsid w:val="00BC4174"/>
    <w:rsid w:val="00BC6908"/>
    <w:rsid w:val="00BC6CBD"/>
    <w:rsid w:val="00BC7602"/>
    <w:rsid w:val="00BD2A43"/>
    <w:rsid w:val="00BE4A21"/>
    <w:rsid w:val="00C03899"/>
    <w:rsid w:val="00C0405A"/>
    <w:rsid w:val="00C07C01"/>
    <w:rsid w:val="00C11200"/>
    <w:rsid w:val="00C12DE3"/>
    <w:rsid w:val="00C168D5"/>
    <w:rsid w:val="00C16BD1"/>
    <w:rsid w:val="00C179B9"/>
    <w:rsid w:val="00C23742"/>
    <w:rsid w:val="00C23D0B"/>
    <w:rsid w:val="00C3130A"/>
    <w:rsid w:val="00C3387C"/>
    <w:rsid w:val="00C427C9"/>
    <w:rsid w:val="00C43EC3"/>
    <w:rsid w:val="00C52A20"/>
    <w:rsid w:val="00C75FF7"/>
    <w:rsid w:val="00C804E8"/>
    <w:rsid w:val="00C80FEB"/>
    <w:rsid w:val="00C8587E"/>
    <w:rsid w:val="00C93AF6"/>
    <w:rsid w:val="00C956EE"/>
    <w:rsid w:val="00CA7EA6"/>
    <w:rsid w:val="00CB1830"/>
    <w:rsid w:val="00CB3BF5"/>
    <w:rsid w:val="00CB78EF"/>
    <w:rsid w:val="00CD3860"/>
    <w:rsid w:val="00CD4D14"/>
    <w:rsid w:val="00CE6A9D"/>
    <w:rsid w:val="00CF47E9"/>
    <w:rsid w:val="00D00F20"/>
    <w:rsid w:val="00D141BA"/>
    <w:rsid w:val="00D214B9"/>
    <w:rsid w:val="00D24093"/>
    <w:rsid w:val="00D3327D"/>
    <w:rsid w:val="00D42F00"/>
    <w:rsid w:val="00D64B47"/>
    <w:rsid w:val="00D85507"/>
    <w:rsid w:val="00D86737"/>
    <w:rsid w:val="00D95CD0"/>
    <w:rsid w:val="00D967C1"/>
    <w:rsid w:val="00DA4C87"/>
    <w:rsid w:val="00DA6FC9"/>
    <w:rsid w:val="00DB2042"/>
    <w:rsid w:val="00DB7AA8"/>
    <w:rsid w:val="00DC0FC6"/>
    <w:rsid w:val="00DC0FE0"/>
    <w:rsid w:val="00DC7517"/>
    <w:rsid w:val="00DD7BF1"/>
    <w:rsid w:val="00DF0A63"/>
    <w:rsid w:val="00DF1198"/>
    <w:rsid w:val="00DF2A0D"/>
    <w:rsid w:val="00E0063F"/>
    <w:rsid w:val="00E05F95"/>
    <w:rsid w:val="00E41DA4"/>
    <w:rsid w:val="00E42D7D"/>
    <w:rsid w:val="00E46758"/>
    <w:rsid w:val="00E4752E"/>
    <w:rsid w:val="00E50D37"/>
    <w:rsid w:val="00E555C9"/>
    <w:rsid w:val="00E60EBA"/>
    <w:rsid w:val="00E64687"/>
    <w:rsid w:val="00E704BC"/>
    <w:rsid w:val="00E71205"/>
    <w:rsid w:val="00E865BB"/>
    <w:rsid w:val="00E977B4"/>
    <w:rsid w:val="00EC08ED"/>
    <w:rsid w:val="00EC1C6A"/>
    <w:rsid w:val="00EC28F8"/>
    <w:rsid w:val="00ED0FD4"/>
    <w:rsid w:val="00ED3752"/>
    <w:rsid w:val="00ED44B2"/>
    <w:rsid w:val="00ED649C"/>
    <w:rsid w:val="00EE302E"/>
    <w:rsid w:val="00EF3120"/>
    <w:rsid w:val="00F024F4"/>
    <w:rsid w:val="00F07BF9"/>
    <w:rsid w:val="00F44A07"/>
    <w:rsid w:val="00F53CCD"/>
    <w:rsid w:val="00F64E58"/>
    <w:rsid w:val="00F74FE0"/>
    <w:rsid w:val="00F800A6"/>
    <w:rsid w:val="00F90EDC"/>
    <w:rsid w:val="00F92C18"/>
    <w:rsid w:val="00F94F89"/>
    <w:rsid w:val="00FA32D0"/>
    <w:rsid w:val="00FA40C8"/>
    <w:rsid w:val="00FA62F8"/>
    <w:rsid w:val="00FA728E"/>
    <w:rsid w:val="00FB108B"/>
    <w:rsid w:val="00FB252A"/>
    <w:rsid w:val="00FC1A71"/>
    <w:rsid w:val="00FC1D41"/>
    <w:rsid w:val="00FC208B"/>
    <w:rsid w:val="00FE6B1D"/>
    <w:rsid w:val="01441729"/>
    <w:rsid w:val="02503985"/>
    <w:rsid w:val="07A4FD5D"/>
    <w:rsid w:val="0854A880"/>
    <w:rsid w:val="08D3472B"/>
    <w:rsid w:val="0D77CB91"/>
    <w:rsid w:val="114F9E49"/>
    <w:rsid w:val="16A97175"/>
    <w:rsid w:val="1AFD5550"/>
    <w:rsid w:val="1B8EFCE8"/>
    <w:rsid w:val="1BDFF917"/>
    <w:rsid w:val="1CC05FC3"/>
    <w:rsid w:val="1D751675"/>
    <w:rsid w:val="1FA8B58C"/>
    <w:rsid w:val="2A7A52E1"/>
    <w:rsid w:val="2B853ABA"/>
    <w:rsid w:val="2E3AA853"/>
    <w:rsid w:val="300674D1"/>
    <w:rsid w:val="30E598B0"/>
    <w:rsid w:val="31F6C3F3"/>
    <w:rsid w:val="3443981A"/>
    <w:rsid w:val="34C0271A"/>
    <w:rsid w:val="3766E992"/>
    <w:rsid w:val="37A2E206"/>
    <w:rsid w:val="38ECC094"/>
    <w:rsid w:val="3939D064"/>
    <w:rsid w:val="3A065751"/>
    <w:rsid w:val="3A5153A0"/>
    <w:rsid w:val="3B2513F5"/>
    <w:rsid w:val="3FEAB553"/>
    <w:rsid w:val="409332FB"/>
    <w:rsid w:val="47301FA4"/>
    <w:rsid w:val="48F2F93A"/>
    <w:rsid w:val="4A2093D0"/>
    <w:rsid w:val="4A701BD6"/>
    <w:rsid w:val="4AF8DC19"/>
    <w:rsid w:val="4CFB4ECE"/>
    <w:rsid w:val="4F442471"/>
    <w:rsid w:val="5087C090"/>
    <w:rsid w:val="529658EE"/>
    <w:rsid w:val="53C223D9"/>
    <w:rsid w:val="561C0D6F"/>
    <w:rsid w:val="5BAAF1E6"/>
    <w:rsid w:val="5BD52C87"/>
    <w:rsid w:val="5C1C6B85"/>
    <w:rsid w:val="60784DF9"/>
    <w:rsid w:val="60CE25B0"/>
    <w:rsid w:val="61A7D959"/>
    <w:rsid w:val="63814D29"/>
    <w:rsid w:val="63B861AB"/>
    <w:rsid w:val="65974C68"/>
    <w:rsid w:val="65C7F77D"/>
    <w:rsid w:val="668B7F95"/>
    <w:rsid w:val="6966DC49"/>
    <w:rsid w:val="69ADD763"/>
    <w:rsid w:val="6ABD637C"/>
    <w:rsid w:val="6CF0D88A"/>
    <w:rsid w:val="706A687E"/>
    <w:rsid w:val="744FBC7F"/>
    <w:rsid w:val="77C7506F"/>
    <w:rsid w:val="7A688341"/>
    <w:rsid w:val="7D7974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C94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6FCB"/>
    <w:rPr>
      <w:kern w:val="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B6FCB"/>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B6FCB"/>
    <w:rPr>
      <w:kern w:val="0"/>
      <w14:ligatures w14:val="none"/>
    </w:rPr>
  </w:style>
  <w:style w:type="paragraph" w:styleId="Voetnoottekst">
    <w:name w:val="footnote text"/>
    <w:basedOn w:val="Standaard"/>
    <w:link w:val="VoetnoottekstChar"/>
    <w:uiPriority w:val="99"/>
    <w:unhideWhenUsed/>
    <w:rsid w:val="008B6FCB"/>
    <w:pPr>
      <w:spacing w:after="0" w:line="240" w:lineRule="auto"/>
    </w:pPr>
    <w:rPr>
      <w:sz w:val="20"/>
      <w:szCs w:val="20"/>
    </w:rPr>
  </w:style>
  <w:style w:type="character" w:customStyle="1" w:styleId="VoetnoottekstChar">
    <w:name w:val="Voetnoottekst Char"/>
    <w:basedOn w:val="Standaardalinea-lettertype"/>
    <w:link w:val="Voetnoottekst"/>
    <w:uiPriority w:val="99"/>
    <w:rsid w:val="008B6FCB"/>
    <w:rPr>
      <w:kern w:val="0"/>
      <w:sz w:val="20"/>
      <w:szCs w:val="20"/>
      <w14:ligatures w14:val="none"/>
    </w:rPr>
  </w:style>
  <w:style w:type="character" w:styleId="Voetnootmarkering">
    <w:name w:val="footnote reference"/>
    <w:aliases w:val="Footnote Reference Superscript,BVI fnr,Footnote symbol,Odwołanie przypisu,Footnote Reference_LVL6,Footnote Reference_LVL61,Footnote Reference_LVL62,Footnote Reference_LVL63,Footnote Reference_LVL64,Footnote Reference_LVL65,fr,o,ftref"/>
    <w:basedOn w:val="Standaardalinea-lettertype"/>
    <w:uiPriority w:val="99"/>
    <w:unhideWhenUsed/>
    <w:qFormat/>
    <w:rsid w:val="008B6FCB"/>
    <w:rPr>
      <w:vertAlign w:val="superscript"/>
    </w:rPr>
  </w:style>
  <w:style w:type="paragraph" w:styleId="Koptekst">
    <w:name w:val="header"/>
    <w:basedOn w:val="Standaard"/>
    <w:link w:val="KoptekstChar"/>
    <w:uiPriority w:val="99"/>
    <w:unhideWhenUsed/>
    <w:rsid w:val="008B6F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6FCB"/>
    <w:rPr>
      <w:kern w:val="0"/>
      <w14:ligatures w14:val="none"/>
    </w:rPr>
  </w:style>
  <w:style w:type="paragraph" w:styleId="Voettekst">
    <w:name w:val="footer"/>
    <w:basedOn w:val="Standaard"/>
    <w:link w:val="VoettekstChar"/>
    <w:uiPriority w:val="99"/>
    <w:unhideWhenUsed/>
    <w:rsid w:val="008B6F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6FCB"/>
    <w:rPr>
      <w:kern w:val="0"/>
      <w14:ligatures w14:val="none"/>
    </w:rPr>
  </w:style>
  <w:style w:type="character" w:styleId="Hyperlink">
    <w:name w:val="Hyperlink"/>
    <w:basedOn w:val="Standaardalinea-lettertype"/>
    <w:uiPriority w:val="99"/>
    <w:unhideWhenUsed/>
    <w:rsid w:val="008B6FCB"/>
    <w:rPr>
      <w:color w:val="0563C1" w:themeColor="hyperlink"/>
      <w:u w:val="single"/>
    </w:rPr>
  </w:style>
  <w:style w:type="character" w:styleId="Eindnootmarkering">
    <w:name w:val="endnote reference"/>
    <w:basedOn w:val="Standaardalinea-lettertype"/>
    <w:uiPriority w:val="99"/>
    <w:semiHidden/>
    <w:unhideWhenUsed/>
    <w:rPr>
      <w:vertAlign w:val="superscript"/>
    </w:rPr>
  </w:style>
  <w:style w:type="character" w:customStyle="1" w:styleId="EindnoottekstChar">
    <w:name w:val="Eindnoottekst Char"/>
    <w:basedOn w:val="Standaardalinea-lettertype"/>
    <w:link w:val="Eindnoottekst"/>
    <w:uiPriority w:val="99"/>
    <w:semiHidden/>
    <w:rPr>
      <w:sz w:val="20"/>
      <w:szCs w:val="20"/>
    </w:rPr>
  </w:style>
  <w:style w:type="paragraph" w:styleId="Eindnoottekst">
    <w:name w:val="endnote text"/>
    <w:basedOn w:val="Standaard"/>
    <w:link w:val="EindnoottekstChar"/>
    <w:uiPriority w:val="99"/>
    <w:semiHidden/>
    <w:unhideWhenUsed/>
    <w:pPr>
      <w:spacing w:after="0" w:line="240" w:lineRule="auto"/>
    </w:pPr>
    <w:rPr>
      <w:sz w:val="20"/>
      <w:szCs w:val="20"/>
    </w:rPr>
  </w:style>
  <w:style w:type="paragraph" w:customStyle="1" w:styleId="Default">
    <w:name w:val="Default"/>
    <w:rsid w:val="00BC379D"/>
    <w:pPr>
      <w:autoSpaceDE w:val="0"/>
      <w:autoSpaceDN w:val="0"/>
      <w:adjustRightInd w:val="0"/>
      <w:spacing w:after="0" w:line="240" w:lineRule="auto"/>
    </w:pPr>
    <w:rPr>
      <w:rFonts w:ascii="Verdana" w:hAnsi="Verdana" w:cs="Verdana"/>
      <w:color w:val="000000"/>
      <w:kern w:val="0"/>
      <w:sz w:val="24"/>
      <w:szCs w:val="24"/>
    </w:rPr>
  </w:style>
  <w:style w:type="character" w:styleId="Verwijzingopmerking">
    <w:name w:val="annotation reference"/>
    <w:basedOn w:val="Standaardalinea-lettertype"/>
    <w:uiPriority w:val="99"/>
    <w:semiHidden/>
    <w:unhideWhenUsed/>
    <w:rsid w:val="00BC379D"/>
    <w:rPr>
      <w:sz w:val="16"/>
      <w:szCs w:val="16"/>
    </w:rPr>
  </w:style>
  <w:style w:type="paragraph" w:styleId="Tekstopmerking">
    <w:name w:val="annotation text"/>
    <w:basedOn w:val="Standaard"/>
    <w:link w:val="TekstopmerkingChar"/>
    <w:uiPriority w:val="99"/>
    <w:unhideWhenUsed/>
    <w:rsid w:val="00BC379D"/>
    <w:pPr>
      <w:spacing w:line="240" w:lineRule="auto"/>
    </w:pPr>
    <w:rPr>
      <w:sz w:val="20"/>
      <w:szCs w:val="20"/>
    </w:rPr>
  </w:style>
  <w:style w:type="character" w:customStyle="1" w:styleId="TekstopmerkingChar">
    <w:name w:val="Tekst opmerking Char"/>
    <w:basedOn w:val="Standaardalinea-lettertype"/>
    <w:link w:val="Tekstopmerking"/>
    <w:uiPriority w:val="99"/>
    <w:rsid w:val="00BC379D"/>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BC379D"/>
    <w:rPr>
      <w:b/>
      <w:bCs/>
    </w:rPr>
  </w:style>
  <w:style w:type="character" w:customStyle="1" w:styleId="OnderwerpvanopmerkingChar">
    <w:name w:val="Onderwerp van opmerking Char"/>
    <w:basedOn w:val="TekstopmerkingChar"/>
    <w:link w:val="Onderwerpvanopmerking"/>
    <w:uiPriority w:val="99"/>
    <w:semiHidden/>
    <w:rsid w:val="00BC379D"/>
    <w:rPr>
      <w:b/>
      <w:bCs/>
      <w:kern w:val="0"/>
      <w:sz w:val="20"/>
      <w:szCs w:val="20"/>
      <w14:ligatures w14:val="none"/>
    </w:rPr>
  </w:style>
  <w:style w:type="paragraph" w:styleId="Normaalweb">
    <w:name w:val="Normal (Web)"/>
    <w:basedOn w:val="Standaard"/>
    <w:uiPriority w:val="99"/>
    <w:semiHidden/>
    <w:unhideWhenUsed/>
    <w:rsid w:val="00833C61"/>
    <w:pPr>
      <w:spacing w:before="100" w:beforeAutospacing="1" w:after="100" w:afterAutospacing="1" w:line="240" w:lineRule="auto"/>
    </w:pPr>
    <w:rPr>
      <w:rFonts w:ascii="Calibri" w:hAnsi="Calibri" w:cs="Calibri"/>
      <w:lang w:eastAsia="nl-NL"/>
    </w:rPr>
  </w:style>
  <w:style w:type="paragraph" w:styleId="Revisie">
    <w:name w:val="Revision"/>
    <w:hidden/>
    <w:uiPriority w:val="99"/>
    <w:semiHidden/>
    <w:rsid w:val="001C6EB7"/>
    <w:pPr>
      <w:spacing w:after="0" w:line="240" w:lineRule="auto"/>
    </w:pPr>
    <w:rPr>
      <w:kern w:val="0"/>
      <w14:ligatures w14:val="none"/>
    </w:rPr>
  </w:style>
  <w:style w:type="character" w:styleId="Zwaar">
    <w:name w:val="Strong"/>
    <w:basedOn w:val="Standaardalinea-lettertype"/>
    <w:uiPriority w:val="22"/>
    <w:qFormat/>
    <w:rsid w:val="00A84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509">
      <w:bodyDiv w:val="1"/>
      <w:marLeft w:val="0"/>
      <w:marRight w:val="0"/>
      <w:marTop w:val="0"/>
      <w:marBottom w:val="0"/>
      <w:divBdr>
        <w:top w:val="none" w:sz="0" w:space="0" w:color="auto"/>
        <w:left w:val="none" w:sz="0" w:space="0" w:color="auto"/>
        <w:bottom w:val="none" w:sz="0" w:space="0" w:color="auto"/>
        <w:right w:val="none" w:sz="0" w:space="0" w:color="auto"/>
      </w:divBdr>
    </w:div>
    <w:div w:id="121534612">
      <w:bodyDiv w:val="1"/>
      <w:marLeft w:val="0"/>
      <w:marRight w:val="0"/>
      <w:marTop w:val="0"/>
      <w:marBottom w:val="0"/>
      <w:divBdr>
        <w:top w:val="none" w:sz="0" w:space="0" w:color="auto"/>
        <w:left w:val="none" w:sz="0" w:space="0" w:color="auto"/>
        <w:bottom w:val="none" w:sz="0" w:space="0" w:color="auto"/>
        <w:right w:val="none" w:sz="0" w:space="0" w:color="auto"/>
      </w:divBdr>
    </w:div>
    <w:div w:id="184483936">
      <w:bodyDiv w:val="1"/>
      <w:marLeft w:val="0"/>
      <w:marRight w:val="0"/>
      <w:marTop w:val="0"/>
      <w:marBottom w:val="0"/>
      <w:divBdr>
        <w:top w:val="none" w:sz="0" w:space="0" w:color="auto"/>
        <w:left w:val="none" w:sz="0" w:space="0" w:color="auto"/>
        <w:bottom w:val="none" w:sz="0" w:space="0" w:color="auto"/>
        <w:right w:val="none" w:sz="0" w:space="0" w:color="auto"/>
      </w:divBdr>
    </w:div>
    <w:div w:id="252587415">
      <w:bodyDiv w:val="1"/>
      <w:marLeft w:val="0"/>
      <w:marRight w:val="0"/>
      <w:marTop w:val="0"/>
      <w:marBottom w:val="0"/>
      <w:divBdr>
        <w:top w:val="none" w:sz="0" w:space="0" w:color="auto"/>
        <w:left w:val="none" w:sz="0" w:space="0" w:color="auto"/>
        <w:bottom w:val="none" w:sz="0" w:space="0" w:color="auto"/>
        <w:right w:val="none" w:sz="0" w:space="0" w:color="auto"/>
      </w:divBdr>
    </w:div>
    <w:div w:id="332336789">
      <w:bodyDiv w:val="1"/>
      <w:marLeft w:val="0"/>
      <w:marRight w:val="0"/>
      <w:marTop w:val="0"/>
      <w:marBottom w:val="0"/>
      <w:divBdr>
        <w:top w:val="none" w:sz="0" w:space="0" w:color="auto"/>
        <w:left w:val="none" w:sz="0" w:space="0" w:color="auto"/>
        <w:bottom w:val="none" w:sz="0" w:space="0" w:color="auto"/>
        <w:right w:val="none" w:sz="0" w:space="0" w:color="auto"/>
      </w:divBdr>
    </w:div>
    <w:div w:id="360205171">
      <w:bodyDiv w:val="1"/>
      <w:marLeft w:val="0"/>
      <w:marRight w:val="0"/>
      <w:marTop w:val="0"/>
      <w:marBottom w:val="0"/>
      <w:divBdr>
        <w:top w:val="none" w:sz="0" w:space="0" w:color="auto"/>
        <w:left w:val="none" w:sz="0" w:space="0" w:color="auto"/>
        <w:bottom w:val="none" w:sz="0" w:space="0" w:color="auto"/>
        <w:right w:val="none" w:sz="0" w:space="0" w:color="auto"/>
      </w:divBdr>
    </w:div>
    <w:div w:id="401560432">
      <w:bodyDiv w:val="1"/>
      <w:marLeft w:val="0"/>
      <w:marRight w:val="0"/>
      <w:marTop w:val="0"/>
      <w:marBottom w:val="0"/>
      <w:divBdr>
        <w:top w:val="none" w:sz="0" w:space="0" w:color="auto"/>
        <w:left w:val="none" w:sz="0" w:space="0" w:color="auto"/>
        <w:bottom w:val="none" w:sz="0" w:space="0" w:color="auto"/>
        <w:right w:val="none" w:sz="0" w:space="0" w:color="auto"/>
      </w:divBdr>
    </w:div>
    <w:div w:id="449208249">
      <w:bodyDiv w:val="1"/>
      <w:marLeft w:val="0"/>
      <w:marRight w:val="0"/>
      <w:marTop w:val="0"/>
      <w:marBottom w:val="0"/>
      <w:divBdr>
        <w:top w:val="none" w:sz="0" w:space="0" w:color="auto"/>
        <w:left w:val="none" w:sz="0" w:space="0" w:color="auto"/>
        <w:bottom w:val="none" w:sz="0" w:space="0" w:color="auto"/>
        <w:right w:val="none" w:sz="0" w:space="0" w:color="auto"/>
      </w:divBdr>
    </w:div>
    <w:div w:id="605163326">
      <w:bodyDiv w:val="1"/>
      <w:marLeft w:val="0"/>
      <w:marRight w:val="0"/>
      <w:marTop w:val="0"/>
      <w:marBottom w:val="0"/>
      <w:divBdr>
        <w:top w:val="none" w:sz="0" w:space="0" w:color="auto"/>
        <w:left w:val="none" w:sz="0" w:space="0" w:color="auto"/>
        <w:bottom w:val="none" w:sz="0" w:space="0" w:color="auto"/>
        <w:right w:val="none" w:sz="0" w:space="0" w:color="auto"/>
      </w:divBdr>
    </w:div>
    <w:div w:id="621032807">
      <w:bodyDiv w:val="1"/>
      <w:marLeft w:val="0"/>
      <w:marRight w:val="0"/>
      <w:marTop w:val="0"/>
      <w:marBottom w:val="0"/>
      <w:divBdr>
        <w:top w:val="none" w:sz="0" w:space="0" w:color="auto"/>
        <w:left w:val="none" w:sz="0" w:space="0" w:color="auto"/>
        <w:bottom w:val="none" w:sz="0" w:space="0" w:color="auto"/>
        <w:right w:val="none" w:sz="0" w:space="0" w:color="auto"/>
      </w:divBdr>
    </w:div>
    <w:div w:id="642664056">
      <w:bodyDiv w:val="1"/>
      <w:marLeft w:val="0"/>
      <w:marRight w:val="0"/>
      <w:marTop w:val="0"/>
      <w:marBottom w:val="0"/>
      <w:divBdr>
        <w:top w:val="none" w:sz="0" w:space="0" w:color="auto"/>
        <w:left w:val="none" w:sz="0" w:space="0" w:color="auto"/>
        <w:bottom w:val="none" w:sz="0" w:space="0" w:color="auto"/>
        <w:right w:val="none" w:sz="0" w:space="0" w:color="auto"/>
      </w:divBdr>
    </w:div>
    <w:div w:id="805900982">
      <w:bodyDiv w:val="1"/>
      <w:marLeft w:val="0"/>
      <w:marRight w:val="0"/>
      <w:marTop w:val="0"/>
      <w:marBottom w:val="0"/>
      <w:divBdr>
        <w:top w:val="none" w:sz="0" w:space="0" w:color="auto"/>
        <w:left w:val="none" w:sz="0" w:space="0" w:color="auto"/>
        <w:bottom w:val="none" w:sz="0" w:space="0" w:color="auto"/>
        <w:right w:val="none" w:sz="0" w:space="0" w:color="auto"/>
      </w:divBdr>
    </w:div>
    <w:div w:id="1032269606">
      <w:bodyDiv w:val="1"/>
      <w:marLeft w:val="0"/>
      <w:marRight w:val="0"/>
      <w:marTop w:val="0"/>
      <w:marBottom w:val="0"/>
      <w:divBdr>
        <w:top w:val="none" w:sz="0" w:space="0" w:color="auto"/>
        <w:left w:val="none" w:sz="0" w:space="0" w:color="auto"/>
        <w:bottom w:val="none" w:sz="0" w:space="0" w:color="auto"/>
        <w:right w:val="none" w:sz="0" w:space="0" w:color="auto"/>
      </w:divBdr>
    </w:div>
    <w:div w:id="1059205940">
      <w:bodyDiv w:val="1"/>
      <w:marLeft w:val="0"/>
      <w:marRight w:val="0"/>
      <w:marTop w:val="0"/>
      <w:marBottom w:val="0"/>
      <w:divBdr>
        <w:top w:val="none" w:sz="0" w:space="0" w:color="auto"/>
        <w:left w:val="none" w:sz="0" w:space="0" w:color="auto"/>
        <w:bottom w:val="none" w:sz="0" w:space="0" w:color="auto"/>
        <w:right w:val="none" w:sz="0" w:space="0" w:color="auto"/>
      </w:divBdr>
    </w:div>
    <w:div w:id="1106584325">
      <w:bodyDiv w:val="1"/>
      <w:marLeft w:val="0"/>
      <w:marRight w:val="0"/>
      <w:marTop w:val="0"/>
      <w:marBottom w:val="0"/>
      <w:divBdr>
        <w:top w:val="none" w:sz="0" w:space="0" w:color="auto"/>
        <w:left w:val="none" w:sz="0" w:space="0" w:color="auto"/>
        <w:bottom w:val="none" w:sz="0" w:space="0" w:color="auto"/>
        <w:right w:val="none" w:sz="0" w:space="0" w:color="auto"/>
      </w:divBdr>
    </w:div>
    <w:div w:id="1130392238">
      <w:bodyDiv w:val="1"/>
      <w:marLeft w:val="0"/>
      <w:marRight w:val="0"/>
      <w:marTop w:val="0"/>
      <w:marBottom w:val="0"/>
      <w:divBdr>
        <w:top w:val="none" w:sz="0" w:space="0" w:color="auto"/>
        <w:left w:val="none" w:sz="0" w:space="0" w:color="auto"/>
        <w:bottom w:val="none" w:sz="0" w:space="0" w:color="auto"/>
        <w:right w:val="none" w:sz="0" w:space="0" w:color="auto"/>
      </w:divBdr>
    </w:div>
    <w:div w:id="1315452549">
      <w:bodyDiv w:val="1"/>
      <w:marLeft w:val="0"/>
      <w:marRight w:val="0"/>
      <w:marTop w:val="0"/>
      <w:marBottom w:val="0"/>
      <w:divBdr>
        <w:top w:val="none" w:sz="0" w:space="0" w:color="auto"/>
        <w:left w:val="none" w:sz="0" w:space="0" w:color="auto"/>
        <w:bottom w:val="none" w:sz="0" w:space="0" w:color="auto"/>
        <w:right w:val="none" w:sz="0" w:space="0" w:color="auto"/>
      </w:divBdr>
    </w:div>
    <w:div w:id="1357001148">
      <w:bodyDiv w:val="1"/>
      <w:marLeft w:val="0"/>
      <w:marRight w:val="0"/>
      <w:marTop w:val="0"/>
      <w:marBottom w:val="0"/>
      <w:divBdr>
        <w:top w:val="none" w:sz="0" w:space="0" w:color="auto"/>
        <w:left w:val="none" w:sz="0" w:space="0" w:color="auto"/>
        <w:bottom w:val="none" w:sz="0" w:space="0" w:color="auto"/>
        <w:right w:val="none" w:sz="0" w:space="0" w:color="auto"/>
      </w:divBdr>
    </w:div>
    <w:div w:id="1807426686">
      <w:bodyDiv w:val="1"/>
      <w:marLeft w:val="0"/>
      <w:marRight w:val="0"/>
      <w:marTop w:val="0"/>
      <w:marBottom w:val="0"/>
      <w:divBdr>
        <w:top w:val="none" w:sz="0" w:space="0" w:color="auto"/>
        <w:left w:val="none" w:sz="0" w:space="0" w:color="auto"/>
        <w:bottom w:val="none" w:sz="0" w:space="0" w:color="auto"/>
        <w:right w:val="none" w:sz="0" w:space="0" w:color="auto"/>
      </w:divBdr>
    </w:div>
    <w:div w:id="1812936650">
      <w:bodyDiv w:val="1"/>
      <w:marLeft w:val="0"/>
      <w:marRight w:val="0"/>
      <w:marTop w:val="0"/>
      <w:marBottom w:val="0"/>
      <w:divBdr>
        <w:top w:val="none" w:sz="0" w:space="0" w:color="auto"/>
        <w:left w:val="none" w:sz="0" w:space="0" w:color="auto"/>
        <w:bottom w:val="none" w:sz="0" w:space="0" w:color="auto"/>
        <w:right w:val="none" w:sz="0" w:space="0" w:color="auto"/>
      </w:divBdr>
    </w:div>
    <w:div w:id="1822454881">
      <w:bodyDiv w:val="1"/>
      <w:marLeft w:val="0"/>
      <w:marRight w:val="0"/>
      <w:marTop w:val="0"/>
      <w:marBottom w:val="0"/>
      <w:divBdr>
        <w:top w:val="none" w:sz="0" w:space="0" w:color="auto"/>
        <w:left w:val="none" w:sz="0" w:space="0" w:color="auto"/>
        <w:bottom w:val="none" w:sz="0" w:space="0" w:color="auto"/>
        <w:right w:val="none" w:sz="0" w:space="0" w:color="auto"/>
      </w:divBdr>
    </w:div>
    <w:div w:id="1841653934">
      <w:bodyDiv w:val="1"/>
      <w:marLeft w:val="0"/>
      <w:marRight w:val="0"/>
      <w:marTop w:val="0"/>
      <w:marBottom w:val="0"/>
      <w:divBdr>
        <w:top w:val="none" w:sz="0" w:space="0" w:color="auto"/>
        <w:left w:val="none" w:sz="0" w:space="0" w:color="auto"/>
        <w:bottom w:val="none" w:sz="0" w:space="0" w:color="auto"/>
        <w:right w:val="none" w:sz="0" w:space="0" w:color="auto"/>
      </w:divBdr>
    </w:div>
    <w:div w:id="1960449059">
      <w:bodyDiv w:val="1"/>
      <w:marLeft w:val="0"/>
      <w:marRight w:val="0"/>
      <w:marTop w:val="0"/>
      <w:marBottom w:val="0"/>
      <w:divBdr>
        <w:top w:val="none" w:sz="0" w:space="0" w:color="auto"/>
        <w:left w:val="none" w:sz="0" w:space="0" w:color="auto"/>
        <w:bottom w:val="none" w:sz="0" w:space="0" w:color="auto"/>
        <w:right w:val="none" w:sz="0" w:space="0" w:color="auto"/>
      </w:divBdr>
    </w:div>
    <w:div w:id="2087916425">
      <w:bodyDiv w:val="1"/>
      <w:marLeft w:val="0"/>
      <w:marRight w:val="0"/>
      <w:marTop w:val="0"/>
      <w:marBottom w:val="0"/>
      <w:divBdr>
        <w:top w:val="none" w:sz="0" w:space="0" w:color="auto"/>
        <w:left w:val="none" w:sz="0" w:space="0" w:color="auto"/>
        <w:bottom w:val="none" w:sz="0" w:space="0" w:color="auto"/>
        <w:right w:val="none" w:sz="0" w:space="0" w:color="auto"/>
      </w:divBdr>
    </w:div>
    <w:div w:id="21049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3120</ap:Words>
  <ap:Characters>17162</ap:Characters>
  <ap:DocSecurity>0</ap:DocSecurity>
  <ap:Lines>143</ap:Lines>
  <ap:Paragraphs>40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20242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2025-03-21T12:27:00.0000000Z</dcterms:created>
  <dcterms:modified xsi:type="dcterms:W3CDTF">2025-03-21T12:27:00.0000000Z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0x010100714BA5F63A560248B74282218AF21E13</vt:lpwstr>
  </property>
</Properties>
</file>