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7D2" w:rsidP="003507D2" w:rsidRDefault="003507D2" w14:paraId="7EE3B280" w14:textId="39513CED">
      <w:pPr>
        <w:spacing w:line="240" w:lineRule="auto"/>
      </w:pPr>
      <w:r>
        <w:t>AH 1715</w:t>
      </w:r>
    </w:p>
    <w:p w:rsidR="003507D2" w:rsidP="003507D2" w:rsidRDefault="003507D2" w14:paraId="681A888E" w14:textId="1F9DC586">
      <w:pPr>
        <w:spacing w:line="240" w:lineRule="auto"/>
      </w:pPr>
      <w:r>
        <w:t>2025Z03242</w:t>
      </w:r>
    </w:p>
    <w:p w:rsidR="003507D2" w:rsidP="003507D2" w:rsidRDefault="003507D2" w14:paraId="1F04424A" w14:textId="32253639">
      <w:pPr>
        <w:spacing w:line="240" w:lineRule="auto"/>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24 maart 2025)</w:t>
      </w:r>
    </w:p>
    <w:p w:rsidRPr="00A67CD5" w:rsidR="003507D2" w:rsidP="003507D2" w:rsidRDefault="003507D2" w14:paraId="3CB2B620" w14:textId="77777777">
      <w:pPr>
        <w:spacing w:line="240" w:lineRule="auto"/>
      </w:pPr>
    </w:p>
    <w:p w:rsidRPr="00875C5D" w:rsidR="003507D2" w:rsidP="003507D2" w:rsidRDefault="003507D2" w14:paraId="0043E4FF" w14:textId="77777777">
      <w:pPr>
        <w:spacing w:line="240" w:lineRule="auto"/>
        <w:rPr>
          <w:b/>
          <w:bCs/>
        </w:rPr>
      </w:pPr>
      <w:r w:rsidRPr="00875C5D">
        <w:rPr>
          <w:b/>
          <w:bCs/>
        </w:rPr>
        <w:t>Vraag 1</w:t>
      </w:r>
    </w:p>
    <w:p w:rsidRPr="00BA2494" w:rsidR="003507D2" w:rsidP="003507D2" w:rsidRDefault="003507D2" w14:paraId="47B4ADEE" w14:textId="77777777">
      <w:pPr>
        <w:spacing w:line="240" w:lineRule="auto"/>
      </w:pPr>
      <w:r w:rsidRPr="00A67CD5">
        <w:t xml:space="preserve">Hoeveel CO2-equivalent stootte de sector </w:t>
      </w:r>
      <w:r w:rsidRPr="00BA2494">
        <w:t>gebouwde omgeving in 2024 uit? Hoeveel is dat verwijderd van het restemissiedoel 11,2 megaton van 2030? Ligt u op koers om klimaatdoelen in de gebouwde omgeving te halen?</w:t>
      </w:r>
    </w:p>
    <w:p w:rsidRPr="00BA2494" w:rsidR="003507D2" w:rsidP="003507D2" w:rsidRDefault="003507D2" w14:paraId="79814C24" w14:textId="77777777">
      <w:pPr>
        <w:spacing w:line="240" w:lineRule="auto"/>
      </w:pPr>
    </w:p>
    <w:p w:rsidRPr="00BA2494" w:rsidR="003507D2" w:rsidP="003507D2" w:rsidRDefault="003507D2" w14:paraId="7052F0A5" w14:textId="77777777">
      <w:pPr>
        <w:spacing w:line="240" w:lineRule="auto"/>
        <w:rPr>
          <w:b/>
          <w:bCs/>
        </w:rPr>
      </w:pPr>
      <w:r w:rsidRPr="00BA2494">
        <w:rPr>
          <w:b/>
          <w:bCs/>
        </w:rPr>
        <w:t>Antwoord vraag 1</w:t>
      </w:r>
    </w:p>
    <w:p w:rsidR="003507D2" w:rsidP="003507D2" w:rsidRDefault="003507D2" w14:paraId="38E6D59D" w14:textId="77777777">
      <w:pPr>
        <w:spacing w:line="240" w:lineRule="auto"/>
      </w:pPr>
      <w:r w:rsidRPr="00BA2494">
        <w:t>De Klimaat- en Energieverkenning (KEV) 2024 laat zien dat de CO2</w:t>
      </w:r>
      <w:r>
        <w:t>-</w:t>
      </w:r>
      <w:r w:rsidRPr="00BA2494">
        <w:t>uitstoot in de gebouwde omgeving in 2023 is gedaald van 19,6 naar 17,3 megaton. Dit komt door een forse besparing op aardgas in de afgelopen jaren, als gevolg van energiebesparende maatregelen, zuinig stookgedrag en relatief warme winters. Voor 2024 moeten de CO2 emissiecijfers nog beschikbaar komen</w:t>
      </w:r>
      <w:r>
        <w:t xml:space="preserve">. De KEV2024 raamt de CO2-emissie van de gebouwde omgeving binnen een bandbreedte van 12,6 tot 18,2 </w:t>
      </w:r>
      <w:proofErr w:type="spellStart"/>
      <w:r>
        <w:t>Mton</w:t>
      </w:r>
      <w:proofErr w:type="spellEnd"/>
      <w:r>
        <w:t xml:space="preserve">, inclusief geagendeerd beleid is die bandbreedte </w:t>
      </w:r>
      <w:r w:rsidRPr="00830BE7">
        <w:t>11,6</w:t>
      </w:r>
      <w:r>
        <w:t xml:space="preserve"> tot </w:t>
      </w:r>
      <w:r w:rsidRPr="00830BE7">
        <w:t>17,3</w:t>
      </w:r>
      <w:r>
        <w:t xml:space="preserve"> </w:t>
      </w:r>
      <w:proofErr w:type="spellStart"/>
      <w:r>
        <w:t>MTon</w:t>
      </w:r>
      <w:proofErr w:type="spellEnd"/>
      <w:r>
        <w:t xml:space="preserve">. </w:t>
      </w:r>
      <w:r w:rsidRPr="00BA2494">
        <w:t xml:space="preserve">Het gestelde doel in 2030 is 13,2 </w:t>
      </w:r>
      <w:proofErr w:type="spellStart"/>
      <w:r w:rsidRPr="00BA2494">
        <w:t>Mton</w:t>
      </w:r>
      <w:proofErr w:type="spellEnd"/>
      <w:r w:rsidRPr="00BA2494">
        <w:t xml:space="preserve"> restemissie</w:t>
      </w:r>
      <w:r>
        <w:t>.</w:t>
      </w:r>
    </w:p>
    <w:p w:rsidR="003507D2" w:rsidP="003507D2" w:rsidRDefault="003507D2" w14:paraId="0A9DC2A1" w14:textId="77777777">
      <w:pPr>
        <w:spacing w:line="240" w:lineRule="auto"/>
      </w:pPr>
    </w:p>
    <w:p w:rsidRPr="00875C5D" w:rsidR="003507D2" w:rsidP="003507D2" w:rsidRDefault="003507D2" w14:paraId="61403EC0" w14:textId="77777777">
      <w:pPr>
        <w:spacing w:line="240" w:lineRule="auto"/>
        <w:rPr>
          <w:b/>
          <w:bCs/>
        </w:rPr>
      </w:pPr>
      <w:r w:rsidRPr="00875C5D">
        <w:rPr>
          <w:b/>
          <w:bCs/>
        </w:rPr>
        <w:t xml:space="preserve">Vraag </w:t>
      </w:r>
      <w:r>
        <w:rPr>
          <w:b/>
          <w:bCs/>
        </w:rPr>
        <w:t>2</w:t>
      </w:r>
    </w:p>
    <w:p w:rsidR="003507D2" w:rsidP="003507D2" w:rsidRDefault="003507D2" w14:paraId="78B448A7" w14:textId="77777777">
      <w:pPr>
        <w:spacing w:line="240" w:lineRule="auto"/>
      </w:pPr>
      <w:r w:rsidRPr="00A67CD5">
        <w:t>Kunt u een schatting geven van het gemiddelde verschil in energiekosten voor mensen tussen een</w:t>
      </w:r>
      <w:r>
        <w:t xml:space="preserve"> </w:t>
      </w:r>
      <w:r w:rsidRPr="00A67CD5">
        <w:t>woning met energielabel A++++ ten opzichte van een woning met energielabel G?</w:t>
      </w:r>
    </w:p>
    <w:p w:rsidR="003507D2" w:rsidP="003507D2" w:rsidRDefault="003507D2" w14:paraId="37542701" w14:textId="77777777">
      <w:pPr>
        <w:spacing w:line="240" w:lineRule="auto"/>
      </w:pPr>
    </w:p>
    <w:p w:rsidR="003507D2" w:rsidP="003507D2" w:rsidRDefault="003507D2" w14:paraId="3269206A" w14:textId="77777777">
      <w:pPr>
        <w:spacing w:line="240" w:lineRule="auto"/>
        <w:rPr>
          <w:b/>
          <w:bCs/>
        </w:rPr>
      </w:pPr>
      <w:r>
        <w:rPr>
          <w:b/>
          <w:bCs/>
        </w:rPr>
        <w:t>Antwoord vraag 2</w:t>
      </w:r>
    </w:p>
    <w:p w:rsidR="003507D2" w:rsidP="003507D2" w:rsidRDefault="003507D2" w14:paraId="060D4E30" w14:textId="77777777">
      <w:pPr>
        <w:rPr>
          <w:rFonts w:eastAsia="Calibri" w:cs="Times New Roman"/>
        </w:rPr>
      </w:pPr>
      <w:r w:rsidRPr="00560A82">
        <w:rPr>
          <w:rFonts w:eastAsia="Calibri" w:cs="Times New Roman"/>
        </w:rPr>
        <w:t xml:space="preserve">Het energieverbruik per woning is afhankelijk van het type woning en het stookgedrag van de bewoner. Op basis van gemiddeld gebruik is echter wel een beeld te geven wat het verschil is tussen woningen met een verschillend energielabel. In onderstaande tabel is in beeld gebracht wat het verschil is in energiekosten van een tussenwoning met label A+++ en label G. </w:t>
      </w:r>
      <w:r>
        <w:rPr>
          <w:rFonts w:eastAsia="Calibri" w:cs="Times New Roman"/>
        </w:rPr>
        <w:t xml:space="preserve">Voor A++++ woningen is momenteel nog onvoldoende data beschikbaar om te komen tot een betrouwbaar beeld van het werkelijke energieverbruik en daarmee de energiekosten. </w:t>
      </w:r>
    </w:p>
    <w:p w:rsidR="003507D2" w:rsidP="003507D2" w:rsidRDefault="003507D2" w14:paraId="477D4C72" w14:textId="77777777">
      <w:pPr>
        <w:rPr>
          <w:rFonts w:eastAsia="Calibri" w:cs="Times New Roman"/>
        </w:rPr>
      </w:pPr>
      <w:r w:rsidRPr="00560A82">
        <w:rPr>
          <w:rFonts w:eastAsia="Calibri" w:cs="Times New Roman"/>
        </w:rPr>
        <w:t>Voor de woning met het A+++ label is uitgegaan van elektrisch verwarmen met een warmtepomp.</w:t>
      </w:r>
      <w:r>
        <w:rPr>
          <w:rFonts w:eastAsia="Calibri" w:cs="Times New Roman"/>
        </w:rPr>
        <w:t xml:space="preserve"> Voor de woning met het G label is uitgegaan van verwarmen door middel van een cv-ketel.</w:t>
      </w:r>
      <w:r w:rsidRPr="00560A82">
        <w:rPr>
          <w:rFonts w:eastAsia="Calibri" w:cs="Times New Roman"/>
        </w:rPr>
        <w:t xml:space="preserve"> Het verbruik (inclusief verwarming) per label is gebaseerd </w:t>
      </w:r>
      <w:r w:rsidRPr="00560A82">
        <w:rPr>
          <w:rFonts w:eastAsia="Calibri" w:cs="Times New Roman"/>
        </w:rPr>
        <w:lastRenderedPageBreak/>
        <w:t>op voorlopige cijfers uit 2023 van het CBS.</w:t>
      </w:r>
      <w:r w:rsidRPr="00560A82">
        <w:rPr>
          <w:rFonts w:eastAsia="Calibri" w:cs="Times New Roman"/>
          <w:vertAlign w:val="superscript"/>
        </w:rPr>
        <w:footnoteReference w:id="1"/>
      </w:r>
      <w:r w:rsidRPr="00560A82">
        <w:rPr>
          <w:rFonts w:eastAsia="Calibri" w:cs="Times New Roman"/>
        </w:rPr>
        <w:t xml:space="preserve"> </w:t>
      </w:r>
      <w:r>
        <w:rPr>
          <w:rFonts w:eastAsia="Calibri" w:cs="Times New Roman"/>
        </w:rPr>
        <w:t>De leveringskosten, vaste kosten en energiebelasting voor gas en elektra zijn gebaseerd op cijfers van CBS over de energietarieven van februari 2025.</w:t>
      </w:r>
      <w:r>
        <w:rPr>
          <w:rStyle w:val="Voetnootmarkering"/>
          <w:rFonts w:eastAsia="Calibri" w:cs="Times New Roman"/>
        </w:rPr>
        <w:footnoteReference w:id="2"/>
      </w:r>
      <w:r>
        <w:rPr>
          <w:rFonts w:eastAsia="Calibri" w:cs="Times New Roman"/>
        </w:rPr>
        <w:t xml:space="preserve"> </w:t>
      </w:r>
    </w:p>
    <w:p w:rsidR="003507D2" w:rsidP="003507D2" w:rsidRDefault="003507D2" w14:paraId="2CEA966B" w14:textId="77777777">
      <w:pPr>
        <w:rPr>
          <w:rFonts w:eastAsia="Calibri" w:cs="Times New Roman"/>
        </w:rPr>
      </w:pPr>
    </w:p>
    <w:p w:rsidR="003507D2" w:rsidP="003507D2" w:rsidRDefault="003507D2" w14:paraId="3E995B04" w14:textId="77777777">
      <w:pPr>
        <w:rPr>
          <w:rFonts w:eastAsia="Calibri" w:cs="Times New Roman"/>
        </w:rPr>
      </w:pPr>
    </w:p>
    <w:p w:rsidR="003507D2" w:rsidP="003507D2" w:rsidRDefault="003507D2" w14:paraId="1C45819F" w14:textId="77777777">
      <w:pPr>
        <w:rPr>
          <w:rFonts w:eastAsia="Calibri" w:cs="Times New Roman"/>
        </w:rPr>
      </w:pPr>
    </w:p>
    <w:p w:rsidR="003507D2" w:rsidP="003507D2" w:rsidRDefault="003507D2" w14:paraId="318A6A15" w14:textId="77777777">
      <w:pPr>
        <w:rPr>
          <w:rFonts w:eastAsia="Calibri" w:cs="Times New Roman"/>
        </w:rPr>
      </w:pPr>
    </w:p>
    <w:p w:rsidR="003507D2" w:rsidP="003507D2" w:rsidRDefault="003507D2" w14:paraId="26147FBF" w14:textId="77777777">
      <w:pPr>
        <w:rPr>
          <w:rFonts w:eastAsia="Calibri" w:cs="Times New Roman"/>
        </w:rPr>
      </w:pPr>
    </w:p>
    <w:p w:rsidR="003507D2" w:rsidP="003507D2" w:rsidRDefault="003507D2" w14:paraId="7B758D3D" w14:textId="77777777">
      <w:pPr>
        <w:rPr>
          <w:rFonts w:eastAsia="Calibri" w:cs="Times New Roman"/>
        </w:rPr>
      </w:pPr>
    </w:p>
    <w:tbl>
      <w:tblPr>
        <w:tblW w:w="6220" w:type="dxa"/>
        <w:tblCellMar>
          <w:left w:w="70" w:type="dxa"/>
          <w:right w:w="70" w:type="dxa"/>
        </w:tblCellMar>
        <w:tblLook w:val="04A0" w:firstRow="1" w:lastRow="0" w:firstColumn="1" w:lastColumn="0" w:noHBand="0" w:noVBand="1"/>
      </w:tblPr>
      <w:tblGrid>
        <w:gridCol w:w="4100"/>
        <w:gridCol w:w="1060"/>
        <w:gridCol w:w="1060"/>
      </w:tblGrid>
      <w:tr w:rsidRPr="00AF1055" w:rsidR="003507D2" w:rsidTr="004C501E" w14:paraId="0058C209" w14:textId="77777777">
        <w:trPr>
          <w:trHeight w:val="300"/>
        </w:trPr>
        <w:tc>
          <w:tcPr>
            <w:tcW w:w="4100" w:type="dxa"/>
            <w:tcBorders>
              <w:top w:val="nil"/>
              <w:left w:val="nil"/>
              <w:bottom w:val="single" w:color="auto" w:sz="8" w:space="0"/>
              <w:right w:val="nil"/>
            </w:tcBorders>
            <w:shd w:val="clear" w:color="auto" w:fill="auto"/>
            <w:noWrap/>
            <w:vAlign w:val="bottom"/>
            <w:hideMark/>
          </w:tcPr>
          <w:p w:rsidRPr="00EA0AAA" w:rsidR="003507D2" w:rsidP="004C501E" w:rsidRDefault="003507D2" w14:paraId="67B8489B" w14:textId="77777777">
            <w:pPr>
              <w:spacing w:line="240" w:lineRule="auto"/>
              <w:rPr>
                <w:rFonts w:eastAsia="Times New Roman" w:cs="Times New Roman"/>
              </w:rPr>
            </w:pPr>
            <w:r w:rsidRPr="00EA0AAA">
              <w:rPr>
                <w:rFonts w:eastAsia="Times New Roman" w:cs="Times New Roman"/>
              </w:rPr>
              <w:t> </w:t>
            </w:r>
          </w:p>
        </w:tc>
        <w:tc>
          <w:tcPr>
            <w:tcW w:w="1060"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AF1055" w:rsidR="003507D2" w:rsidP="004C501E" w:rsidRDefault="003507D2" w14:paraId="23C64E6F" w14:textId="77777777">
            <w:pPr>
              <w:spacing w:line="240" w:lineRule="auto"/>
              <w:rPr>
                <w:rFonts w:eastAsia="Times New Roman" w:cs="Times New Roman"/>
                <w:b/>
                <w:bCs/>
              </w:rPr>
            </w:pPr>
            <w:r w:rsidRPr="00AF1055">
              <w:rPr>
                <w:rFonts w:eastAsia="Times New Roman" w:cs="Times New Roman"/>
                <w:b/>
                <w:bCs/>
              </w:rPr>
              <w:t>A+++</w:t>
            </w:r>
          </w:p>
        </w:tc>
        <w:tc>
          <w:tcPr>
            <w:tcW w:w="1060"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3507D2" w:rsidP="004C501E" w:rsidRDefault="003507D2" w14:paraId="09BBAFED" w14:textId="77777777">
            <w:pPr>
              <w:spacing w:line="240" w:lineRule="auto"/>
              <w:rPr>
                <w:rFonts w:eastAsia="Times New Roman" w:cs="Times New Roman"/>
                <w:b/>
                <w:bCs/>
              </w:rPr>
            </w:pPr>
            <w:r w:rsidRPr="00AF1055">
              <w:rPr>
                <w:rFonts w:eastAsia="Times New Roman" w:cs="Times New Roman"/>
                <w:b/>
                <w:bCs/>
              </w:rPr>
              <w:t>G</w:t>
            </w:r>
          </w:p>
        </w:tc>
      </w:tr>
      <w:tr w:rsidRPr="00AF1055" w:rsidR="003507D2" w:rsidTr="004C501E" w14:paraId="14BAD4D1" w14:textId="77777777">
        <w:trPr>
          <w:trHeight w:val="48"/>
        </w:trPr>
        <w:tc>
          <w:tcPr>
            <w:tcW w:w="4100" w:type="dxa"/>
            <w:tcBorders>
              <w:top w:val="single" w:color="auto" w:sz="8" w:space="0"/>
              <w:left w:val="single" w:color="auto" w:sz="8" w:space="0"/>
              <w:bottom w:val="dotted" w:color="auto" w:sz="4" w:space="0"/>
              <w:right w:val="single" w:color="auto" w:sz="8" w:space="0"/>
            </w:tcBorders>
            <w:shd w:val="clear" w:color="auto" w:fill="auto"/>
            <w:noWrap/>
            <w:vAlign w:val="center"/>
            <w:hideMark/>
          </w:tcPr>
          <w:p w:rsidRPr="00AF1055" w:rsidR="003507D2" w:rsidP="004C501E" w:rsidRDefault="003507D2" w14:paraId="681889D1" w14:textId="77777777">
            <w:pPr>
              <w:spacing w:line="240" w:lineRule="auto"/>
              <w:rPr>
                <w:rFonts w:eastAsia="Times New Roman" w:cs="Times New Roman"/>
              </w:rPr>
            </w:pPr>
            <w:r w:rsidRPr="00AF1055">
              <w:rPr>
                <w:rFonts w:eastAsia="Times New Roman" w:cs="Times New Roman"/>
              </w:rPr>
              <w:t>Gasverbruik (m³)</w:t>
            </w:r>
          </w:p>
        </w:tc>
        <w:tc>
          <w:tcPr>
            <w:tcW w:w="1060" w:type="dxa"/>
            <w:tcBorders>
              <w:top w:val="single" w:color="auto" w:sz="8" w:space="0"/>
              <w:left w:val="nil"/>
              <w:bottom w:val="dotted" w:color="auto" w:sz="4" w:space="0"/>
              <w:right w:val="single" w:color="auto" w:sz="8" w:space="0"/>
            </w:tcBorders>
            <w:shd w:val="clear" w:color="auto" w:fill="auto"/>
            <w:noWrap/>
            <w:vAlign w:val="center"/>
            <w:hideMark/>
          </w:tcPr>
          <w:p w:rsidRPr="00AF1055" w:rsidR="003507D2" w:rsidP="004C501E" w:rsidRDefault="003507D2" w14:paraId="106BF9C3" w14:textId="77777777">
            <w:pPr>
              <w:spacing w:line="240" w:lineRule="auto"/>
              <w:jc w:val="center"/>
              <w:rPr>
                <w:rFonts w:eastAsia="Times New Roman" w:cs="Times New Roman"/>
              </w:rPr>
            </w:pPr>
          </w:p>
        </w:tc>
        <w:tc>
          <w:tcPr>
            <w:tcW w:w="1060" w:type="dxa"/>
            <w:tcBorders>
              <w:top w:val="single" w:color="auto" w:sz="8" w:space="0"/>
              <w:left w:val="nil"/>
              <w:bottom w:val="dotted" w:color="auto" w:sz="4" w:space="0"/>
              <w:right w:val="single" w:color="auto" w:sz="8" w:space="0"/>
            </w:tcBorders>
            <w:shd w:val="clear" w:color="auto" w:fill="auto"/>
            <w:noWrap/>
            <w:hideMark/>
          </w:tcPr>
          <w:p w:rsidRPr="00AF1055" w:rsidR="003507D2" w:rsidP="004C501E" w:rsidRDefault="003507D2" w14:paraId="19595FBF" w14:textId="77777777">
            <w:pPr>
              <w:spacing w:line="240" w:lineRule="auto"/>
              <w:jc w:val="right"/>
              <w:rPr>
                <w:rFonts w:eastAsia="Times New Roman" w:cs="Times New Roman"/>
              </w:rPr>
            </w:pPr>
            <w:r w:rsidRPr="003F35F6">
              <w:t xml:space="preserve"> 1.060 </w:t>
            </w:r>
          </w:p>
        </w:tc>
      </w:tr>
      <w:tr w:rsidRPr="00AF1055" w:rsidR="003507D2" w:rsidTr="004C501E" w14:paraId="3E3D0BF5" w14:textId="77777777">
        <w:trPr>
          <w:trHeight w:val="5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5E8312C4" w14:textId="77777777">
            <w:pPr>
              <w:spacing w:line="240" w:lineRule="auto"/>
              <w:rPr>
                <w:rFonts w:eastAsia="Times New Roman" w:cs="Times New Roman"/>
              </w:rPr>
            </w:pPr>
            <w:r w:rsidRPr="00AF1055">
              <w:rPr>
                <w:rFonts w:eastAsia="Times New Roman" w:cs="Times New Roman"/>
              </w:rPr>
              <w:t>Elektraverbruik (kWh)</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6573D5EC" w14:textId="77777777">
            <w:pPr>
              <w:spacing w:line="240" w:lineRule="auto"/>
              <w:jc w:val="right"/>
              <w:rPr>
                <w:rFonts w:eastAsia="Times New Roman" w:cs="Times New Roman"/>
              </w:rPr>
            </w:pPr>
            <w:r w:rsidRPr="00792A98">
              <w:rPr>
                <w:rFonts w:eastAsia="Times New Roman" w:cs="Times New Roman"/>
              </w:rPr>
              <w:t xml:space="preserve">3.690 </w:t>
            </w:r>
          </w:p>
        </w:tc>
        <w:tc>
          <w:tcPr>
            <w:tcW w:w="1060" w:type="dxa"/>
            <w:tcBorders>
              <w:top w:val="nil"/>
              <w:left w:val="nil"/>
              <w:bottom w:val="nil"/>
              <w:right w:val="single" w:color="auto" w:sz="8" w:space="0"/>
            </w:tcBorders>
            <w:shd w:val="clear" w:color="auto" w:fill="auto"/>
            <w:noWrap/>
            <w:hideMark/>
          </w:tcPr>
          <w:p w:rsidRPr="00AF1055" w:rsidR="003507D2" w:rsidP="004C501E" w:rsidRDefault="003507D2" w14:paraId="27E2AE14" w14:textId="77777777">
            <w:pPr>
              <w:spacing w:line="240" w:lineRule="auto"/>
              <w:jc w:val="right"/>
              <w:rPr>
                <w:rFonts w:eastAsia="Times New Roman" w:cs="Times New Roman"/>
              </w:rPr>
            </w:pPr>
            <w:r w:rsidRPr="003F35F6">
              <w:t xml:space="preserve"> </w:t>
            </w:r>
            <w:r>
              <w:t>1.750</w:t>
            </w:r>
            <w:r w:rsidRPr="003F35F6">
              <w:t xml:space="preserve"> </w:t>
            </w:r>
          </w:p>
        </w:tc>
      </w:tr>
      <w:tr w:rsidRPr="00792A98" w:rsidR="003507D2" w:rsidTr="004C501E" w14:paraId="63BE2B64" w14:textId="77777777">
        <w:trPr>
          <w:trHeight w:val="23"/>
        </w:trPr>
        <w:tc>
          <w:tcPr>
            <w:tcW w:w="4100" w:type="dxa"/>
            <w:tcBorders>
              <w:top w:val="double" w:color="auto" w:sz="6" w:space="0"/>
              <w:left w:val="single" w:color="auto" w:sz="8" w:space="0"/>
              <w:bottom w:val="dotted" w:color="auto" w:sz="4" w:space="0"/>
              <w:right w:val="single" w:color="auto" w:sz="8" w:space="0"/>
            </w:tcBorders>
            <w:shd w:val="clear" w:color="auto" w:fill="auto"/>
            <w:noWrap/>
            <w:vAlign w:val="center"/>
            <w:hideMark/>
          </w:tcPr>
          <w:p w:rsidRPr="00AF1055" w:rsidR="003507D2" w:rsidP="004C501E" w:rsidRDefault="003507D2" w14:paraId="470095E9" w14:textId="77777777">
            <w:pPr>
              <w:spacing w:line="240" w:lineRule="auto"/>
              <w:rPr>
                <w:rFonts w:eastAsia="Times New Roman" w:cs="Times New Roman"/>
                <w:i/>
                <w:iCs/>
              </w:rPr>
            </w:pPr>
            <w:r w:rsidRPr="00AF1055">
              <w:rPr>
                <w:rFonts w:eastAsia="Times New Roman" w:cs="Times New Roman"/>
                <w:i/>
                <w:iCs/>
              </w:rPr>
              <w:t>Variabele kosten gas</w:t>
            </w:r>
          </w:p>
        </w:tc>
        <w:tc>
          <w:tcPr>
            <w:tcW w:w="1060" w:type="dxa"/>
            <w:tcBorders>
              <w:top w:val="double" w:color="auto" w:sz="6" w:space="0"/>
              <w:left w:val="nil"/>
              <w:bottom w:val="dotted" w:color="auto" w:sz="4" w:space="0"/>
              <w:right w:val="single" w:color="auto" w:sz="8" w:space="0"/>
            </w:tcBorders>
            <w:shd w:val="clear" w:color="auto" w:fill="auto"/>
            <w:noWrap/>
            <w:vAlign w:val="center"/>
            <w:hideMark/>
          </w:tcPr>
          <w:p w:rsidRPr="00792A98" w:rsidR="003507D2" w:rsidP="004C501E" w:rsidRDefault="003507D2" w14:paraId="7C83F8A9" w14:textId="77777777">
            <w:pPr>
              <w:spacing w:line="240" w:lineRule="auto"/>
              <w:jc w:val="right"/>
              <w:rPr>
                <w:rFonts w:eastAsia="Times New Roman" w:cs="Times New Roman"/>
                <w:i/>
                <w:iCs/>
              </w:rPr>
            </w:pPr>
            <w:r w:rsidRPr="00792A98">
              <w:rPr>
                <w:rFonts w:eastAsia="Times New Roman" w:cs="Times New Roman"/>
                <w:i/>
                <w:iCs/>
              </w:rPr>
              <w:t>€ 0</w:t>
            </w:r>
          </w:p>
        </w:tc>
        <w:tc>
          <w:tcPr>
            <w:tcW w:w="1060" w:type="dxa"/>
            <w:tcBorders>
              <w:top w:val="double" w:color="auto" w:sz="6" w:space="0"/>
              <w:left w:val="nil"/>
              <w:bottom w:val="dotted" w:color="auto" w:sz="4" w:space="0"/>
              <w:right w:val="single" w:color="auto" w:sz="8" w:space="0"/>
            </w:tcBorders>
            <w:shd w:val="clear" w:color="auto" w:fill="auto"/>
            <w:noWrap/>
            <w:hideMark/>
          </w:tcPr>
          <w:p w:rsidRPr="00F7574B" w:rsidR="003507D2" w:rsidP="004C501E" w:rsidRDefault="003507D2" w14:paraId="6DE7769C" w14:textId="77777777">
            <w:pPr>
              <w:spacing w:line="240" w:lineRule="auto"/>
              <w:jc w:val="right"/>
              <w:rPr>
                <w:rFonts w:eastAsia="Times New Roman" w:cs="Times New Roman"/>
                <w:i/>
                <w:iCs/>
              </w:rPr>
            </w:pPr>
            <w:r w:rsidRPr="008D7B1C">
              <w:rPr>
                <w:i/>
                <w:iCs/>
              </w:rPr>
              <w:t>€ 1.426</w:t>
            </w:r>
          </w:p>
        </w:tc>
      </w:tr>
      <w:tr w:rsidRPr="00EA0AAA" w:rsidR="003507D2" w:rsidTr="004C501E" w14:paraId="2DE357D7" w14:textId="77777777">
        <w:trPr>
          <w:trHeight w:val="74"/>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11938AC0" w14:textId="77777777">
            <w:pPr>
              <w:spacing w:line="240" w:lineRule="auto"/>
              <w:rPr>
                <w:rFonts w:eastAsia="Times New Roman" w:cs="Times New Roman"/>
              </w:rPr>
            </w:pPr>
            <w:r w:rsidRPr="00AF1055">
              <w:rPr>
                <w:rFonts w:eastAsia="Times New Roman" w:cs="Times New Roman"/>
              </w:rPr>
              <w:t xml:space="preserve">Waarvan: </w:t>
            </w:r>
          </w:p>
        </w:tc>
        <w:tc>
          <w:tcPr>
            <w:tcW w:w="1060" w:type="dxa"/>
            <w:tcBorders>
              <w:top w:val="nil"/>
              <w:left w:val="nil"/>
              <w:bottom w:val="nil"/>
              <w:right w:val="single" w:color="auto" w:sz="8" w:space="0"/>
            </w:tcBorders>
            <w:shd w:val="clear" w:color="auto" w:fill="auto"/>
            <w:noWrap/>
            <w:vAlign w:val="bottom"/>
            <w:hideMark/>
          </w:tcPr>
          <w:p w:rsidRPr="00792A98" w:rsidR="003507D2" w:rsidP="004C501E" w:rsidRDefault="003507D2" w14:paraId="643E9F0C" w14:textId="77777777">
            <w:pPr>
              <w:spacing w:line="240" w:lineRule="auto"/>
              <w:rPr>
                <w:rFonts w:eastAsia="Times New Roman" w:cs="Times New Roman"/>
              </w:rPr>
            </w:pPr>
          </w:p>
        </w:tc>
        <w:tc>
          <w:tcPr>
            <w:tcW w:w="1060" w:type="dxa"/>
            <w:tcBorders>
              <w:top w:val="nil"/>
              <w:left w:val="nil"/>
              <w:bottom w:val="nil"/>
              <w:right w:val="single" w:color="auto" w:sz="8" w:space="0"/>
            </w:tcBorders>
            <w:shd w:val="clear" w:color="auto" w:fill="auto"/>
            <w:noWrap/>
            <w:hideMark/>
          </w:tcPr>
          <w:p w:rsidRPr="00EA0AAA" w:rsidR="003507D2" w:rsidP="004C501E" w:rsidRDefault="003507D2" w14:paraId="51686B25" w14:textId="77777777">
            <w:pPr>
              <w:spacing w:line="240" w:lineRule="auto"/>
              <w:rPr>
                <w:rFonts w:eastAsia="Times New Roman" w:cs="Times New Roman"/>
              </w:rPr>
            </w:pPr>
          </w:p>
        </w:tc>
      </w:tr>
      <w:tr w:rsidRPr="00AF1055" w:rsidR="003507D2" w:rsidTr="004C501E" w14:paraId="365398DD" w14:textId="77777777">
        <w:trPr>
          <w:trHeight w:val="6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05AD8E14" w14:textId="77777777">
            <w:pPr>
              <w:spacing w:line="240" w:lineRule="auto"/>
              <w:rPr>
                <w:rFonts w:eastAsia="Times New Roman" w:cs="Times New Roman"/>
              </w:rPr>
            </w:pPr>
            <w:r w:rsidRPr="00AF1055">
              <w:rPr>
                <w:rFonts w:eastAsia="Times New Roman" w:cs="Times New Roman"/>
              </w:rPr>
              <w:t>Leveringskosten</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6E3046DE" w14:textId="77777777">
            <w:pPr>
              <w:spacing w:line="240" w:lineRule="auto"/>
              <w:jc w:val="right"/>
              <w:rPr>
                <w:rFonts w:eastAsia="Times New Roman" w:cs="Times New Roman"/>
              </w:rPr>
            </w:pPr>
            <w:r w:rsidRPr="00792A98">
              <w:rPr>
                <w:rFonts w:eastAsia="Times New Roman" w:cs="Times New Roman"/>
              </w:rPr>
              <w:t>€ 0</w:t>
            </w:r>
          </w:p>
        </w:tc>
        <w:tc>
          <w:tcPr>
            <w:tcW w:w="1060" w:type="dxa"/>
            <w:tcBorders>
              <w:top w:val="nil"/>
              <w:left w:val="nil"/>
              <w:bottom w:val="nil"/>
              <w:right w:val="single" w:color="auto" w:sz="8" w:space="0"/>
            </w:tcBorders>
            <w:shd w:val="clear" w:color="auto" w:fill="auto"/>
            <w:noWrap/>
            <w:hideMark/>
          </w:tcPr>
          <w:p w:rsidRPr="00AF1055" w:rsidR="003507D2" w:rsidP="004C501E" w:rsidRDefault="003507D2" w14:paraId="4D1B95EE" w14:textId="77777777">
            <w:pPr>
              <w:spacing w:line="240" w:lineRule="auto"/>
              <w:jc w:val="right"/>
              <w:rPr>
                <w:rFonts w:eastAsia="Times New Roman" w:cs="Times New Roman"/>
              </w:rPr>
            </w:pPr>
            <w:r w:rsidRPr="003F35F6">
              <w:t>€ 684</w:t>
            </w:r>
          </w:p>
        </w:tc>
      </w:tr>
      <w:tr w:rsidRPr="00AF1055" w:rsidR="003507D2" w:rsidTr="004C501E" w14:paraId="5DF4964E" w14:textId="77777777">
        <w:trPr>
          <w:trHeight w:val="68"/>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3507D2" w:rsidP="004C501E" w:rsidRDefault="003507D2" w14:paraId="401C221D" w14:textId="77777777">
            <w:pPr>
              <w:spacing w:line="240" w:lineRule="auto"/>
              <w:rPr>
                <w:rFonts w:eastAsia="Times New Roman" w:cs="Times New Roman"/>
              </w:rPr>
            </w:pPr>
            <w:r w:rsidRPr="00AF1055">
              <w:rPr>
                <w:rFonts w:eastAsia="Times New Roman" w:cs="Times New Roman"/>
              </w:rPr>
              <w:t>Energiebelasting gas</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3507D2" w:rsidP="004C501E" w:rsidRDefault="003507D2" w14:paraId="1255857C" w14:textId="77777777">
            <w:pPr>
              <w:spacing w:line="240" w:lineRule="auto"/>
              <w:jc w:val="right"/>
              <w:rPr>
                <w:rFonts w:eastAsia="Times New Roman" w:cs="Times New Roman"/>
              </w:rPr>
            </w:pPr>
            <w:r w:rsidRPr="00792A98">
              <w:rPr>
                <w:rFonts w:eastAsia="Times New Roman" w:cs="Times New Roman"/>
              </w:rPr>
              <w:t>€ 0</w:t>
            </w:r>
          </w:p>
        </w:tc>
        <w:tc>
          <w:tcPr>
            <w:tcW w:w="1060"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75EE9C71" w14:textId="77777777">
            <w:pPr>
              <w:spacing w:line="240" w:lineRule="auto"/>
              <w:jc w:val="right"/>
              <w:rPr>
                <w:rFonts w:eastAsia="Times New Roman" w:cs="Times New Roman"/>
              </w:rPr>
            </w:pPr>
            <w:r w:rsidRPr="003F35F6">
              <w:t>€ 742</w:t>
            </w:r>
          </w:p>
        </w:tc>
      </w:tr>
      <w:tr w:rsidRPr="00AF1055" w:rsidR="003507D2" w:rsidTr="004C501E" w14:paraId="2DF2FF9D" w14:textId="77777777">
        <w:trPr>
          <w:trHeight w:val="23"/>
        </w:trPr>
        <w:tc>
          <w:tcPr>
            <w:tcW w:w="4100" w:type="dxa"/>
            <w:tcBorders>
              <w:top w:val="nil"/>
              <w:left w:val="single" w:color="auto" w:sz="8" w:space="0"/>
              <w:bottom w:val="dotted" w:color="auto" w:sz="4" w:space="0"/>
              <w:right w:val="single" w:color="auto" w:sz="8" w:space="0"/>
            </w:tcBorders>
            <w:shd w:val="clear" w:color="auto" w:fill="auto"/>
            <w:noWrap/>
            <w:vAlign w:val="center"/>
            <w:hideMark/>
          </w:tcPr>
          <w:p w:rsidRPr="00AF1055" w:rsidR="003507D2" w:rsidP="004C501E" w:rsidRDefault="003507D2" w14:paraId="0B3726E6" w14:textId="77777777">
            <w:pPr>
              <w:spacing w:line="240" w:lineRule="auto"/>
              <w:rPr>
                <w:rFonts w:eastAsia="Times New Roman" w:cs="Times New Roman"/>
                <w:i/>
                <w:iCs/>
              </w:rPr>
            </w:pPr>
            <w:r w:rsidRPr="00AF1055">
              <w:rPr>
                <w:rFonts w:eastAsia="Times New Roman" w:cs="Times New Roman"/>
                <w:i/>
                <w:iCs/>
              </w:rPr>
              <w:t>Variabele kosten elektra</w:t>
            </w:r>
          </w:p>
        </w:tc>
        <w:tc>
          <w:tcPr>
            <w:tcW w:w="1060" w:type="dxa"/>
            <w:tcBorders>
              <w:top w:val="nil"/>
              <w:left w:val="nil"/>
              <w:bottom w:val="dotted" w:color="auto" w:sz="4" w:space="0"/>
              <w:right w:val="single" w:color="auto" w:sz="8" w:space="0"/>
            </w:tcBorders>
            <w:shd w:val="clear" w:color="auto" w:fill="auto"/>
            <w:noWrap/>
            <w:vAlign w:val="center"/>
            <w:hideMark/>
          </w:tcPr>
          <w:p w:rsidRPr="00792A98" w:rsidR="003507D2" w:rsidP="004C501E" w:rsidRDefault="003507D2" w14:paraId="5DDC02FF" w14:textId="77777777">
            <w:pPr>
              <w:spacing w:line="240" w:lineRule="auto"/>
              <w:jc w:val="right"/>
              <w:rPr>
                <w:rFonts w:eastAsia="Times New Roman" w:cs="Times New Roman"/>
                <w:i/>
                <w:iCs/>
              </w:rPr>
            </w:pPr>
            <w:r w:rsidRPr="00792A98">
              <w:rPr>
                <w:rFonts w:eastAsia="Times New Roman" w:cs="Times New Roman"/>
                <w:i/>
                <w:iCs/>
              </w:rPr>
              <w:t>€ 1.038</w:t>
            </w:r>
          </w:p>
        </w:tc>
        <w:tc>
          <w:tcPr>
            <w:tcW w:w="1060" w:type="dxa"/>
            <w:tcBorders>
              <w:top w:val="nil"/>
              <w:left w:val="nil"/>
              <w:bottom w:val="dotted" w:color="auto" w:sz="4" w:space="0"/>
              <w:right w:val="single" w:color="auto" w:sz="8" w:space="0"/>
            </w:tcBorders>
            <w:shd w:val="clear" w:color="auto" w:fill="auto"/>
            <w:noWrap/>
            <w:hideMark/>
          </w:tcPr>
          <w:p w:rsidRPr="00F7574B" w:rsidR="003507D2" w:rsidP="004C501E" w:rsidRDefault="003507D2" w14:paraId="5C6BC860" w14:textId="77777777">
            <w:pPr>
              <w:spacing w:line="240" w:lineRule="auto"/>
              <w:jc w:val="right"/>
              <w:rPr>
                <w:rFonts w:eastAsia="Times New Roman" w:cs="Times New Roman"/>
                <w:i/>
                <w:iCs/>
              </w:rPr>
            </w:pPr>
            <w:r w:rsidRPr="00C7177F">
              <w:t>€ 492</w:t>
            </w:r>
          </w:p>
        </w:tc>
      </w:tr>
      <w:tr w:rsidRPr="00AF1055" w:rsidR="003507D2" w:rsidTr="004C501E" w14:paraId="4394AE92" w14:textId="77777777">
        <w:trPr>
          <w:trHeight w:val="5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5E4503B9" w14:textId="77777777">
            <w:pPr>
              <w:spacing w:line="240" w:lineRule="auto"/>
              <w:rPr>
                <w:rFonts w:eastAsia="Times New Roman" w:cs="Times New Roman"/>
              </w:rPr>
            </w:pPr>
            <w:r w:rsidRPr="00AF1055">
              <w:rPr>
                <w:rFonts w:eastAsia="Times New Roman" w:cs="Times New Roman"/>
              </w:rPr>
              <w:t>Waarvan:</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18ACBA4F" w14:textId="77777777">
            <w:pPr>
              <w:spacing w:line="240" w:lineRule="auto"/>
              <w:jc w:val="right"/>
              <w:rPr>
                <w:rFonts w:eastAsia="Times New Roman" w:cs="Times New Roman"/>
              </w:rPr>
            </w:pPr>
            <w:r w:rsidRPr="00792A98">
              <w:rPr>
                <w:rFonts w:eastAsia="Times New Roman" w:cs="Times New Roman"/>
              </w:rPr>
              <w:t> </w:t>
            </w:r>
          </w:p>
        </w:tc>
        <w:tc>
          <w:tcPr>
            <w:tcW w:w="1060" w:type="dxa"/>
            <w:tcBorders>
              <w:top w:val="nil"/>
              <w:left w:val="nil"/>
              <w:bottom w:val="nil"/>
              <w:right w:val="single" w:color="auto" w:sz="8" w:space="0"/>
            </w:tcBorders>
            <w:shd w:val="clear" w:color="auto" w:fill="auto"/>
            <w:noWrap/>
            <w:hideMark/>
          </w:tcPr>
          <w:p w:rsidRPr="00AF1055" w:rsidR="003507D2" w:rsidP="004C501E" w:rsidRDefault="003507D2" w14:paraId="357423F8" w14:textId="77777777">
            <w:pPr>
              <w:spacing w:line="240" w:lineRule="auto"/>
              <w:jc w:val="right"/>
              <w:rPr>
                <w:rFonts w:eastAsia="Times New Roman" w:cs="Times New Roman"/>
              </w:rPr>
            </w:pPr>
          </w:p>
        </w:tc>
      </w:tr>
      <w:tr w:rsidRPr="00AF1055" w:rsidR="003507D2" w:rsidTr="004C501E" w14:paraId="1BAC44F0" w14:textId="77777777">
        <w:trPr>
          <w:trHeight w:val="6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39F9E9D6" w14:textId="77777777">
            <w:pPr>
              <w:spacing w:line="240" w:lineRule="auto"/>
              <w:rPr>
                <w:rFonts w:eastAsia="Times New Roman" w:cs="Times New Roman"/>
              </w:rPr>
            </w:pPr>
            <w:r w:rsidRPr="00AF1055">
              <w:rPr>
                <w:rFonts w:eastAsia="Times New Roman" w:cs="Times New Roman"/>
              </w:rPr>
              <w:t>Leveringskosten</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438C8591" w14:textId="77777777">
            <w:pPr>
              <w:spacing w:line="240" w:lineRule="auto"/>
              <w:jc w:val="right"/>
              <w:rPr>
                <w:rFonts w:eastAsia="Times New Roman" w:cs="Times New Roman"/>
              </w:rPr>
            </w:pPr>
            <w:r w:rsidRPr="00792A98">
              <w:rPr>
                <w:rFonts w:eastAsia="Times New Roman" w:cs="Times New Roman"/>
              </w:rPr>
              <w:t>€ 584</w:t>
            </w:r>
          </w:p>
        </w:tc>
        <w:tc>
          <w:tcPr>
            <w:tcW w:w="1060" w:type="dxa"/>
            <w:tcBorders>
              <w:top w:val="nil"/>
              <w:left w:val="nil"/>
              <w:bottom w:val="nil"/>
              <w:right w:val="single" w:color="auto" w:sz="8" w:space="0"/>
            </w:tcBorders>
            <w:shd w:val="clear" w:color="auto" w:fill="auto"/>
            <w:noWrap/>
            <w:hideMark/>
          </w:tcPr>
          <w:p w:rsidRPr="00AF1055" w:rsidR="003507D2" w:rsidP="004C501E" w:rsidRDefault="003507D2" w14:paraId="00ECE8D1" w14:textId="77777777">
            <w:pPr>
              <w:spacing w:line="240" w:lineRule="auto"/>
              <w:jc w:val="right"/>
              <w:rPr>
                <w:rFonts w:eastAsia="Times New Roman" w:cs="Times New Roman"/>
              </w:rPr>
            </w:pPr>
            <w:r w:rsidRPr="00C7177F">
              <w:t>€ 277</w:t>
            </w:r>
          </w:p>
        </w:tc>
      </w:tr>
      <w:tr w:rsidRPr="00EA0AAA" w:rsidR="003507D2" w:rsidTr="004C501E" w14:paraId="45BBEE5F" w14:textId="77777777">
        <w:trPr>
          <w:trHeight w:val="131"/>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3507D2" w:rsidP="004C501E" w:rsidRDefault="003507D2" w14:paraId="3ADD68B5" w14:textId="77777777">
            <w:pPr>
              <w:spacing w:line="240" w:lineRule="auto"/>
              <w:rPr>
                <w:rFonts w:eastAsia="Times New Roman" w:cs="Times New Roman"/>
              </w:rPr>
            </w:pPr>
            <w:r w:rsidRPr="00AF1055">
              <w:rPr>
                <w:rFonts w:eastAsia="Times New Roman" w:cs="Times New Roman"/>
              </w:rPr>
              <w:t>Energiebelasting elektriciteit</w:t>
            </w:r>
          </w:p>
        </w:tc>
        <w:tc>
          <w:tcPr>
            <w:tcW w:w="1060" w:type="dxa"/>
            <w:tcBorders>
              <w:top w:val="nil"/>
              <w:left w:val="nil"/>
              <w:bottom w:val="double" w:color="auto" w:sz="6" w:space="0"/>
              <w:right w:val="single" w:color="auto" w:sz="8" w:space="0"/>
            </w:tcBorders>
            <w:shd w:val="clear" w:color="auto" w:fill="auto"/>
            <w:noWrap/>
            <w:vAlign w:val="bottom"/>
            <w:hideMark/>
          </w:tcPr>
          <w:p w:rsidRPr="00792A98" w:rsidR="003507D2" w:rsidP="004C501E" w:rsidRDefault="003507D2" w14:paraId="5B06AB9A" w14:textId="77777777">
            <w:pPr>
              <w:spacing w:line="240" w:lineRule="auto"/>
              <w:jc w:val="right"/>
              <w:rPr>
                <w:rFonts w:eastAsia="Times New Roman" w:cs="Times New Roman"/>
              </w:rPr>
            </w:pPr>
            <w:r w:rsidRPr="00792A98">
              <w:rPr>
                <w:rFonts w:eastAsia="Times New Roman" w:cs="Times New Roman"/>
              </w:rPr>
              <w:t>€ 453</w:t>
            </w:r>
          </w:p>
        </w:tc>
        <w:tc>
          <w:tcPr>
            <w:tcW w:w="1060" w:type="dxa"/>
            <w:tcBorders>
              <w:top w:val="nil"/>
              <w:left w:val="nil"/>
              <w:bottom w:val="double" w:color="auto" w:sz="6" w:space="0"/>
              <w:right w:val="single" w:color="auto" w:sz="8" w:space="0"/>
            </w:tcBorders>
            <w:shd w:val="clear" w:color="auto" w:fill="auto"/>
            <w:noWrap/>
            <w:hideMark/>
          </w:tcPr>
          <w:p w:rsidRPr="00EA0AAA" w:rsidR="003507D2" w:rsidP="004C501E" w:rsidRDefault="003507D2" w14:paraId="29F20BD0" w14:textId="77777777">
            <w:pPr>
              <w:spacing w:line="240" w:lineRule="auto"/>
              <w:jc w:val="right"/>
              <w:rPr>
                <w:rFonts w:eastAsia="Times New Roman" w:cs="Times New Roman"/>
              </w:rPr>
            </w:pPr>
            <w:r w:rsidRPr="00C7177F">
              <w:t>€ 215</w:t>
            </w:r>
          </w:p>
        </w:tc>
      </w:tr>
      <w:tr w:rsidRPr="00792A98" w:rsidR="003507D2" w:rsidTr="004C501E" w14:paraId="0042014F" w14:textId="77777777">
        <w:trPr>
          <w:trHeight w:val="147"/>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3507D2" w:rsidP="004C501E" w:rsidRDefault="003507D2" w14:paraId="55B49B1C" w14:textId="77777777">
            <w:pPr>
              <w:spacing w:line="240" w:lineRule="auto"/>
              <w:rPr>
                <w:rFonts w:eastAsia="Times New Roman" w:cs="Times New Roman"/>
                <w:b/>
                <w:bCs/>
              </w:rPr>
            </w:pPr>
            <w:r w:rsidRPr="00AF1055">
              <w:rPr>
                <w:rFonts w:eastAsia="Times New Roman" w:cs="Times New Roman"/>
                <w:b/>
                <w:bCs/>
              </w:rPr>
              <w:t>Totaal variabel (G+E)</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3507D2" w:rsidP="004C501E" w:rsidRDefault="003507D2" w14:paraId="0CAF70E5" w14:textId="77777777">
            <w:pPr>
              <w:spacing w:line="240" w:lineRule="auto"/>
              <w:jc w:val="right"/>
              <w:rPr>
                <w:rFonts w:eastAsia="Times New Roman" w:cs="Times New Roman"/>
                <w:b/>
                <w:bCs/>
              </w:rPr>
            </w:pPr>
            <w:r w:rsidRPr="00792A98">
              <w:rPr>
                <w:rFonts w:eastAsia="Times New Roman" w:cs="Times New Roman"/>
                <w:b/>
                <w:bCs/>
              </w:rPr>
              <w:t>€ 1.038</w:t>
            </w:r>
          </w:p>
        </w:tc>
        <w:tc>
          <w:tcPr>
            <w:tcW w:w="1060" w:type="dxa"/>
            <w:tcBorders>
              <w:top w:val="nil"/>
              <w:left w:val="nil"/>
              <w:bottom w:val="double" w:color="auto" w:sz="6" w:space="0"/>
              <w:right w:val="single" w:color="auto" w:sz="8" w:space="0"/>
            </w:tcBorders>
            <w:shd w:val="clear" w:color="auto" w:fill="auto"/>
            <w:noWrap/>
            <w:hideMark/>
          </w:tcPr>
          <w:p w:rsidRPr="00F7574B" w:rsidR="003507D2" w:rsidP="004C501E" w:rsidRDefault="003507D2" w14:paraId="418AAE00" w14:textId="77777777">
            <w:pPr>
              <w:spacing w:line="240" w:lineRule="auto"/>
              <w:jc w:val="right"/>
              <w:rPr>
                <w:rFonts w:eastAsia="Times New Roman" w:cs="Times New Roman"/>
                <w:b/>
                <w:bCs/>
              </w:rPr>
            </w:pPr>
            <w:r w:rsidRPr="00792A98">
              <w:rPr>
                <w:b/>
                <w:bCs/>
              </w:rPr>
              <w:t>€ 2.089</w:t>
            </w:r>
          </w:p>
        </w:tc>
      </w:tr>
      <w:tr w:rsidRPr="00AF1055" w:rsidR="003507D2" w:rsidTr="004C501E" w14:paraId="754A4FAD" w14:textId="77777777">
        <w:trPr>
          <w:trHeight w:val="164"/>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7F38D5DD" w14:textId="77777777">
            <w:pPr>
              <w:spacing w:line="240" w:lineRule="auto"/>
              <w:rPr>
                <w:rFonts w:eastAsia="Times New Roman" w:cs="Times New Roman"/>
              </w:rPr>
            </w:pPr>
            <w:r w:rsidRPr="00AF1055">
              <w:rPr>
                <w:rFonts w:eastAsia="Times New Roman" w:cs="Times New Roman"/>
              </w:rPr>
              <w:t>Netbeheerkosten gas</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427178E5" w14:textId="77777777">
            <w:pPr>
              <w:spacing w:line="240" w:lineRule="auto"/>
              <w:jc w:val="right"/>
              <w:rPr>
                <w:rFonts w:eastAsia="Times New Roman" w:cs="Times New Roman"/>
              </w:rPr>
            </w:pPr>
            <w:r w:rsidRPr="00792A98">
              <w:rPr>
                <w:rFonts w:eastAsia="Times New Roman" w:cs="Times New Roman"/>
              </w:rPr>
              <w:t>€ 0</w:t>
            </w:r>
          </w:p>
        </w:tc>
        <w:tc>
          <w:tcPr>
            <w:tcW w:w="1060" w:type="dxa"/>
            <w:tcBorders>
              <w:top w:val="nil"/>
              <w:left w:val="nil"/>
              <w:bottom w:val="nil"/>
              <w:right w:val="single" w:color="auto" w:sz="8" w:space="0"/>
            </w:tcBorders>
            <w:shd w:val="clear" w:color="auto" w:fill="auto"/>
            <w:noWrap/>
            <w:hideMark/>
          </w:tcPr>
          <w:p w:rsidRPr="00AF1055" w:rsidR="003507D2" w:rsidP="004C501E" w:rsidRDefault="003507D2" w14:paraId="1637C9ED" w14:textId="77777777">
            <w:pPr>
              <w:spacing w:line="240" w:lineRule="auto"/>
              <w:jc w:val="right"/>
              <w:rPr>
                <w:rFonts w:eastAsia="Times New Roman" w:cs="Times New Roman"/>
              </w:rPr>
            </w:pPr>
            <w:r w:rsidRPr="003F35F6">
              <w:t>€ 248</w:t>
            </w:r>
          </w:p>
        </w:tc>
      </w:tr>
      <w:tr w:rsidRPr="00AF1055" w:rsidR="003507D2" w:rsidTr="004C501E" w14:paraId="6CABD8B1" w14:textId="77777777">
        <w:trPr>
          <w:trHeight w:val="85"/>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3507D2" w:rsidP="004C501E" w:rsidRDefault="003507D2" w14:paraId="3EDFA419" w14:textId="77777777">
            <w:pPr>
              <w:spacing w:line="240" w:lineRule="auto"/>
              <w:rPr>
                <w:rFonts w:eastAsia="Times New Roman" w:cs="Times New Roman"/>
              </w:rPr>
            </w:pPr>
            <w:r w:rsidRPr="00AF1055">
              <w:rPr>
                <w:rFonts w:eastAsia="Times New Roman" w:cs="Times New Roman"/>
              </w:rPr>
              <w:t>Leveringskosten gas</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3507D2" w:rsidP="004C501E" w:rsidRDefault="003507D2" w14:paraId="24A71D7D" w14:textId="77777777">
            <w:pPr>
              <w:spacing w:line="240" w:lineRule="auto"/>
              <w:jc w:val="right"/>
              <w:rPr>
                <w:rFonts w:eastAsia="Times New Roman" w:cs="Times New Roman"/>
              </w:rPr>
            </w:pPr>
            <w:r w:rsidRPr="00792A98">
              <w:rPr>
                <w:rFonts w:eastAsia="Times New Roman" w:cs="Times New Roman"/>
              </w:rPr>
              <w:t>€ 0</w:t>
            </w:r>
          </w:p>
        </w:tc>
        <w:tc>
          <w:tcPr>
            <w:tcW w:w="1060"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3A23060C" w14:textId="77777777">
            <w:pPr>
              <w:spacing w:line="240" w:lineRule="auto"/>
              <w:jc w:val="right"/>
              <w:rPr>
                <w:rFonts w:eastAsia="Times New Roman" w:cs="Times New Roman"/>
              </w:rPr>
            </w:pPr>
            <w:r w:rsidRPr="003F35F6">
              <w:t>€ 88</w:t>
            </w:r>
          </w:p>
        </w:tc>
      </w:tr>
      <w:tr w:rsidRPr="00AF1055" w:rsidR="003507D2" w:rsidTr="004C501E" w14:paraId="4D1C5F41" w14:textId="77777777">
        <w:trPr>
          <w:trHeight w:val="23"/>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17A4F271" w14:textId="77777777">
            <w:pPr>
              <w:spacing w:line="240" w:lineRule="auto"/>
              <w:rPr>
                <w:rFonts w:eastAsia="Times New Roman" w:cs="Times New Roman"/>
              </w:rPr>
            </w:pPr>
            <w:r w:rsidRPr="00AF1055">
              <w:rPr>
                <w:rFonts w:eastAsia="Times New Roman" w:cs="Times New Roman"/>
              </w:rPr>
              <w:t>Netbeheerkosten elektriciteit</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2DF5A182" w14:textId="77777777">
            <w:pPr>
              <w:spacing w:line="240" w:lineRule="auto"/>
              <w:jc w:val="right"/>
              <w:rPr>
                <w:rFonts w:eastAsia="Times New Roman" w:cs="Times New Roman"/>
              </w:rPr>
            </w:pPr>
            <w:r w:rsidRPr="00792A98">
              <w:rPr>
                <w:rFonts w:eastAsia="Times New Roman" w:cs="Times New Roman"/>
              </w:rPr>
              <w:t>€ 467</w:t>
            </w:r>
          </w:p>
        </w:tc>
        <w:tc>
          <w:tcPr>
            <w:tcW w:w="1060" w:type="dxa"/>
            <w:tcBorders>
              <w:top w:val="nil"/>
              <w:left w:val="nil"/>
              <w:bottom w:val="nil"/>
              <w:right w:val="single" w:color="auto" w:sz="8" w:space="0"/>
            </w:tcBorders>
            <w:shd w:val="clear" w:color="auto" w:fill="auto"/>
            <w:noWrap/>
            <w:hideMark/>
          </w:tcPr>
          <w:p w:rsidRPr="00AF1055" w:rsidR="003507D2" w:rsidP="004C501E" w:rsidRDefault="003507D2" w14:paraId="4341C481" w14:textId="77777777">
            <w:pPr>
              <w:spacing w:line="240" w:lineRule="auto"/>
              <w:jc w:val="right"/>
              <w:rPr>
                <w:rFonts w:eastAsia="Times New Roman" w:cs="Times New Roman"/>
              </w:rPr>
            </w:pPr>
            <w:r w:rsidRPr="00212DB5">
              <w:t>€ 467</w:t>
            </w:r>
          </w:p>
        </w:tc>
      </w:tr>
      <w:tr w:rsidRPr="00AF1055" w:rsidR="003507D2" w:rsidTr="004C501E" w14:paraId="5FD09CAD" w14:textId="77777777">
        <w:trPr>
          <w:trHeight w:val="68"/>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547F2B03" w14:textId="77777777">
            <w:pPr>
              <w:spacing w:line="240" w:lineRule="auto"/>
              <w:rPr>
                <w:rFonts w:eastAsia="Times New Roman" w:cs="Times New Roman"/>
              </w:rPr>
            </w:pPr>
            <w:r w:rsidRPr="00AF1055">
              <w:rPr>
                <w:rFonts w:eastAsia="Times New Roman" w:cs="Times New Roman"/>
              </w:rPr>
              <w:t>Leveringskosten elektriciteit</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3507D2" w:rsidP="004C501E" w:rsidRDefault="003507D2" w14:paraId="2DA1E93C" w14:textId="77777777">
            <w:pPr>
              <w:spacing w:line="240" w:lineRule="auto"/>
              <w:jc w:val="right"/>
              <w:rPr>
                <w:rFonts w:eastAsia="Times New Roman" w:cs="Times New Roman"/>
              </w:rPr>
            </w:pPr>
            <w:r w:rsidRPr="00792A98">
              <w:rPr>
                <w:rFonts w:eastAsia="Times New Roman" w:cs="Times New Roman"/>
              </w:rPr>
              <w:t>€ 106</w:t>
            </w:r>
          </w:p>
        </w:tc>
        <w:tc>
          <w:tcPr>
            <w:tcW w:w="1060"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377D5FCA" w14:textId="77777777">
            <w:pPr>
              <w:spacing w:line="240" w:lineRule="auto"/>
              <w:jc w:val="right"/>
              <w:rPr>
                <w:rFonts w:eastAsia="Times New Roman" w:cs="Times New Roman"/>
              </w:rPr>
            </w:pPr>
            <w:r w:rsidRPr="00212DB5">
              <w:t>€ 106</w:t>
            </w:r>
          </w:p>
        </w:tc>
      </w:tr>
      <w:tr w:rsidRPr="00792A98" w:rsidR="003507D2" w:rsidTr="004C501E" w14:paraId="1C0F6CEE" w14:textId="77777777">
        <w:trPr>
          <w:trHeight w:val="50"/>
        </w:trPr>
        <w:tc>
          <w:tcPr>
            <w:tcW w:w="4100" w:type="dxa"/>
            <w:tcBorders>
              <w:top w:val="double" w:color="auto" w:sz="6" w:space="0"/>
              <w:left w:val="single" w:color="auto" w:sz="8" w:space="0"/>
              <w:bottom w:val="double" w:color="auto" w:sz="6" w:space="0"/>
              <w:right w:val="single" w:color="auto" w:sz="8" w:space="0"/>
            </w:tcBorders>
            <w:shd w:val="clear" w:color="auto" w:fill="auto"/>
            <w:noWrap/>
            <w:vAlign w:val="center"/>
            <w:hideMark/>
          </w:tcPr>
          <w:p w:rsidRPr="00AF1055" w:rsidR="003507D2" w:rsidP="004C501E" w:rsidRDefault="003507D2" w14:paraId="61177FF3" w14:textId="77777777">
            <w:pPr>
              <w:spacing w:line="240" w:lineRule="auto"/>
              <w:rPr>
                <w:rFonts w:eastAsia="Times New Roman" w:cs="Times New Roman"/>
                <w:b/>
                <w:bCs/>
              </w:rPr>
            </w:pPr>
            <w:r w:rsidRPr="00AF1055">
              <w:rPr>
                <w:rFonts w:eastAsia="Times New Roman" w:cs="Times New Roman"/>
                <w:b/>
                <w:bCs/>
              </w:rPr>
              <w:t xml:space="preserve">Totaal vast </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3507D2" w:rsidP="004C501E" w:rsidRDefault="003507D2" w14:paraId="5D9464B8" w14:textId="77777777">
            <w:pPr>
              <w:spacing w:line="240" w:lineRule="auto"/>
              <w:jc w:val="right"/>
              <w:rPr>
                <w:rFonts w:eastAsia="Times New Roman" w:cs="Times New Roman"/>
                <w:b/>
                <w:bCs/>
              </w:rPr>
            </w:pPr>
            <w:r w:rsidRPr="00792A98">
              <w:rPr>
                <w:rFonts w:eastAsia="Times New Roman" w:cs="Times New Roman"/>
                <w:b/>
                <w:bCs/>
              </w:rPr>
              <w:t>€ 573</w:t>
            </w:r>
          </w:p>
        </w:tc>
        <w:tc>
          <w:tcPr>
            <w:tcW w:w="1060"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20E8BFB6" w14:textId="77777777">
            <w:pPr>
              <w:spacing w:line="240" w:lineRule="auto"/>
              <w:jc w:val="right"/>
              <w:rPr>
                <w:rFonts w:eastAsia="Times New Roman" w:cs="Times New Roman"/>
                <w:b/>
                <w:bCs/>
              </w:rPr>
            </w:pPr>
            <w:r w:rsidRPr="00960586">
              <w:rPr>
                <w:b/>
                <w:bCs/>
              </w:rPr>
              <w:t>€ 909</w:t>
            </w:r>
          </w:p>
        </w:tc>
      </w:tr>
      <w:tr w:rsidRPr="00AF1055" w:rsidR="003507D2" w:rsidTr="004C501E" w14:paraId="7B17753B" w14:textId="77777777">
        <w:trPr>
          <w:trHeight w:val="23"/>
        </w:trPr>
        <w:tc>
          <w:tcPr>
            <w:tcW w:w="4100" w:type="dxa"/>
            <w:tcBorders>
              <w:top w:val="nil"/>
              <w:left w:val="single" w:color="auto" w:sz="8" w:space="0"/>
              <w:bottom w:val="double" w:color="auto" w:sz="6" w:space="0"/>
              <w:right w:val="single" w:color="auto" w:sz="8" w:space="0"/>
            </w:tcBorders>
            <w:shd w:val="clear" w:color="auto" w:fill="auto"/>
            <w:noWrap/>
            <w:vAlign w:val="center"/>
            <w:hideMark/>
          </w:tcPr>
          <w:p w:rsidRPr="00AF1055" w:rsidR="003507D2" w:rsidP="004C501E" w:rsidRDefault="003507D2" w14:paraId="16D2A8B3" w14:textId="77777777">
            <w:pPr>
              <w:spacing w:line="240" w:lineRule="auto"/>
              <w:rPr>
                <w:rFonts w:eastAsia="Times New Roman" w:cs="Times New Roman"/>
              </w:rPr>
            </w:pPr>
            <w:r w:rsidRPr="00AF1055">
              <w:rPr>
                <w:rFonts w:eastAsia="Times New Roman" w:cs="Times New Roman"/>
              </w:rPr>
              <w:lastRenderedPageBreak/>
              <w:t>Belastingvermindering</w:t>
            </w:r>
          </w:p>
        </w:tc>
        <w:tc>
          <w:tcPr>
            <w:tcW w:w="1060" w:type="dxa"/>
            <w:tcBorders>
              <w:top w:val="nil"/>
              <w:left w:val="nil"/>
              <w:bottom w:val="double" w:color="auto" w:sz="6" w:space="0"/>
              <w:right w:val="single" w:color="auto" w:sz="8" w:space="0"/>
            </w:tcBorders>
            <w:shd w:val="clear" w:color="auto" w:fill="auto"/>
            <w:noWrap/>
            <w:vAlign w:val="center"/>
            <w:hideMark/>
          </w:tcPr>
          <w:p w:rsidRPr="00792A98" w:rsidR="003507D2" w:rsidP="004C501E" w:rsidRDefault="003507D2" w14:paraId="2A9EA462" w14:textId="77777777">
            <w:pPr>
              <w:spacing w:line="240" w:lineRule="auto"/>
              <w:jc w:val="right"/>
              <w:rPr>
                <w:rFonts w:eastAsia="Times New Roman" w:cs="Times New Roman"/>
                <w:color w:val="000000" w:themeColor="text1"/>
              </w:rPr>
            </w:pPr>
            <w:r w:rsidRPr="00792A98">
              <w:rPr>
                <w:rFonts w:eastAsia="Times New Roman" w:cs="Times New Roman"/>
                <w:color w:val="000000" w:themeColor="text1"/>
              </w:rPr>
              <w:t>€ -635</w:t>
            </w:r>
          </w:p>
        </w:tc>
        <w:tc>
          <w:tcPr>
            <w:tcW w:w="1060" w:type="dxa"/>
            <w:tcBorders>
              <w:top w:val="nil"/>
              <w:left w:val="nil"/>
              <w:bottom w:val="double" w:color="auto" w:sz="6" w:space="0"/>
              <w:right w:val="single" w:color="auto" w:sz="8" w:space="0"/>
            </w:tcBorders>
            <w:shd w:val="clear" w:color="auto" w:fill="auto"/>
            <w:noWrap/>
            <w:hideMark/>
          </w:tcPr>
          <w:p w:rsidRPr="00792A98" w:rsidR="003507D2" w:rsidP="004C501E" w:rsidRDefault="003507D2" w14:paraId="231516C6" w14:textId="77777777">
            <w:pPr>
              <w:spacing w:line="240" w:lineRule="auto"/>
              <w:jc w:val="right"/>
              <w:rPr>
                <w:rFonts w:eastAsia="Times New Roman" w:cs="Times New Roman"/>
                <w:color w:val="000000" w:themeColor="text1"/>
              </w:rPr>
            </w:pPr>
            <w:r w:rsidRPr="00212DB5">
              <w:t>€ -635</w:t>
            </w:r>
          </w:p>
        </w:tc>
      </w:tr>
      <w:tr w:rsidRPr="00AF1055" w:rsidR="003507D2" w:rsidTr="004C501E" w14:paraId="61C7F018" w14:textId="77777777">
        <w:trPr>
          <w:trHeight w:val="23"/>
        </w:trPr>
        <w:tc>
          <w:tcPr>
            <w:tcW w:w="4100" w:type="dxa"/>
            <w:tcBorders>
              <w:top w:val="nil"/>
              <w:left w:val="single" w:color="auto" w:sz="8" w:space="0"/>
              <w:bottom w:val="nil"/>
              <w:right w:val="single" w:color="auto" w:sz="8" w:space="0"/>
            </w:tcBorders>
            <w:shd w:val="clear" w:color="auto" w:fill="auto"/>
            <w:noWrap/>
            <w:vAlign w:val="center"/>
            <w:hideMark/>
          </w:tcPr>
          <w:p w:rsidRPr="00AF1055" w:rsidR="003507D2" w:rsidP="004C501E" w:rsidRDefault="003507D2" w14:paraId="4DF94754" w14:textId="77777777">
            <w:pPr>
              <w:spacing w:line="240" w:lineRule="auto"/>
              <w:rPr>
                <w:rFonts w:eastAsia="Times New Roman" w:cs="Times New Roman"/>
                <w:b/>
                <w:bCs/>
              </w:rPr>
            </w:pPr>
            <w:r w:rsidRPr="00AF1055">
              <w:rPr>
                <w:rFonts w:eastAsia="Times New Roman" w:cs="Times New Roman"/>
                <w:b/>
                <w:bCs/>
              </w:rPr>
              <w:t>Totaal</w:t>
            </w:r>
          </w:p>
        </w:tc>
        <w:tc>
          <w:tcPr>
            <w:tcW w:w="1060" w:type="dxa"/>
            <w:tcBorders>
              <w:top w:val="nil"/>
              <w:left w:val="nil"/>
              <w:bottom w:val="nil"/>
              <w:right w:val="single" w:color="auto" w:sz="8" w:space="0"/>
            </w:tcBorders>
            <w:shd w:val="clear" w:color="auto" w:fill="auto"/>
            <w:noWrap/>
            <w:vAlign w:val="center"/>
            <w:hideMark/>
          </w:tcPr>
          <w:p w:rsidRPr="00792A98" w:rsidR="003507D2" w:rsidP="004C501E" w:rsidRDefault="003507D2" w14:paraId="6F3234C2" w14:textId="77777777">
            <w:pPr>
              <w:spacing w:line="240" w:lineRule="auto"/>
              <w:jc w:val="right"/>
              <w:rPr>
                <w:rFonts w:eastAsia="Times New Roman" w:cs="Times New Roman"/>
                <w:b/>
                <w:bCs/>
              </w:rPr>
            </w:pPr>
            <w:r w:rsidRPr="00792A98">
              <w:rPr>
                <w:rFonts w:eastAsia="Times New Roman" w:cs="Times New Roman"/>
                <w:b/>
                <w:bCs/>
              </w:rPr>
              <w:t>€ 976</w:t>
            </w:r>
          </w:p>
        </w:tc>
        <w:tc>
          <w:tcPr>
            <w:tcW w:w="1060" w:type="dxa"/>
            <w:tcBorders>
              <w:top w:val="nil"/>
              <w:left w:val="nil"/>
              <w:bottom w:val="nil"/>
              <w:right w:val="single" w:color="auto" w:sz="8" w:space="0"/>
            </w:tcBorders>
            <w:shd w:val="clear" w:color="auto" w:fill="auto"/>
            <w:noWrap/>
            <w:hideMark/>
          </w:tcPr>
          <w:p w:rsidRPr="008D7B1C" w:rsidR="003507D2" w:rsidP="004C501E" w:rsidRDefault="003507D2" w14:paraId="741EEF1C" w14:textId="77777777">
            <w:pPr>
              <w:spacing w:line="240" w:lineRule="auto"/>
              <w:jc w:val="right"/>
              <w:rPr>
                <w:rFonts w:eastAsia="Times New Roman" w:cs="Times New Roman"/>
                <w:b/>
                <w:bCs/>
              </w:rPr>
            </w:pPr>
            <w:r w:rsidRPr="00792A98">
              <w:rPr>
                <w:b/>
                <w:bCs/>
              </w:rPr>
              <w:t>€ 2.</w:t>
            </w:r>
            <w:r>
              <w:rPr>
                <w:b/>
                <w:bCs/>
              </w:rPr>
              <w:t>191</w:t>
            </w:r>
          </w:p>
        </w:tc>
      </w:tr>
      <w:tr w:rsidRPr="00AF1055" w:rsidR="003507D2" w:rsidTr="004C501E" w14:paraId="73A7B57A" w14:textId="77777777">
        <w:trPr>
          <w:trHeight w:val="68"/>
        </w:trPr>
        <w:tc>
          <w:tcPr>
            <w:tcW w:w="4100" w:type="dxa"/>
            <w:tcBorders>
              <w:top w:val="nil"/>
              <w:left w:val="single" w:color="auto" w:sz="8" w:space="0"/>
              <w:bottom w:val="single" w:color="auto" w:sz="4" w:space="0"/>
              <w:right w:val="single" w:color="auto" w:sz="8" w:space="0"/>
            </w:tcBorders>
            <w:shd w:val="clear" w:color="auto" w:fill="auto"/>
            <w:noWrap/>
            <w:vAlign w:val="center"/>
            <w:hideMark/>
          </w:tcPr>
          <w:p w:rsidRPr="00AF1055" w:rsidR="003507D2" w:rsidP="004C501E" w:rsidRDefault="003507D2" w14:paraId="4E52AA5A" w14:textId="77777777">
            <w:pPr>
              <w:spacing w:line="240" w:lineRule="auto"/>
              <w:rPr>
                <w:rFonts w:eastAsia="Times New Roman" w:cs="Times New Roman"/>
                <w:b/>
                <w:bCs/>
              </w:rPr>
            </w:pPr>
            <w:r w:rsidRPr="00AF1055">
              <w:rPr>
                <w:rFonts w:eastAsia="Times New Roman" w:cs="Times New Roman"/>
                <w:b/>
                <w:bCs/>
              </w:rPr>
              <w:t>Verschil</w:t>
            </w:r>
            <w:r>
              <w:rPr>
                <w:rFonts w:eastAsia="Times New Roman" w:cs="Times New Roman"/>
                <w:b/>
                <w:bCs/>
              </w:rPr>
              <w:t xml:space="preserve"> label</w:t>
            </w:r>
            <w:r w:rsidRPr="00AF1055">
              <w:rPr>
                <w:rFonts w:eastAsia="Times New Roman" w:cs="Times New Roman"/>
                <w:b/>
                <w:bCs/>
              </w:rPr>
              <w:t xml:space="preserve"> A+++</w:t>
            </w:r>
          </w:p>
        </w:tc>
        <w:tc>
          <w:tcPr>
            <w:tcW w:w="1060" w:type="dxa"/>
            <w:tcBorders>
              <w:top w:val="nil"/>
              <w:left w:val="nil"/>
              <w:bottom w:val="single" w:color="auto" w:sz="4" w:space="0"/>
              <w:right w:val="single" w:color="auto" w:sz="8" w:space="0"/>
            </w:tcBorders>
            <w:shd w:val="clear" w:color="auto" w:fill="auto"/>
            <w:noWrap/>
            <w:vAlign w:val="center"/>
            <w:hideMark/>
          </w:tcPr>
          <w:p w:rsidRPr="00792A98" w:rsidR="003507D2" w:rsidP="004C501E" w:rsidRDefault="003507D2" w14:paraId="545E0C2C" w14:textId="77777777">
            <w:pPr>
              <w:spacing w:line="240" w:lineRule="auto"/>
              <w:jc w:val="right"/>
              <w:rPr>
                <w:rFonts w:eastAsia="Times New Roman" w:cs="Times New Roman"/>
                <w:b/>
                <w:bCs/>
              </w:rPr>
            </w:pPr>
            <w:r w:rsidRPr="00792A98">
              <w:rPr>
                <w:rFonts w:eastAsia="Times New Roman" w:cs="Times New Roman"/>
                <w:b/>
                <w:bCs/>
              </w:rPr>
              <w:t>-</w:t>
            </w:r>
          </w:p>
        </w:tc>
        <w:tc>
          <w:tcPr>
            <w:tcW w:w="1060" w:type="dxa"/>
            <w:tcBorders>
              <w:top w:val="nil"/>
              <w:left w:val="nil"/>
              <w:bottom w:val="single" w:color="auto" w:sz="4" w:space="0"/>
              <w:right w:val="single" w:color="auto" w:sz="8" w:space="0"/>
            </w:tcBorders>
            <w:shd w:val="clear" w:color="auto" w:fill="auto"/>
            <w:noWrap/>
            <w:vAlign w:val="center"/>
            <w:hideMark/>
          </w:tcPr>
          <w:p w:rsidRPr="00AF1055" w:rsidR="003507D2" w:rsidP="004C501E" w:rsidRDefault="003507D2" w14:paraId="3705C6C8" w14:textId="77777777">
            <w:pPr>
              <w:spacing w:line="240" w:lineRule="auto"/>
              <w:jc w:val="right"/>
              <w:rPr>
                <w:rFonts w:eastAsia="Times New Roman" w:cs="Times New Roman"/>
                <w:b/>
                <w:bCs/>
              </w:rPr>
            </w:pPr>
            <w:r>
              <w:rPr>
                <w:rFonts w:eastAsia="Times New Roman" w:cs="Times New Roman"/>
                <w:b/>
                <w:bCs/>
              </w:rPr>
              <w:t>€ 1.215</w:t>
            </w:r>
          </w:p>
        </w:tc>
      </w:tr>
    </w:tbl>
    <w:p w:rsidRPr="00875C5D" w:rsidR="003507D2" w:rsidP="003507D2" w:rsidRDefault="003507D2" w14:paraId="03EA0CD3" w14:textId="77777777">
      <w:pPr>
        <w:spacing w:line="240" w:lineRule="auto"/>
        <w:rPr>
          <w:b/>
          <w:bCs/>
        </w:rPr>
      </w:pPr>
      <w:r>
        <w:rPr>
          <w:i/>
          <w:iCs/>
        </w:rPr>
        <w:t>Verschuil jaarlijkse energiekosten tussenwoning label A+++ en label G</w:t>
      </w:r>
    </w:p>
    <w:p w:rsidR="003507D2" w:rsidP="003507D2" w:rsidRDefault="003507D2" w14:paraId="44FAA5BC" w14:textId="77777777">
      <w:pPr>
        <w:spacing w:line="240" w:lineRule="auto"/>
        <w:rPr>
          <w:b/>
          <w:bCs/>
        </w:rPr>
      </w:pPr>
    </w:p>
    <w:p w:rsidR="003507D2" w:rsidP="003507D2" w:rsidRDefault="003507D2" w14:paraId="5EB50825" w14:textId="77777777">
      <w:pPr>
        <w:spacing w:line="240" w:lineRule="auto"/>
      </w:pPr>
      <w:r>
        <w:t>Enkele aandachtspunten bij bovenstaande tabel</w:t>
      </w:r>
    </w:p>
    <w:p w:rsidR="003507D2" w:rsidP="003507D2" w:rsidRDefault="003507D2" w14:paraId="62064E07" w14:textId="77777777">
      <w:pPr>
        <w:pStyle w:val="Lijstalinea"/>
        <w:numPr>
          <w:ilvl w:val="0"/>
          <w:numId w:val="1"/>
        </w:numPr>
        <w:autoSpaceDN w:val="0"/>
        <w:spacing w:after="0" w:line="240" w:lineRule="auto"/>
        <w:textAlignment w:val="baseline"/>
      </w:pPr>
      <w:r>
        <w:t>Het aantal gasgestookte woningen met label G is significant groter dan A+++ met warmtepomp. Dat betekent dat de kwaliteit van de informatie beperkter is</w:t>
      </w:r>
    </w:p>
    <w:p w:rsidR="003507D2" w:rsidP="003507D2" w:rsidRDefault="003507D2" w14:paraId="26EC5389" w14:textId="77777777">
      <w:pPr>
        <w:pStyle w:val="Lijstalinea"/>
        <w:numPr>
          <w:ilvl w:val="0"/>
          <w:numId w:val="1"/>
        </w:numPr>
        <w:autoSpaceDN w:val="0"/>
        <w:spacing w:after="0" w:line="240" w:lineRule="auto"/>
        <w:textAlignment w:val="baseline"/>
      </w:pPr>
      <w:r>
        <w:t>De A+++ woningen zijn meer dan 20% groter dan de label G woningen. Dat betekent dat het energieverbruik voor een woning van gelijke omvang met beide labels, voor een label A+++ lager zal zijn dan bovenstaande rekening.</w:t>
      </w:r>
    </w:p>
    <w:p w:rsidR="003507D2" w:rsidP="003507D2" w:rsidRDefault="003507D2" w14:paraId="534D8550" w14:textId="77777777">
      <w:pPr>
        <w:spacing w:line="240" w:lineRule="auto"/>
      </w:pPr>
    </w:p>
    <w:p w:rsidRPr="003B3A49" w:rsidR="003507D2" w:rsidP="003507D2" w:rsidRDefault="003507D2" w14:paraId="60002008" w14:textId="77777777">
      <w:pPr>
        <w:spacing w:line="240" w:lineRule="auto"/>
      </w:pPr>
    </w:p>
    <w:p w:rsidRPr="00875C5D" w:rsidR="003507D2" w:rsidP="003507D2" w:rsidRDefault="003507D2" w14:paraId="7FD9C82A" w14:textId="77777777">
      <w:pPr>
        <w:spacing w:line="240" w:lineRule="auto"/>
        <w:rPr>
          <w:b/>
          <w:bCs/>
        </w:rPr>
      </w:pPr>
      <w:r w:rsidRPr="00875C5D">
        <w:rPr>
          <w:b/>
          <w:bCs/>
        </w:rPr>
        <w:t xml:space="preserve">Vraag </w:t>
      </w:r>
      <w:r>
        <w:rPr>
          <w:b/>
          <w:bCs/>
        </w:rPr>
        <w:t>3</w:t>
      </w:r>
    </w:p>
    <w:p w:rsidRPr="00A67CD5" w:rsidR="003507D2" w:rsidP="003507D2" w:rsidRDefault="003507D2" w14:paraId="60E0FDB9" w14:textId="77777777">
      <w:pPr>
        <w:spacing w:line="240" w:lineRule="auto"/>
      </w:pPr>
      <w:r w:rsidRPr="00A67CD5">
        <w:t>Hoeveel mensen wonen in een woning met een energielabel onder B? Hoeveel scheelt dat deze</w:t>
      </w:r>
      <w:r>
        <w:t xml:space="preserve"> </w:t>
      </w:r>
      <w:r w:rsidRPr="00A67CD5">
        <w:t>mensen in totaal per jaar aan kosten?</w:t>
      </w:r>
    </w:p>
    <w:p w:rsidR="003507D2" w:rsidP="003507D2" w:rsidRDefault="003507D2" w14:paraId="327295D3" w14:textId="77777777">
      <w:pPr>
        <w:spacing w:line="240" w:lineRule="auto"/>
      </w:pPr>
    </w:p>
    <w:p w:rsidRPr="003E42DE" w:rsidR="003507D2" w:rsidP="003507D2" w:rsidRDefault="003507D2" w14:paraId="70EA7D8A" w14:textId="77777777">
      <w:pPr>
        <w:spacing w:line="240" w:lineRule="auto"/>
        <w:rPr>
          <w:b/>
          <w:bCs/>
        </w:rPr>
      </w:pPr>
      <w:r w:rsidRPr="003E42DE">
        <w:rPr>
          <w:b/>
          <w:bCs/>
        </w:rPr>
        <w:t>Antwoord vraag 3</w:t>
      </w:r>
    </w:p>
    <w:p w:rsidRPr="00560A82" w:rsidR="003507D2" w:rsidP="003507D2" w:rsidRDefault="003507D2" w14:paraId="6EDF18AE" w14:textId="77777777">
      <w:r w:rsidRPr="00C545C5">
        <w:rPr>
          <w:sz w:val="20"/>
          <w:szCs w:val="20"/>
        </w:rPr>
        <w:t xml:space="preserve">In 2024 was </w:t>
      </w:r>
      <w:r>
        <w:rPr>
          <w:sz w:val="20"/>
          <w:szCs w:val="20"/>
        </w:rPr>
        <w:t xml:space="preserve">de labelverdeling voor de 8 miljoen woningen in de </w:t>
      </w:r>
      <w:r w:rsidRPr="00560A82">
        <w:t>gebouwde omgeving als in de volgende tabel verdeeld. Dit is een inschatting gebaseerd op cijfers van Kadaster uit de Monitor Verduurzaming Gebouwde omgeving</w:t>
      </w:r>
      <w:r w:rsidRPr="00560A82">
        <w:rPr>
          <w:rStyle w:val="Voetnootmarkering"/>
        </w:rPr>
        <w:footnoteReference w:id="3"/>
      </w:r>
      <w:r w:rsidRPr="00560A82">
        <w:t xml:space="preserve">. </w:t>
      </w:r>
    </w:p>
    <w:p w:rsidRPr="00560A82" w:rsidR="003507D2" w:rsidP="003507D2" w:rsidRDefault="003507D2" w14:paraId="7FC2CDA8" w14:textId="77777777"/>
    <w:tbl>
      <w:tblPr>
        <w:tblStyle w:val="Tabelraster"/>
        <w:tblW w:w="0" w:type="auto"/>
        <w:tblInd w:w="0" w:type="dxa"/>
        <w:tblLook w:val="04A0" w:firstRow="1" w:lastRow="0" w:firstColumn="1" w:lastColumn="0" w:noHBand="0" w:noVBand="1"/>
      </w:tblPr>
      <w:tblGrid>
        <w:gridCol w:w="1196"/>
        <w:gridCol w:w="1315"/>
        <w:gridCol w:w="1255"/>
        <w:gridCol w:w="1255"/>
        <w:gridCol w:w="1255"/>
        <w:gridCol w:w="1255"/>
      </w:tblGrid>
      <w:tr w:rsidRPr="00560A82" w:rsidR="003507D2" w:rsidTr="004C501E" w14:paraId="36A2B13A" w14:textId="77777777">
        <w:tc>
          <w:tcPr>
            <w:tcW w:w="1502" w:type="dxa"/>
          </w:tcPr>
          <w:p w:rsidRPr="007751DE" w:rsidR="003507D2" w:rsidP="004C501E" w:rsidRDefault="003507D2" w14:paraId="6F58AF5F" w14:textId="77777777">
            <w:pPr>
              <w:rPr>
                <w:b/>
                <w:bCs/>
              </w:rPr>
            </w:pPr>
            <w:r w:rsidRPr="007751DE">
              <w:rPr>
                <w:b/>
                <w:bCs/>
              </w:rPr>
              <w:t>Label</w:t>
            </w:r>
          </w:p>
        </w:tc>
        <w:tc>
          <w:tcPr>
            <w:tcW w:w="1503" w:type="dxa"/>
          </w:tcPr>
          <w:p w:rsidRPr="007751DE" w:rsidR="003507D2" w:rsidP="004C501E" w:rsidRDefault="003507D2" w14:paraId="384CCDC4" w14:textId="77777777">
            <w:pPr>
              <w:rPr>
                <w:b/>
                <w:bCs/>
              </w:rPr>
            </w:pPr>
            <w:r w:rsidRPr="007751DE">
              <w:rPr>
                <w:b/>
                <w:bCs/>
              </w:rPr>
              <w:t>C</w:t>
            </w:r>
          </w:p>
        </w:tc>
        <w:tc>
          <w:tcPr>
            <w:tcW w:w="1503" w:type="dxa"/>
          </w:tcPr>
          <w:p w:rsidRPr="007751DE" w:rsidR="003507D2" w:rsidP="004C501E" w:rsidRDefault="003507D2" w14:paraId="757EB496" w14:textId="77777777">
            <w:pPr>
              <w:rPr>
                <w:b/>
                <w:bCs/>
              </w:rPr>
            </w:pPr>
            <w:r w:rsidRPr="007751DE">
              <w:rPr>
                <w:b/>
                <w:bCs/>
              </w:rPr>
              <w:t>D</w:t>
            </w:r>
          </w:p>
        </w:tc>
        <w:tc>
          <w:tcPr>
            <w:tcW w:w="1503" w:type="dxa"/>
          </w:tcPr>
          <w:p w:rsidRPr="007751DE" w:rsidR="003507D2" w:rsidP="004C501E" w:rsidRDefault="003507D2" w14:paraId="18E2DD46" w14:textId="77777777">
            <w:pPr>
              <w:rPr>
                <w:b/>
                <w:bCs/>
              </w:rPr>
            </w:pPr>
            <w:r w:rsidRPr="007751DE">
              <w:rPr>
                <w:b/>
                <w:bCs/>
              </w:rPr>
              <w:t>E</w:t>
            </w:r>
          </w:p>
        </w:tc>
        <w:tc>
          <w:tcPr>
            <w:tcW w:w="1503" w:type="dxa"/>
          </w:tcPr>
          <w:p w:rsidRPr="007751DE" w:rsidR="003507D2" w:rsidP="004C501E" w:rsidRDefault="003507D2" w14:paraId="524F86CB" w14:textId="77777777">
            <w:pPr>
              <w:rPr>
                <w:b/>
                <w:bCs/>
              </w:rPr>
            </w:pPr>
            <w:r w:rsidRPr="007751DE">
              <w:rPr>
                <w:b/>
                <w:bCs/>
              </w:rPr>
              <w:t>F</w:t>
            </w:r>
          </w:p>
        </w:tc>
        <w:tc>
          <w:tcPr>
            <w:tcW w:w="1503" w:type="dxa"/>
          </w:tcPr>
          <w:p w:rsidRPr="007751DE" w:rsidR="003507D2" w:rsidP="004C501E" w:rsidRDefault="003507D2" w14:paraId="4FF2F4B5" w14:textId="77777777">
            <w:pPr>
              <w:rPr>
                <w:b/>
                <w:bCs/>
              </w:rPr>
            </w:pPr>
            <w:r w:rsidRPr="007751DE">
              <w:rPr>
                <w:b/>
                <w:bCs/>
              </w:rPr>
              <w:t>G</w:t>
            </w:r>
          </w:p>
        </w:tc>
      </w:tr>
      <w:tr w:rsidRPr="00560A82" w:rsidR="003507D2" w:rsidTr="004C501E" w14:paraId="79F3FCB9" w14:textId="77777777">
        <w:tc>
          <w:tcPr>
            <w:tcW w:w="1502" w:type="dxa"/>
          </w:tcPr>
          <w:p w:rsidRPr="00560A82" w:rsidR="003507D2" w:rsidP="004C501E" w:rsidRDefault="003507D2" w14:paraId="1A75C003" w14:textId="77777777">
            <w:r w:rsidRPr="00560A82">
              <w:t>Aantal</w:t>
            </w:r>
          </w:p>
        </w:tc>
        <w:tc>
          <w:tcPr>
            <w:tcW w:w="1503" w:type="dxa"/>
          </w:tcPr>
          <w:p w:rsidRPr="00560A82" w:rsidR="003507D2" w:rsidP="004C501E" w:rsidRDefault="003507D2" w14:paraId="3253E093" w14:textId="77777777">
            <w:r w:rsidRPr="00560A82">
              <w:t>2.080.000</w:t>
            </w:r>
          </w:p>
        </w:tc>
        <w:tc>
          <w:tcPr>
            <w:tcW w:w="1503" w:type="dxa"/>
          </w:tcPr>
          <w:p w:rsidRPr="00560A82" w:rsidR="003507D2" w:rsidP="004C501E" w:rsidRDefault="003507D2" w14:paraId="56DB24B1" w14:textId="77777777">
            <w:r w:rsidRPr="00560A82">
              <w:t>880.000</w:t>
            </w:r>
          </w:p>
        </w:tc>
        <w:tc>
          <w:tcPr>
            <w:tcW w:w="1503" w:type="dxa"/>
          </w:tcPr>
          <w:p w:rsidRPr="00560A82" w:rsidR="003507D2" w:rsidP="004C501E" w:rsidRDefault="003507D2" w14:paraId="301B8A78" w14:textId="77777777">
            <w:r w:rsidRPr="00560A82">
              <w:t>560.000</w:t>
            </w:r>
          </w:p>
        </w:tc>
        <w:tc>
          <w:tcPr>
            <w:tcW w:w="1503" w:type="dxa"/>
          </w:tcPr>
          <w:p w:rsidRPr="00560A82" w:rsidR="003507D2" w:rsidP="004C501E" w:rsidRDefault="003507D2" w14:paraId="2B9BF436" w14:textId="77777777">
            <w:r w:rsidRPr="00560A82">
              <w:t>400.000</w:t>
            </w:r>
          </w:p>
        </w:tc>
        <w:tc>
          <w:tcPr>
            <w:tcW w:w="1503" w:type="dxa"/>
          </w:tcPr>
          <w:p w:rsidRPr="00560A82" w:rsidR="003507D2" w:rsidP="004C501E" w:rsidRDefault="003507D2" w14:paraId="18F4948F" w14:textId="77777777">
            <w:r w:rsidRPr="00560A82">
              <w:t>400.000</w:t>
            </w:r>
          </w:p>
        </w:tc>
      </w:tr>
    </w:tbl>
    <w:p w:rsidRPr="00560A82" w:rsidR="003507D2" w:rsidP="003507D2" w:rsidRDefault="003507D2" w14:paraId="2033500D" w14:textId="77777777"/>
    <w:p w:rsidR="003507D2" w:rsidP="003507D2" w:rsidRDefault="003507D2" w14:paraId="6B92CC86" w14:textId="77777777">
      <w:pPr>
        <w:rPr>
          <w:rFonts w:eastAsia="Calibri" w:cs="Times New Roman"/>
        </w:rPr>
      </w:pPr>
      <w:r w:rsidRPr="00560A82">
        <w:t xml:space="preserve">Onderstaand overzicht geeft de verwachte energiekosten weer bij een gemiddeld gebruik in tussenwoningen met een label B tot en met G. Voor de vergelijkbaarheid gaan we uit van verwarming met een </w:t>
      </w:r>
      <w:proofErr w:type="spellStart"/>
      <w:r w:rsidRPr="00560A82">
        <w:t>CV</w:t>
      </w:r>
      <w:r>
        <w:t>-</w:t>
      </w:r>
      <w:r w:rsidRPr="00560A82">
        <w:t>ketel</w:t>
      </w:r>
      <w:proofErr w:type="spellEnd"/>
      <w:r w:rsidRPr="00560A82">
        <w:t>. Het verbruik per label is gebaseerd op voorlopige cijfers uit 2023 van het CBS.</w:t>
      </w:r>
      <w:r w:rsidRPr="00560A82">
        <w:rPr>
          <w:rStyle w:val="Voetnootmarkering"/>
        </w:rPr>
        <w:footnoteReference w:id="4"/>
      </w:r>
      <w:r w:rsidRPr="00560A82">
        <w:t xml:space="preserve"> </w:t>
      </w:r>
      <w:r>
        <w:rPr>
          <w:rFonts w:eastAsia="Calibri" w:cs="Times New Roman"/>
        </w:rPr>
        <w:t>De leveringskosten, vaste kosten en energiebelasting voor gas en elektra zijn gebaseerd op cijfers van CBS over de energietarieven van februari 2025.</w:t>
      </w:r>
      <w:r>
        <w:rPr>
          <w:rStyle w:val="Voetnootmarkering"/>
          <w:rFonts w:eastAsia="Calibri" w:cs="Times New Roman"/>
        </w:rPr>
        <w:footnoteReference w:id="5"/>
      </w:r>
    </w:p>
    <w:p w:rsidR="003507D2" w:rsidP="003507D2" w:rsidRDefault="003507D2" w14:paraId="79BD2DA8" w14:textId="77777777">
      <w:pPr>
        <w:rPr>
          <w:rFonts w:eastAsia="Calibri" w:cs="Times New Roman"/>
        </w:rPr>
      </w:pPr>
    </w:p>
    <w:p w:rsidR="003507D2" w:rsidP="003507D2" w:rsidRDefault="003507D2" w14:paraId="698D8555" w14:textId="77777777">
      <w:pPr>
        <w:rPr>
          <w:rFonts w:eastAsia="Calibri" w:cs="Times New Roman"/>
        </w:rPr>
      </w:pPr>
    </w:p>
    <w:p w:rsidR="003507D2" w:rsidP="003507D2" w:rsidRDefault="003507D2" w14:paraId="7540FF18" w14:textId="77777777">
      <w:pPr>
        <w:rPr>
          <w:rFonts w:eastAsia="Calibri" w:cs="Times New Roman"/>
        </w:rPr>
      </w:pPr>
    </w:p>
    <w:p w:rsidR="003507D2" w:rsidP="003507D2" w:rsidRDefault="003507D2" w14:paraId="5987272A" w14:textId="77777777">
      <w:pPr>
        <w:rPr>
          <w:rFonts w:eastAsia="Calibri" w:cs="Times New Roman"/>
        </w:rPr>
      </w:pPr>
    </w:p>
    <w:p w:rsidR="003507D2" w:rsidP="003507D2" w:rsidRDefault="003507D2" w14:paraId="30F66261" w14:textId="77777777">
      <w:pPr>
        <w:rPr>
          <w:rFonts w:eastAsia="Times New Roman" w:cs="Times New Roman"/>
        </w:rPr>
      </w:pPr>
    </w:p>
    <w:p w:rsidR="003507D2" w:rsidP="003507D2" w:rsidRDefault="003507D2" w14:paraId="77290132" w14:textId="77777777">
      <w:pPr>
        <w:rPr>
          <w:rFonts w:eastAsia="Times New Roman" w:cs="Times New Roman"/>
        </w:rPr>
      </w:pPr>
    </w:p>
    <w:tbl>
      <w:tblPr>
        <w:tblW w:w="8647" w:type="dxa"/>
        <w:tblLayout w:type="fixed"/>
        <w:tblCellMar>
          <w:left w:w="70" w:type="dxa"/>
          <w:right w:w="70" w:type="dxa"/>
        </w:tblCellMar>
        <w:tblLook w:val="04A0" w:firstRow="1" w:lastRow="0" w:firstColumn="1" w:lastColumn="0" w:noHBand="0" w:noVBand="1"/>
      </w:tblPr>
      <w:tblGrid>
        <w:gridCol w:w="2835"/>
        <w:gridCol w:w="968"/>
        <w:gridCol w:w="969"/>
        <w:gridCol w:w="969"/>
        <w:gridCol w:w="968"/>
        <w:gridCol w:w="969"/>
        <w:gridCol w:w="969"/>
      </w:tblGrid>
      <w:tr w:rsidRPr="00AF1055" w:rsidR="003507D2" w:rsidTr="004C501E" w14:paraId="5BBF2FF2" w14:textId="77777777">
        <w:trPr>
          <w:trHeight w:val="48"/>
        </w:trPr>
        <w:tc>
          <w:tcPr>
            <w:tcW w:w="2835" w:type="dxa"/>
            <w:tcBorders>
              <w:top w:val="nil"/>
              <w:left w:val="nil"/>
              <w:bottom w:val="single" w:color="auto" w:sz="8" w:space="0"/>
              <w:right w:val="single" w:color="auto" w:sz="4" w:space="0"/>
            </w:tcBorders>
            <w:shd w:val="clear" w:color="auto" w:fill="auto"/>
            <w:noWrap/>
            <w:vAlign w:val="bottom"/>
            <w:hideMark/>
          </w:tcPr>
          <w:p w:rsidRPr="00EA0AAA" w:rsidR="003507D2" w:rsidP="004C501E" w:rsidRDefault="003507D2" w14:paraId="7B1FD2D2" w14:textId="77777777">
            <w:pPr>
              <w:spacing w:line="240" w:lineRule="auto"/>
              <w:rPr>
                <w:rFonts w:eastAsia="Times New Roman" w:cs="Times New Roman"/>
              </w:rPr>
            </w:pPr>
            <w:r w:rsidRPr="00EA0AAA">
              <w:rPr>
                <w:rFonts w:eastAsia="Times New Roman" w:cs="Times New Roman"/>
              </w:rPr>
              <w:t> </w:t>
            </w:r>
          </w:p>
        </w:tc>
        <w:tc>
          <w:tcPr>
            <w:tcW w:w="968" w:type="dxa"/>
            <w:tcBorders>
              <w:top w:val="single" w:color="auto" w:sz="8" w:space="0"/>
              <w:left w:val="single" w:color="auto" w:sz="4" w:space="0"/>
              <w:bottom w:val="single" w:color="auto" w:sz="8" w:space="0"/>
              <w:right w:val="single" w:color="auto" w:sz="8" w:space="0"/>
            </w:tcBorders>
            <w:shd w:val="clear" w:color="000000" w:fill="FFFFFF"/>
            <w:noWrap/>
            <w:vAlign w:val="center"/>
            <w:hideMark/>
          </w:tcPr>
          <w:p w:rsidRPr="00AF1055" w:rsidR="003507D2" w:rsidP="004C501E" w:rsidRDefault="003507D2" w14:paraId="0EE7C5A4" w14:textId="77777777">
            <w:pPr>
              <w:spacing w:line="240" w:lineRule="auto"/>
              <w:rPr>
                <w:rFonts w:eastAsia="Times New Roman" w:cs="Times New Roman"/>
                <w:b/>
                <w:bCs/>
              </w:rPr>
            </w:pPr>
            <w:r w:rsidRPr="00AF1055">
              <w:rPr>
                <w:rFonts w:eastAsia="Times New Roman" w:cs="Times New Roman"/>
                <w:b/>
                <w:bCs/>
              </w:rPr>
              <w:t>B</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3507D2" w:rsidP="004C501E" w:rsidRDefault="003507D2" w14:paraId="6C95E816" w14:textId="77777777">
            <w:pPr>
              <w:spacing w:line="240" w:lineRule="auto"/>
              <w:rPr>
                <w:rFonts w:eastAsia="Times New Roman" w:cs="Times New Roman"/>
                <w:b/>
                <w:bCs/>
              </w:rPr>
            </w:pPr>
            <w:r w:rsidRPr="00AF1055">
              <w:rPr>
                <w:rFonts w:eastAsia="Times New Roman" w:cs="Times New Roman"/>
                <w:b/>
                <w:bCs/>
              </w:rPr>
              <w:t>C</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3507D2" w:rsidP="004C501E" w:rsidRDefault="003507D2" w14:paraId="4DF58715" w14:textId="77777777">
            <w:pPr>
              <w:spacing w:line="240" w:lineRule="auto"/>
              <w:rPr>
                <w:rFonts w:eastAsia="Times New Roman" w:cs="Times New Roman"/>
                <w:b/>
                <w:bCs/>
              </w:rPr>
            </w:pPr>
            <w:r w:rsidRPr="00AF1055">
              <w:rPr>
                <w:rFonts w:eastAsia="Times New Roman" w:cs="Times New Roman"/>
                <w:b/>
                <w:bCs/>
              </w:rPr>
              <w:t>D</w:t>
            </w:r>
          </w:p>
        </w:tc>
        <w:tc>
          <w:tcPr>
            <w:tcW w:w="968"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3507D2" w:rsidP="004C501E" w:rsidRDefault="003507D2" w14:paraId="5F4C0A77" w14:textId="77777777">
            <w:pPr>
              <w:spacing w:line="240" w:lineRule="auto"/>
              <w:rPr>
                <w:rFonts w:eastAsia="Times New Roman" w:cs="Times New Roman"/>
                <w:b/>
                <w:bCs/>
              </w:rPr>
            </w:pPr>
            <w:r w:rsidRPr="00AF1055">
              <w:rPr>
                <w:rFonts w:eastAsia="Times New Roman" w:cs="Times New Roman"/>
                <w:b/>
                <w:bCs/>
              </w:rPr>
              <w:t>E</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3507D2" w:rsidP="004C501E" w:rsidRDefault="003507D2" w14:paraId="033A6F45" w14:textId="77777777">
            <w:pPr>
              <w:spacing w:line="240" w:lineRule="auto"/>
              <w:rPr>
                <w:rFonts w:eastAsia="Times New Roman" w:cs="Times New Roman"/>
                <w:b/>
                <w:bCs/>
              </w:rPr>
            </w:pPr>
            <w:r w:rsidRPr="00AF1055">
              <w:rPr>
                <w:rFonts w:eastAsia="Times New Roman" w:cs="Times New Roman"/>
                <w:b/>
                <w:bCs/>
              </w:rPr>
              <w:t>F</w:t>
            </w:r>
          </w:p>
        </w:tc>
        <w:tc>
          <w:tcPr>
            <w:tcW w:w="969" w:type="dxa"/>
            <w:tcBorders>
              <w:top w:val="single" w:color="auto" w:sz="8" w:space="0"/>
              <w:left w:val="nil"/>
              <w:bottom w:val="single" w:color="auto" w:sz="8" w:space="0"/>
              <w:right w:val="single" w:color="auto" w:sz="8" w:space="0"/>
            </w:tcBorders>
            <w:shd w:val="clear" w:color="000000" w:fill="FFFFFF"/>
            <w:noWrap/>
            <w:vAlign w:val="center"/>
            <w:hideMark/>
          </w:tcPr>
          <w:p w:rsidRPr="00AF1055" w:rsidR="003507D2" w:rsidP="004C501E" w:rsidRDefault="003507D2" w14:paraId="73CB5D17" w14:textId="77777777">
            <w:pPr>
              <w:spacing w:line="240" w:lineRule="auto"/>
              <w:rPr>
                <w:rFonts w:eastAsia="Times New Roman" w:cs="Times New Roman"/>
                <w:b/>
                <w:bCs/>
              </w:rPr>
            </w:pPr>
            <w:r w:rsidRPr="00AF1055">
              <w:rPr>
                <w:rFonts w:eastAsia="Times New Roman" w:cs="Times New Roman"/>
                <w:b/>
                <w:bCs/>
              </w:rPr>
              <w:t>G</w:t>
            </w:r>
            <w:r w:rsidRPr="00EA0AAA">
              <w:rPr>
                <w:rFonts w:eastAsia="Times New Roman" w:cs="Times New Roman"/>
              </w:rPr>
              <w:t> </w:t>
            </w:r>
          </w:p>
        </w:tc>
      </w:tr>
      <w:tr w:rsidRPr="00AF1055" w:rsidR="003507D2" w:rsidTr="004C501E" w14:paraId="0FE3CB17" w14:textId="77777777">
        <w:trPr>
          <w:trHeight w:val="166"/>
        </w:trPr>
        <w:tc>
          <w:tcPr>
            <w:tcW w:w="2835" w:type="dxa"/>
            <w:tcBorders>
              <w:top w:val="nil"/>
              <w:left w:val="single" w:color="auto" w:sz="8" w:space="0"/>
              <w:bottom w:val="dotted" w:color="auto" w:sz="4" w:space="0"/>
              <w:right w:val="single" w:color="auto" w:sz="4" w:space="0"/>
            </w:tcBorders>
            <w:shd w:val="clear" w:color="auto" w:fill="auto"/>
            <w:noWrap/>
            <w:vAlign w:val="center"/>
            <w:hideMark/>
          </w:tcPr>
          <w:p w:rsidRPr="00AF1055" w:rsidR="003507D2" w:rsidP="004C501E" w:rsidRDefault="003507D2" w14:paraId="509F39BE" w14:textId="77777777">
            <w:pPr>
              <w:spacing w:line="240" w:lineRule="auto"/>
              <w:rPr>
                <w:rFonts w:eastAsia="Times New Roman" w:cs="Times New Roman"/>
              </w:rPr>
            </w:pPr>
            <w:r w:rsidRPr="00AF1055">
              <w:rPr>
                <w:rFonts w:eastAsia="Times New Roman" w:cs="Times New Roman"/>
              </w:rPr>
              <w:t>Gasverbruik (m³)</w:t>
            </w:r>
          </w:p>
        </w:tc>
        <w:tc>
          <w:tcPr>
            <w:tcW w:w="968" w:type="dxa"/>
            <w:tcBorders>
              <w:top w:val="nil"/>
              <w:left w:val="single" w:color="auto" w:sz="4" w:space="0"/>
              <w:bottom w:val="dotted" w:color="auto" w:sz="4" w:space="0"/>
              <w:right w:val="single" w:color="auto" w:sz="8" w:space="0"/>
            </w:tcBorders>
            <w:shd w:val="clear" w:color="auto" w:fill="auto"/>
            <w:noWrap/>
            <w:hideMark/>
          </w:tcPr>
          <w:p w:rsidRPr="00AF1055" w:rsidR="003507D2" w:rsidP="004C501E" w:rsidRDefault="003507D2" w14:paraId="07771E45" w14:textId="77777777">
            <w:pPr>
              <w:spacing w:line="240" w:lineRule="auto"/>
              <w:jc w:val="right"/>
              <w:rPr>
                <w:rFonts w:eastAsia="Times New Roman" w:cs="Times New Roman"/>
              </w:rPr>
            </w:pPr>
            <w:r w:rsidRPr="00C75C90">
              <w:t xml:space="preserve"> 830 </w:t>
            </w:r>
          </w:p>
        </w:tc>
        <w:tc>
          <w:tcPr>
            <w:tcW w:w="969" w:type="dxa"/>
            <w:tcBorders>
              <w:top w:val="nil"/>
              <w:left w:val="nil"/>
              <w:bottom w:val="dotted" w:color="auto" w:sz="4" w:space="0"/>
              <w:right w:val="single" w:color="auto" w:sz="8" w:space="0"/>
            </w:tcBorders>
            <w:shd w:val="clear" w:color="auto" w:fill="auto"/>
            <w:noWrap/>
            <w:hideMark/>
          </w:tcPr>
          <w:p w:rsidRPr="00AF1055" w:rsidR="003507D2" w:rsidP="004C501E" w:rsidRDefault="003507D2" w14:paraId="7FD0F449" w14:textId="77777777">
            <w:pPr>
              <w:spacing w:line="240" w:lineRule="auto"/>
              <w:jc w:val="right"/>
              <w:rPr>
                <w:rFonts w:eastAsia="Times New Roman" w:cs="Times New Roman"/>
              </w:rPr>
            </w:pPr>
            <w:r w:rsidRPr="00C75C90">
              <w:t xml:space="preserve"> 920 </w:t>
            </w:r>
          </w:p>
        </w:tc>
        <w:tc>
          <w:tcPr>
            <w:tcW w:w="969" w:type="dxa"/>
            <w:tcBorders>
              <w:top w:val="nil"/>
              <w:left w:val="nil"/>
              <w:bottom w:val="dotted" w:color="auto" w:sz="4" w:space="0"/>
              <w:right w:val="single" w:color="auto" w:sz="8" w:space="0"/>
            </w:tcBorders>
            <w:shd w:val="clear" w:color="auto" w:fill="auto"/>
            <w:noWrap/>
            <w:hideMark/>
          </w:tcPr>
          <w:p w:rsidRPr="00AF1055" w:rsidR="003507D2" w:rsidP="004C501E" w:rsidRDefault="003507D2" w14:paraId="0E388FB4" w14:textId="77777777">
            <w:pPr>
              <w:spacing w:line="240" w:lineRule="auto"/>
              <w:jc w:val="right"/>
              <w:rPr>
                <w:rFonts w:eastAsia="Times New Roman" w:cs="Times New Roman"/>
              </w:rPr>
            </w:pPr>
            <w:r w:rsidRPr="00C75C90">
              <w:t xml:space="preserve"> 1.000 </w:t>
            </w:r>
          </w:p>
        </w:tc>
        <w:tc>
          <w:tcPr>
            <w:tcW w:w="968" w:type="dxa"/>
            <w:tcBorders>
              <w:top w:val="nil"/>
              <w:left w:val="nil"/>
              <w:bottom w:val="dotted" w:color="auto" w:sz="4" w:space="0"/>
              <w:right w:val="single" w:color="auto" w:sz="8" w:space="0"/>
            </w:tcBorders>
            <w:shd w:val="clear" w:color="auto" w:fill="auto"/>
            <w:noWrap/>
            <w:hideMark/>
          </w:tcPr>
          <w:p w:rsidRPr="00AF1055" w:rsidR="003507D2" w:rsidP="004C501E" w:rsidRDefault="003507D2" w14:paraId="2AEDB78C" w14:textId="77777777">
            <w:pPr>
              <w:spacing w:line="240" w:lineRule="auto"/>
              <w:jc w:val="right"/>
              <w:rPr>
                <w:rFonts w:eastAsia="Times New Roman" w:cs="Times New Roman"/>
              </w:rPr>
            </w:pPr>
            <w:r w:rsidRPr="00C75C90">
              <w:t xml:space="preserve"> 1.040 </w:t>
            </w:r>
          </w:p>
        </w:tc>
        <w:tc>
          <w:tcPr>
            <w:tcW w:w="969" w:type="dxa"/>
            <w:tcBorders>
              <w:top w:val="nil"/>
              <w:left w:val="nil"/>
              <w:bottom w:val="dotted" w:color="auto" w:sz="4" w:space="0"/>
              <w:right w:val="single" w:color="auto" w:sz="8" w:space="0"/>
            </w:tcBorders>
            <w:shd w:val="clear" w:color="auto" w:fill="auto"/>
            <w:noWrap/>
            <w:hideMark/>
          </w:tcPr>
          <w:p w:rsidRPr="00AF1055" w:rsidR="003507D2" w:rsidP="004C501E" w:rsidRDefault="003507D2" w14:paraId="7CA73073" w14:textId="77777777">
            <w:pPr>
              <w:spacing w:line="240" w:lineRule="auto"/>
              <w:jc w:val="right"/>
              <w:rPr>
                <w:rFonts w:eastAsia="Times New Roman" w:cs="Times New Roman"/>
              </w:rPr>
            </w:pPr>
            <w:r w:rsidRPr="00C75C90">
              <w:t xml:space="preserve"> 1.080 </w:t>
            </w:r>
          </w:p>
        </w:tc>
        <w:tc>
          <w:tcPr>
            <w:tcW w:w="969" w:type="dxa"/>
            <w:tcBorders>
              <w:top w:val="nil"/>
              <w:left w:val="nil"/>
              <w:bottom w:val="dotted" w:color="auto" w:sz="4" w:space="0"/>
              <w:right w:val="single" w:color="auto" w:sz="8" w:space="0"/>
            </w:tcBorders>
            <w:shd w:val="clear" w:color="auto" w:fill="auto"/>
            <w:noWrap/>
            <w:hideMark/>
          </w:tcPr>
          <w:p w:rsidRPr="00AF1055" w:rsidR="003507D2" w:rsidP="004C501E" w:rsidRDefault="003507D2" w14:paraId="34FAADA1" w14:textId="77777777">
            <w:pPr>
              <w:spacing w:line="240" w:lineRule="auto"/>
              <w:jc w:val="right"/>
              <w:rPr>
                <w:rFonts w:eastAsia="Times New Roman" w:cs="Times New Roman"/>
              </w:rPr>
            </w:pPr>
            <w:r w:rsidRPr="00C75C90">
              <w:t xml:space="preserve"> 1.060 </w:t>
            </w:r>
          </w:p>
        </w:tc>
      </w:tr>
      <w:tr w:rsidRPr="00AF1055" w:rsidR="003507D2" w:rsidTr="004C501E" w14:paraId="602C7D3A" w14:textId="77777777">
        <w:trPr>
          <w:trHeight w:val="5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30F2DD6A" w14:textId="77777777">
            <w:pPr>
              <w:spacing w:line="240" w:lineRule="auto"/>
              <w:rPr>
                <w:rFonts w:eastAsia="Times New Roman" w:cs="Times New Roman"/>
              </w:rPr>
            </w:pPr>
            <w:r w:rsidRPr="00AF1055">
              <w:rPr>
                <w:rFonts w:eastAsia="Times New Roman" w:cs="Times New Roman"/>
              </w:rPr>
              <w:t>Elektraverbruik (kWh)</w:t>
            </w:r>
          </w:p>
        </w:tc>
        <w:tc>
          <w:tcPr>
            <w:tcW w:w="968" w:type="dxa"/>
            <w:tcBorders>
              <w:top w:val="nil"/>
              <w:left w:val="single" w:color="auto" w:sz="4" w:space="0"/>
              <w:bottom w:val="nil"/>
              <w:right w:val="single" w:color="auto" w:sz="8" w:space="0"/>
            </w:tcBorders>
            <w:shd w:val="clear" w:color="auto" w:fill="auto"/>
            <w:noWrap/>
            <w:hideMark/>
          </w:tcPr>
          <w:p w:rsidRPr="00AF1055" w:rsidR="003507D2" w:rsidP="004C501E" w:rsidRDefault="003507D2" w14:paraId="7024FDDA" w14:textId="77777777">
            <w:pPr>
              <w:spacing w:line="240" w:lineRule="auto"/>
              <w:jc w:val="right"/>
              <w:rPr>
                <w:rFonts w:eastAsia="Times New Roman" w:cs="Times New Roman"/>
              </w:rPr>
            </w:pPr>
            <w:r w:rsidRPr="00C75C90">
              <w:t xml:space="preserve"> 2.210 </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62B85EF" w14:textId="77777777">
            <w:pPr>
              <w:spacing w:line="240" w:lineRule="auto"/>
              <w:jc w:val="right"/>
              <w:rPr>
                <w:rFonts w:eastAsia="Times New Roman" w:cs="Times New Roman"/>
              </w:rPr>
            </w:pPr>
            <w:r w:rsidRPr="00C75C90">
              <w:t xml:space="preserve"> 2.170 </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EBE17D6" w14:textId="77777777">
            <w:pPr>
              <w:spacing w:line="240" w:lineRule="auto"/>
              <w:jc w:val="right"/>
              <w:rPr>
                <w:rFonts w:eastAsia="Times New Roman" w:cs="Times New Roman"/>
              </w:rPr>
            </w:pPr>
            <w:r w:rsidRPr="00C75C90">
              <w:t xml:space="preserve"> 2.090 </w:t>
            </w:r>
          </w:p>
        </w:tc>
        <w:tc>
          <w:tcPr>
            <w:tcW w:w="968" w:type="dxa"/>
            <w:tcBorders>
              <w:top w:val="nil"/>
              <w:left w:val="nil"/>
              <w:bottom w:val="nil"/>
              <w:right w:val="single" w:color="auto" w:sz="8" w:space="0"/>
            </w:tcBorders>
            <w:shd w:val="clear" w:color="auto" w:fill="auto"/>
            <w:noWrap/>
            <w:hideMark/>
          </w:tcPr>
          <w:p w:rsidRPr="00AF1055" w:rsidR="003507D2" w:rsidP="004C501E" w:rsidRDefault="003507D2" w14:paraId="3DA549CE" w14:textId="77777777">
            <w:pPr>
              <w:spacing w:line="240" w:lineRule="auto"/>
              <w:jc w:val="right"/>
              <w:rPr>
                <w:rFonts w:eastAsia="Times New Roman" w:cs="Times New Roman"/>
              </w:rPr>
            </w:pPr>
            <w:r w:rsidRPr="00C75C90">
              <w:t xml:space="preserve"> 1.980 </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090D2E3E" w14:textId="77777777">
            <w:pPr>
              <w:spacing w:line="240" w:lineRule="auto"/>
              <w:jc w:val="right"/>
              <w:rPr>
                <w:rFonts w:eastAsia="Times New Roman" w:cs="Times New Roman"/>
              </w:rPr>
            </w:pPr>
            <w:r w:rsidRPr="00C75C90">
              <w:t xml:space="preserve"> 1.930 </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9B3C229" w14:textId="77777777">
            <w:pPr>
              <w:spacing w:line="240" w:lineRule="auto"/>
              <w:jc w:val="right"/>
              <w:rPr>
                <w:rFonts w:eastAsia="Times New Roman" w:cs="Times New Roman"/>
              </w:rPr>
            </w:pPr>
            <w:r w:rsidRPr="00C75C90">
              <w:t xml:space="preserve"> 1.750 </w:t>
            </w:r>
          </w:p>
        </w:tc>
      </w:tr>
      <w:tr w:rsidRPr="00AF1055" w:rsidR="003507D2" w:rsidTr="004C501E" w14:paraId="63032E87" w14:textId="77777777">
        <w:trPr>
          <w:trHeight w:val="23"/>
        </w:trPr>
        <w:tc>
          <w:tcPr>
            <w:tcW w:w="2835" w:type="dxa"/>
            <w:tcBorders>
              <w:top w:val="double" w:color="auto" w:sz="6" w:space="0"/>
              <w:left w:val="single" w:color="auto" w:sz="8" w:space="0"/>
              <w:bottom w:val="dotted" w:color="auto" w:sz="4" w:space="0"/>
              <w:right w:val="single" w:color="auto" w:sz="4" w:space="0"/>
            </w:tcBorders>
            <w:shd w:val="clear" w:color="auto" w:fill="auto"/>
            <w:noWrap/>
            <w:vAlign w:val="center"/>
            <w:hideMark/>
          </w:tcPr>
          <w:p w:rsidRPr="00AF1055" w:rsidR="003507D2" w:rsidP="004C501E" w:rsidRDefault="003507D2" w14:paraId="25CD0E36" w14:textId="77777777">
            <w:pPr>
              <w:spacing w:line="240" w:lineRule="auto"/>
              <w:rPr>
                <w:rFonts w:eastAsia="Times New Roman" w:cs="Times New Roman"/>
                <w:i/>
                <w:iCs/>
              </w:rPr>
            </w:pPr>
            <w:r w:rsidRPr="00AF1055">
              <w:rPr>
                <w:rFonts w:eastAsia="Times New Roman" w:cs="Times New Roman"/>
                <w:i/>
                <w:iCs/>
              </w:rPr>
              <w:t>Variabele kosten gas</w:t>
            </w:r>
          </w:p>
        </w:tc>
        <w:tc>
          <w:tcPr>
            <w:tcW w:w="968" w:type="dxa"/>
            <w:tcBorders>
              <w:top w:val="double" w:color="auto" w:sz="6" w:space="0"/>
              <w:left w:val="single" w:color="auto" w:sz="4" w:space="0"/>
              <w:bottom w:val="dotted" w:color="auto" w:sz="4" w:space="0"/>
              <w:right w:val="single" w:color="auto" w:sz="8" w:space="0"/>
            </w:tcBorders>
            <w:shd w:val="clear" w:color="auto" w:fill="auto"/>
            <w:noWrap/>
            <w:hideMark/>
          </w:tcPr>
          <w:p w:rsidRPr="00960586" w:rsidR="003507D2" w:rsidP="004C501E" w:rsidRDefault="003507D2" w14:paraId="46A6F5EC" w14:textId="77777777">
            <w:pPr>
              <w:spacing w:line="240" w:lineRule="auto"/>
              <w:jc w:val="right"/>
              <w:rPr>
                <w:rFonts w:eastAsia="Times New Roman" w:cs="Times New Roman"/>
                <w:i/>
                <w:iCs/>
              </w:rPr>
            </w:pPr>
            <w:r w:rsidRPr="00960586">
              <w:rPr>
                <w:i/>
                <w:iCs/>
              </w:rPr>
              <w:t>€ 1.116</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3507D2" w:rsidP="004C501E" w:rsidRDefault="003507D2" w14:paraId="0E354371" w14:textId="77777777">
            <w:pPr>
              <w:spacing w:line="240" w:lineRule="auto"/>
              <w:jc w:val="right"/>
              <w:rPr>
                <w:rFonts w:eastAsia="Times New Roman" w:cs="Times New Roman"/>
                <w:i/>
                <w:iCs/>
              </w:rPr>
            </w:pPr>
            <w:r w:rsidRPr="00960586">
              <w:rPr>
                <w:i/>
                <w:iCs/>
              </w:rPr>
              <w:t>€ 1.237</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3507D2" w:rsidP="004C501E" w:rsidRDefault="003507D2" w14:paraId="2C68FE53" w14:textId="77777777">
            <w:pPr>
              <w:spacing w:line="240" w:lineRule="auto"/>
              <w:jc w:val="right"/>
              <w:rPr>
                <w:rFonts w:eastAsia="Times New Roman" w:cs="Times New Roman"/>
                <w:i/>
                <w:iCs/>
              </w:rPr>
            </w:pPr>
            <w:r w:rsidRPr="00960586">
              <w:rPr>
                <w:i/>
                <w:iCs/>
              </w:rPr>
              <w:t>€ 1.345</w:t>
            </w:r>
          </w:p>
        </w:tc>
        <w:tc>
          <w:tcPr>
            <w:tcW w:w="968" w:type="dxa"/>
            <w:tcBorders>
              <w:top w:val="double" w:color="auto" w:sz="6" w:space="0"/>
              <w:left w:val="nil"/>
              <w:bottom w:val="dotted" w:color="auto" w:sz="4" w:space="0"/>
              <w:right w:val="single" w:color="auto" w:sz="8" w:space="0"/>
            </w:tcBorders>
            <w:shd w:val="clear" w:color="auto" w:fill="auto"/>
            <w:noWrap/>
            <w:hideMark/>
          </w:tcPr>
          <w:p w:rsidRPr="00960586" w:rsidR="003507D2" w:rsidP="004C501E" w:rsidRDefault="003507D2" w14:paraId="52F17970" w14:textId="77777777">
            <w:pPr>
              <w:spacing w:line="240" w:lineRule="auto"/>
              <w:jc w:val="right"/>
              <w:rPr>
                <w:rFonts w:eastAsia="Times New Roman" w:cs="Times New Roman"/>
                <w:i/>
                <w:iCs/>
              </w:rPr>
            </w:pPr>
            <w:r w:rsidRPr="00960586">
              <w:rPr>
                <w:i/>
                <w:iCs/>
              </w:rPr>
              <w:t>€ 1.399</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3507D2" w:rsidP="004C501E" w:rsidRDefault="003507D2" w14:paraId="14CC9BE0" w14:textId="77777777">
            <w:pPr>
              <w:spacing w:line="240" w:lineRule="auto"/>
              <w:jc w:val="right"/>
              <w:rPr>
                <w:rFonts w:eastAsia="Times New Roman" w:cs="Times New Roman"/>
                <w:i/>
                <w:iCs/>
              </w:rPr>
            </w:pPr>
            <w:r w:rsidRPr="00960586">
              <w:rPr>
                <w:i/>
                <w:iCs/>
              </w:rPr>
              <w:t>€ 1.453</w:t>
            </w:r>
          </w:p>
        </w:tc>
        <w:tc>
          <w:tcPr>
            <w:tcW w:w="969" w:type="dxa"/>
            <w:tcBorders>
              <w:top w:val="double" w:color="auto" w:sz="6" w:space="0"/>
              <w:left w:val="nil"/>
              <w:bottom w:val="dotted" w:color="auto" w:sz="4" w:space="0"/>
              <w:right w:val="single" w:color="auto" w:sz="8" w:space="0"/>
            </w:tcBorders>
            <w:shd w:val="clear" w:color="auto" w:fill="auto"/>
            <w:noWrap/>
            <w:hideMark/>
          </w:tcPr>
          <w:p w:rsidRPr="00960586" w:rsidR="003507D2" w:rsidP="004C501E" w:rsidRDefault="003507D2" w14:paraId="0884A038" w14:textId="77777777">
            <w:pPr>
              <w:spacing w:line="240" w:lineRule="auto"/>
              <w:jc w:val="right"/>
              <w:rPr>
                <w:rFonts w:eastAsia="Times New Roman" w:cs="Times New Roman"/>
                <w:i/>
                <w:iCs/>
              </w:rPr>
            </w:pPr>
            <w:r w:rsidRPr="00960586">
              <w:rPr>
                <w:i/>
                <w:iCs/>
              </w:rPr>
              <w:t>€ 1.426</w:t>
            </w:r>
          </w:p>
        </w:tc>
      </w:tr>
      <w:tr w:rsidRPr="00AF1055" w:rsidR="003507D2" w:rsidTr="004C501E" w14:paraId="732CC090" w14:textId="77777777">
        <w:trPr>
          <w:trHeight w:val="5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0C1CD500" w14:textId="77777777">
            <w:pPr>
              <w:spacing w:line="240" w:lineRule="auto"/>
              <w:rPr>
                <w:rFonts w:eastAsia="Times New Roman" w:cs="Times New Roman"/>
              </w:rPr>
            </w:pPr>
            <w:r w:rsidRPr="00AF1055">
              <w:rPr>
                <w:rFonts w:eastAsia="Times New Roman" w:cs="Times New Roman"/>
              </w:rPr>
              <w:t xml:space="preserve">Waarvan: </w:t>
            </w:r>
          </w:p>
        </w:tc>
        <w:tc>
          <w:tcPr>
            <w:tcW w:w="968" w:type="dxa"/>
            <w:tcBorders>
              <w:top w:val="nil"/>
              <w:left w:val="single" w:color="auto" w:sz="4" w:space="0"/>
              <w:bottom w:val="nil"/>
              <w:right w:val="single" w:color="auto" w:sz="8" w:space="0"/>
            </w:tcBorders>
            <w:shd w:val="clear" w:color="auto" w:fill="auto"/>
            <w:noWrap/>
            <w:hideMark/>
          </w:tcPr>
          <w:p w:rsidRPr="00EA0AAA" w:rsidR="003507D2" w:rsidP="004C501E" w:rsidRDefault="003507D2" w14:paraId="49242050" w14:textId="77777777">
            <w:pPr>
              <w:spacing w:line="240" w:lineRule="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3507D2" w:rsidP="004C501E" w:rsidRDefault="003507D2" w14:paraId="09F88990" w14:textId="77777777">
            <w:pPr>
              <w:spacing w:line="240" w:lineRule="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3507D2" w:rsidP="004C501E" w:rsidRDefault="003507D2" w14:paraId="1EC20D64" w14:textId="77777777">
            <w:pPr>
              <w:spacing w:line="240" w:lineRule="auto"/>
              <w:rPr>
                <w:rFonts w:eastAsia="Times New Roman" w:cs="Times New Roman"/>
              </w:rPr>
            </w:pPr>
          </w:p>
        </w:tc>
        <w:tc>
          <w:tcPr>
            <w:tcW w:w="968" w:type="dxa"/>
            <w:tcBorders>
              <w:top w:val="nil"/>
              <w:left w:val="nil"/>
              <w:bottom w:val="nil"/>
              <w:right w:val="single" w:color="auto" w:sz="8" w:space="0"/>
            </w:tcBorders>
            <w:shd w:val="clear" w:color="auto" w:fill="auto"/>
            <w:noWrap/>
            <w:hideMark/>
          </w:tcPr>
          <w:p w:rsidRPr="00EA0AAA" w:rsidR="003507D2" w:rsidP="004C501E" w:rsidRDefault="003507D2" w14:paraId="15887206" w14:textId="77777777">
            <w:pPr>
              <w:spacing w:line="240" w:lineRule="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3507D2" w:rsidP="004C501E" w:rsidRDefault="003507D2" w14:paraId="2E8B089A" w14:textId="77777777">
            <w:pPr>
              <w:spacing w:line="240" w:lineRule="auto"/>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EA0AAA" w:rsidR="003507D2" w:rsidP="004C501E" w:rsidRDefault="003507D2" w14:paraId="26D5CD2B" w14:textId="77777777">
            <w:pPr>
              <w:spacing w:line="240" w:lineRule="auto"/>
              <w:rPr>
                <w:rFonts w:eastAsia="Times New Roman" w:cs="Times New Roman"/>
              </w:rPr>
            </w:pPr>
          </w:p>
        </w:tc>
      </w:tr>
      <w:tr w:rsidRPr="00AF1055" w:rsidR="003507D2" w:rsidTr="004C501E" w14:paraId="3D46B59B" w14:textId="77777777">
        <w:trPr>
          <w:trHeight w:val="6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16E43B44" w14:textId="77777777">
            <w:pPr>
              <w:spacing w:line="240" w:lineRule="auto"/>
              <w:rPr>
                <w:rFonts w:eastAsia="Times New Roman" w:cs="Times New Roman"/>
              </w:rPr>
            </w:pPr>
            <w:r w:rsidRPr="00AF1055">
              <w:rPr>
                <w:rFonts w:eastAsia="Times New Roman" w:cs="Times New Roman"/>
              </w:rPr>
              <w:t>Leveringskosten</w:t>
            </w:r>
          </w:p>
        </w:tc>
        <w:tc>
          <w:tcPr>
            <w:tcW w:w="968" w:type="dxa"/>
            <w:tcBorders>
              <w:top w:val="nil"/>
              <w:left w:val="single" w:color="auto" w:sz="4" w:space="0"/>
              <w:bottom w:val="nil"/>
              <w:right w:val="single" w:color="auto" w:sz="8" w:space="0"/>
            </w:tcBorders>
            <w:shd w:val="clear" w:color="auto" w:fill="auto"/>
            <w:noWrap/>
            <w:hideMark/>
          </w:tcPr>
          <w:p w:rsidRPr="00AF1055" w:rsidR="003507D2" w:rsidP="004C501E" w:rsidRDefault="003507D2" w14:paraId="4CC2695B" w14:textId="77777777">
            <w:pPr>
              <w:spacing w:line="240" w:lineRule="auto"/>
              <w:jc w:val="right"/>
              <w:rPr>
                <w:rFonts w:eastAsia="Times New Roman" w:cs="Times New Roman"/>
              </w:rPr>
            </w:pPr>
            <w:r w:rsidRPr="00C75C90">
              <w:t>€ 536</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950B71A" w14:textId="77777777">
            <w:pPr>
              <w:spacing w:line="240" w:lineRule="auto"/>
              <w:jc w:val="right"/>
              <w:rPr>
                <w:rFonts w:eastAsia="Times New Roman" w:cs="Times New Roman"/>
              </w:rPr>
            </w:pPr>
            <w:r w:rsidRPr="00C75C90">
              <w:t>€ 594</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088D41A2" w14:textId="77777777">
            <w:pPr>
              <w:spacing w:line="240" w:lineRule="auto"/>
              <w:jc w:val="right"/>
              <w:rPr>
                <w:rFonts w:eastAsia="Times New Roman" w:cs="Times New Roman"/>
              </w:rPr>
            </w:pPr>
            <w:r w:rsidRPr="00C75C90">
              <w:t>€ 645</w:t>
            </w:r>
          </w:p>
        </w:tc>
        <w:tc>
          <w:tcPr>
            <w:tcW w:w="968" w:type="dxa"/>
            <w:tcBorders>
              <w:top w:val="nil"/>
              <w:left w:val="nil"/>
              <w:bottom w:val="nil"/>
              <w:right w:val="single" w:color="auto" w:sz="8" w:space="0"/>
            </w:tcBorders>
            <w:shd w:val="clear" w:color="auto" w:fill="auto"/>
            <w:noWrap/>
            <w:hideMark/>
          </w:tcPr>
          <w:p w:rsidRPr="00AF1055" w:rsidR="003507D2" w:rsidP="004C501E" w:rsidRDefault="003507D2" w14:paraId="2E1B8785" w14:textId="77777777">
            <w:pPr>
              <w:spacing w:line="240" w:lineRule="auto"/>
              <w:jc w:val="right"/>
              <w:rPr>
                <w:rFonts w:eastAsia="Times New Roman" w:cs="Times New Roman"/>
              </w:rPr>
            </w:pPr>
            <w:r w:rsidRPr="00C75C90">
              <w:t>€ 671</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712ABE79" w14:textId="77777777">
            <w:pPr>
              <w:spacing w:line="240" w:lineRule="auto"/>
              <w:jc w:val="right"/>
              <w:rPr>
                <w:rFonts w:eastAsia="Times New Roman" w:cs="Times New Roman"/>
              </w:rPr>
            </w:pPr>
            <w:r w:rsidRPr="00C75C90">
              <w:t>€ 697</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0FDA1AE6" w14:textId="77777777">
            <w:pPr>
              <w:spacing w:line="240" w:lineRule="auto"/>
              <w:jc w:val="right"/>
              <w:rPr>
                <w:rFonts w:eastAsia="Times New Roman" w:cs="Times New Roman"/>
              </w:rPr>
            </w:pPr>
            <w:r w:rsidRPr="00C75C90">
              <w:t>€ 684</w:t>
            </w:r>
          </w:p>
        </w:tc>
      </w:tr>
      <w:tr w:rsidRPr="00AF1055" w:rsidR="003507D2" w:rsidTr="004C501E" w14:paraId="2F5067CC" w14:textId="77777777">
        <w:trPr>
          <w:trHeight w:val="68"/>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3507D2" w:rsidP="004C501E" w:rsidRDefault="003507D2" w14:paraId="5CB1E328" w14:textId="77777777">
            <w:pPr>
              <w:spacing w:line="240" w:lineRule="auto"/>
              <w:rPr>
                <w:rFonts w:eastAsia="Times New Roman" w:cs="Times New Roman"/>
              </w:rPr>
            </w:pPr>
            <w:r w:rsidRPr="00AF1055">
              <w:rPr>
                <w:rFonts w:eastAsia="Times New Roman" w:cs="Times New Roman"/>
              </w:rPr>
              <w:t>Energiebelasting gas</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3507D2" w:rsidP="004C501E" w:rsidRDefault="003507D2" w14:paraId="2F646C4B" w14:textId="77777777">
            <w:pPr>
              <w:spacing w:line="240" w:lineRule="auto"/>
              <w:jc w:val="right"/>
              <w:rPr>
                <w:rFonts w:eastAsia="Times New Roman" w:cs="Times New Roman"/>
              </w:rPr>
            </w:pPr>
            <w:r w:rsidRPr="00C75C90">
              <w:t>€ 581</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3A9B4F44" w14:textId="77777777">
            <w:pPr>
              <w:spacing w:line="240" w:lineRule="auto"/>
              <w:jc w:val="right"/>
              <w:rPr>
                <w:rFonts w:eastAsia="Times New Roman" w:cs="Times New Roman"/>
              </w:rPr>
            </w:pPr>
            <w:r w:rsidRPr="00C75C90">
              <w:t>€ 644</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733CAB42" w14:textId="77777777">
            <w:pPr>
              <w:spacing w:line="240" w:lineRule="auto"/>
              <w:jc w:val="right"/>
              <w:rPr>
                <w:rFonts w:eastAsia="Times New Roman" w:cs="Times New Roman"/>
              </w:rPr>
            </w:pPr>
            <w:r w:rsidRPr="00C75C90">
              <w:t>€ 700</w:t>
            </w:r>
          </w:p>
        </w:tc>
        <w:tc>
          <w:tcPr>
            <w:tcW w:w="968"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7982EEB8" w14:textId="77777777">
            <w:pPr>
              <w:spacing w:line="240" w:lineRule="auto"/>
              <w:jc w:val="right"/>
              <w:rPr>
                <w:rFonts w:eastAsia="Times New Roman" w:cs="Times New Roman"/>
              </w:rPr>
            </w:pPr>
            <w:r w:rsidRPr="00C75C90">
              <w:t>€ 728</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2F0D10D7" w14:textId="77777777">
            <w:pPr>
              <w:spacing w:line="240" w:lineRule="auto"/>
              <w:jc w:val="right"/>
              <w:rPr>
                <w:rFonts w:eastAsia="Times New Roman" w:cs="Times New Roman"/>
              </w:rPr>
            </w:pPr>
            <w:r w:rsidRPr="00C75C90">
              <w:t>€ 756</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234BD5A9" w14:textId="77777777">
            <w:pPr>
              <w:spacing w:line="240" w:lineRule="auto"/>
              <w:jc w:val="right"/>
              <w:rPr>
                <w:rFonts w:eastAsia="Times New Roman" w:cs="Times New Roman"/>
              </w:rPr>
            </w:pPr>
            <w:r w:rsidRPr="00C75C90">
              <w:t>€ 742</w:t>
            </w:r>
          </w:p>
        </w:tc>
      </w:tr>
      <w:tr w:rsidRPr="00AF1055" w:rsidR="003507D2" w:rsidTr="004C501E" w14:paraId="0C6A59E0" w14:textId="77777777">
        <w:trPr>
          <w:trHeight w:val="174"/>
        </w:trPr>
        <w:tc>
          <w:tcPr>
            <w:tcW w:w="2835" w:type="dxa"/>
            <w:tcBorders>
              <w:top w:val="nil"/>
              <w:left w:val="single" w:color="auto" w:sz="8" w:space="0"/>
              <w:bottom w:val="dotted" w:color="auto" w:sz="4" w:space="0"/>
              <w:right w:val="single" w:color="auto" w:sz="4" w:space="0"/>
            </w:tcBorders>
            <w:shd w:val="clear" w:color="auto" w:fill="auto"/>
            <w:noWrap/>
            <w:vAlign w:val="center"/>
            <w:hideMark/>
          </w:tcPr>
          <w:p w:rsidRPr="00AF1055" w:rsidR="003507D2" w:rsidP="004C501E" w:rsidRDefault="003507D2" w14:paraId="3AAAC7D0" w14:textId="77777777">
            <w:pPr>
              <w:spacing w:line="240" w:lineRule="auto"/>
              <w:rPr>
                <w:rFonts w:eastAsia="Times New Roman" w:cs="Times New Roman"/>
                <w:i/>
                <w:iCs/>
              </w:rPr>
            </w:pPr>
            <w:r w:rsidRPr="00AF1055">
              <w:rPr>
                <w:rFonts w:eastAsia="Times New Roman" w:cs="Times New Roman"/>
                <w:i/>
                <w:iCs/>
              </w:rPr>
              <w:t>Variabele kosten elektra</w:t>
            </w:r>
          </w:p>
        </w:tc>
        <w:tc>
          <w:tcPr>
            <w:tcW w:w="968" w:type="dxa"/>
            <w:tcBorders>
              <w:top w:val="nil"/>
              <w:left w:val="single" w:color="auto" w:sz="4" w:space="0"/>
              <w:bottom w:val="dotted" w:color="auto" w:sz="4" w:space="0"/>
              <w:right w:val="single" w:color="auto" w:sz="8" w:space="0"/>
            </w:tcBorders>
            <w:shd w:val="clear" w:color="auto" w:fill="auto"/>
            <w:noWrap/>
            <w:hideMark/>
          </w:tcPr>
          <w:p w:rsidRPr="00960586" w:rsidR="003507D2" w:rsidP="004C501E" w:rsidRDefault="003507D2" w14:paraId="44C05413" w14:textId="77777777">
            <w:pPr>
              <w:spacing w:line="240" w:lineRule="auto"/>
              <w:jc w:val="right"/>
              <w:rPr>
                <w:rFonts w:eastAsia="Times New Roman" w:cs="Times New Roman"/>
                <w:i/>
                <w:iCs/>
              </w:rPr>
            </w:pPr>
            <w:r w:rsidRPr="00960586">
              <w:rPr>
                <w:i/>
                <w:iCs/>
              </w:rPr>
              <w:t>€ 622</w:t>
            </w:r>
          </w:p>
        </w:tc>
        <w:tc>
          <w:tcPr>
            <w:tcW w:w="969" w:type="dxa"/>
            <w:tcBorders>
              <w:top w:val="nil"/>
              <w:left w:val="nil"/>
              <w:bottom w:val="dotted" w:color="auto" w:sz="4" w:space="0"/>
              <w:right w:val="single" w:color="auto" w:sz="8" w:space="0"/>
            </w:tcBorders>
            <w:shd w:val="clear" w:color="auto" w:fill="auto"/>
            <w:noWrap/>
            <w:hideMark/>
          </w:tcPr>
          <w:p w:rsidRPr="00960586" w:rsidR="003507D2" w:rsidP="004C501E" w:rsidRDefault="003507D2" w14:paraId="21662AC1" w14:textId="77777777">
            <w:pPr>
              <w:spacing w:line="240" w:lineRule="auto"/>
              <w:jc w:val="right"/>
              <w:rPr>
                <w:rFonts w:eastAsia="Times New Roman" w:cs="Times New Roman"/>
                <w:i/>
                <w:iCs/>
              </w:rPr>
            </w:pPr>
            <w:r w:rsidRPr="00960586">
              <w:rPr>
                <w:i/>
                <w:iCs/>
              </w:rPr>
              <w:t>€ 610</w:t>
            </w:r>
          </w:p>
        </w:tc>
        <w:tc>
          <w:tcPr>
            <w:tcW w:w="969" w:type="dxa"/>
            <w:tcBorders>
              <w:top w:val="nil"/>
              <w:left w:val="nil"/>
              <w:bottom w:val="dotted" w:color="auto" w:sz="4" w:space="0"/>
              <w:right w:val="single" w:color="auto" w:sz="8" w:space="0"/>
            </w:tcBorders>
            <w:shd w:val="clear" w:color="auto" w:fill="auto"/>
            <w:noWrap/>
            <w:hideMark/>
          </w:tcPr>
          <w:p w:rsidRPr="00960586" w:rsidR="003507D2" w:rsidP="004C501E" w:rsidRDefault="003507D2" w14:paraId="6782FD63" w14:textId="77777777">
            <w:pPr>
              <w:spacing w:line="240" w:lineRule="auto"/>
              <w:jc w:val="right"/>
              <w:rPr>
                <w:rFonts w:eastAsia="Times New Roman" w:cs="Times New Roman"/>
                <w:i/>
                <w:iCs/>
              </w:rPr>
            </w:pPr>
            <w:r w:rsidRPr="00960586">
              <w:rPr>
                <w:i/>
                <w:iCs/>
              </w:rPr>
              <w:t>€ 588</w:t>
            </w:r>
          </w:p>
        </w:tc>
        <w:tc>
          <w:tcPr>
            <w:tcW w:w="968" w:type="dxa"/>
            <w:tcBorders>
              <w:top w:val="nil"/>
              <w:left w:val="nil"/>
              <w:bottom w:val="dotted" w:color="auto" w:sz="4" w:space="0"/>
              <w:right w:val="single" w:color="auto" w:sz="8" w:space="0"/>
            </w:tcBorders>
            <w:shd w:val="clear" w:color="auto" w:fill="auto"/>
            <w:noWrap/>
            <w:hideMark/>
          </w:tcPr>
          <w:p w:rsidRPr="00960586" w:rsidR="003507D2" w:rsidP="004C501E" w:rsidRDefault="003507D2" w14:paraId="273F9F8D" w14:textId="77777777">
            <w:pPr>
              <w:spacing w:line="240" w:lineRule="auto"/>
              <w:jc w:val="right"/>
              <w:rPr>
                <w:rFonts w:eastAsia="Times New Roman" w:cs="Times New Roman"/>
                <w:i/>
                <w:iCs/>
              </w:rPr>
            </w:pPr>
            <w:r w:rsidRPr="00960586">
              <w:rPr>
                <w:i/>
                <w:iCs/>
              </w:rPr>
              <w:t>€ 557</w:t>
            </w:r>
          </w:p>
        </w:tc>
        <w:tc>
          <w:tcPr>
            <w:tcW w:w="969" w:type="dxa"/>
            <w:tcBorders>
              <w:top w:val="nil"/>
              <w:left w:val="nil"/>
              <w:bottom w:val="dotted" w:color="auto" w:sz="4" w:space="0"/>
              <w:right w:val="single" w:color="auto" w:sz="8" w:space="0"/>
            </w:tcBorders>
            <w:shd w:val="clear" w:color="auto" w:fill="auto"/>
            <w:noWrap/>
            <w:hideMark/>
          </w:tcPr>
          <w:p w:rsidRPr="00960586" w:rsidR="003507D2" w:rsidP="004C501E" w:rsidRDefault="003507D2" w14:paraId="4ED89CDE" w14:textId="77777777">
            <w:pPr>
              <w:spacing w:line="240" w:lineRule="auto"/>
              <w:jc w:val="right"/>
              <w:rPr>
                <w:rFonts w:eastAsia="Times New Roman" w:cs="Times New Roman"/>
                <w:i/>
                <w:iCs/>
              </w:rPr>
            </w:pPr>
            <w:r w:rsidRPr="00960586">
              <w:rPr>
                <w:i/>
                <w:iCs/>
              </w:rPr>
              <w:t>€ 543</w:t>
            </w:r>
          </w:p>
        </w:tc>
        <w:tc>
          <w:tcPr>
            <w:tcW w:w="969" w:type="dxa"/>
            <w:tcBorders>
              <w:top w:val="nil"/>
              <w:left w:val="nil"/>
              <w:bottom w:val="dotted" w:color="auto" w:sz="4" w:space="0"/>
              <w:right w:val="single" w:color="auto" w:sz="8" w:space="0"/>
            </w:tcBorders>
            <w:shd w:val="clear" w:color="auto" w:fill="auto"/>
            <w:noWrap/>
            <w:hideMark/>
          </w:tcPr>
          <w:p w:rsidRPr="00960586" w:rsidR="003507D2" w:rsidP="004C501E" w:rsidRDefault="003507D2" w14:paraId="6706D6C6" w14:textId="77777777">
            <w:pPr>
              <w:spacing w:line="240" w:lineRule="auto"/>
              <w:jc w:val="right"/>
              <w:rPr>
                <w:rFonts w:eastAsia="Times New Roman" w:cs="Times New Roman"/>
                <w:i/>
                <w:iCs/>
              </w:rPr>
            </w:pPr>
            <w:r w:rsidRPr="00960586">
              <w:rPr>
                <w:i/>
                <w:iCs/>
              </w:rPr>
              <w:t>€ 492</w:t>
            </w:r>
          </w:p>
        </w:tc>
      </w:tr>
      <w:tr w:rsidRPr="00AF1055" w:rsidR="003507D2" w:rsidTr="004C501E" w14:paraId="587673F9" w14:textId="77777777">
        <w:trPr>
          <w:trHeight w:val="5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6706A816" w14:textId="77777777">
            <w:pPr>
              <w:spacing w:line="240" w:lineRule="auto"/>
              <w:rPr>
                <w:rFonts w:eastAsia="Times New Roman" w:cs="Times New Roman"/>
              </w:rPr>
            </w:pPr>
            <w:r w:rsidRPr="00AF1055">
              <w:rPr>
                <w:rFonts w:eastAsia="Times New Roman" w:cs="Times New Roman"/>
              </w:rPr>
              <w:t>Waarvan:</w:t>
            </w:r>
          </w:p>
        </w:tc>
        <w:tc>
          <w:tcPr>
            <w:tcW w:w="968" w:type="dxa"/>
            <w:tcBorders>
              <w:top w:val="nil"/>
              <w:left w:val="single" w:color="auto" w:sz="4" w:space="0"/>
              <w:bottom w:val="nil"/>
              <w:right w:val="single" w:color="auto" w:sz="8" w:space="0"/>
            </w:tcBorders>
            <w:shd w:val="clear" w:color="auto" w:fill="auto"/>
            <w:noWrap/>
            <w:hideMark/>
          </w:tcPr>
          <w:p w:rsidRPr="00AF1055" w:rsidR="003507D2" w:rsidP="004C501E" w:rsidRDefault="003507D2" w14:paraId="056B394D" w14:textId="77777777">
            <w:pPr>
              <w:spacing w:line="240" w:lineRule="auto"/>
              <w:jc w:val="right"/>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7D81E243" w14:textId="77777777">
            <w:pPr>
              <w:spacing w:line="240" w:lineRule="auto"/>
              <w:jc w:val="right"/>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7AD21361" w14:textId="77777777">
            <w:pPr>
              <w:spacing w:line="240" w:lineRule="auto"/>
              <w:jc w:val="right"/>
              <w:rPr>
                <w:rFonts w:eastAsia="Times New Roman" w:cs="Times New Roman"/>
              </w:rPr>
            </w:pPr>
          </w:p>
        </w:tc>
        <w:tc>
          <w:tcPr>
            <w:tcW w:w="968" w:type="dxa"/>
            <w:tcBorders>
              <w:top w:val="nil"/>
              <w:left w:val="nil"/>
              <w:bottom w:val="nil"/>
              <w:right w:val="single" w:color="auto" w:sz="8" w:space="0"/>
            </w:tcBorders>
            <w:shd w:val="clear" w:color="auto" w:fill="auto"/>
            <w:noWrap/>
            <w:hideMark/>
          </w:tcPr>
          <w:p w:rsidRPr="00AF1055" w:rsidR="003507D2" w:rsidP="004C501E" w:rsidRDefault="003507D2" w14:paraId="683E77EE" w14:textId="77777777">
            <w:pPr>
              <w:spacing w:line="240" w:lineRule="auto"/>
              <w:jc w:val="right"/>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3F8BE3DE" w14:textId="77777777">
            <w:pPr>
              <w:spacing w:line="240" w:lineRule="auto"/>
              <w:jc w:val="right"/>
              <w:rPr>
                <w:rFonts w:eastAsia="Times New Roman" w:cs="Times New Roman"/>
              </w:rPr>
            </w:pP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74B17F88" w14:textId="77777777">
            <w:pPr>
              <w:spacing w:line="240" w:lineRule="auto"/>
              <w:jc w:val="right"/>
              <w:rPr>
                <w:rFonts w:eastAsia="Times New Roman" w:cs="Times New Roman"/>
              </w:rPr>
            </w:pPr>
          </w:p>
        </w:tc>
      </w:tr>
      <w:tr w:rsidRPr="00AF1055" w:rsidR="003507D2" w:rsidTr="004C501E" w14:paraId="39343057" w14:textId="77777777">
        <w:trPr>
          <w:trHeight w:val="6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534C0321" w14:textId="77777777">
            <w:pPr>
              <w:spacing w:line="240" w:lineRule="auto"/>
              <w:rPr>
                <w:rFonts w:eastAsia="Times New Roman" w:cs="Times New Roman"/>
              </w:rPr>
            </w:pPr>
            <w:r w:rsidRPr="00AF1055">
              <w:rPr>
                <w:rFonts w:eastAsia="Times New Roman" w:cs="Times New Roman"/>
              </w:rPr>
              <w:t>Leveringskosten</w:t>
            </w:r>
          </w:p>
        </w:tc>
        <w:tc>
          <w:tcPr>
            <w:tcW w:w="968" w:type="dxa"/>
            <w:tcBorders>
              <w:top w:val="nil"/>
              <w:left w:val="single" w:color="auto" w:sz="4" w:space="0"/>
              <w:bottom w:val="nil"/>
              <w:right w:val="single" w:color="auto" w:sz="8" w:space="0"/>
            </w:tcBorders>
            <w:shd w:val="clear" w:color="auto" w:fill="auto"/>
            <w:noWrap/>
            <w:hideMark/>
          </w:tcPr>
          <w:p w:rsidRPr="00AF1055" w:rsidR="003507D2" w:rsidP="004C501E" w:rsidRDefault="003507D2" w14:paraId="2620E381" w14:textId="77777777">
            <w:pPr>
              <w:spacing w:line="240" w:lineRule="auto"/>
              <w:jc w:val="right"/>
              <w:rPr>
                <w:rFonts w:eastAsia="Times New Roman" w:cs="Times New Roman"/>
              </w:rPr>
            </w:pPr>
            <w:r w:rsidRPr="00C75C90">
              <w:t>€ 350</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6C48F86" w14:textId="77777777">
            <w:pPr>
              <w:spacing w:line="240" w:lineRule="auto"/>
              <w:jc w:val="right"/>
              <w:rPr>
                <w:rFonts w:eastAsia="Times New Roman" w:cs="Times New Roman"/>
              </w:rPr>
            </w:pPr>
            <w:r w:rsidRPr="00C75C90">
              <w:t>€ 344</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4DC2E258" w14:textId="77777777">
            <w:pPr>
              <w:spacing w:line="240" w:lineRule="auto"/>
              <w:jc w:val="right"/>
              <w:rPr>
                <w:rFonts w:eastAsia="Times New Roman" w:cs="Times New Roman"/>
              </w:rPr>
            </w:pPr>
            <w:r w:rsidRPr="00C75C90">
              <w:t>€ 331</w:t>
            </w:r>
          </w:p>
        </w:tc>
        <w:tc>
          <w:tcPr>
            <w:tcW w:w="968" w:type="dxa"/>
            <w:tcBorders>
              <w:top w:val="nil"/>
              <w:left w:val="nil"/>
              <w:bottom w:val="nil"/>
              <w:right w:val="single" w:color="auto" w:sz="8" w:space="0"/>
            </w:tcBorders>
            <w:shd w:val="clear" w:color="auto" w:fill="auto"/>
            <w:noWrap/>
            <w:hideMark/>
          </w:tcPr>
          <w:p w:rsidRPr="00AF1055" w:rsidR="003507D2" w:rsidP="004C501E" w:rsidRDefault="003507D2" w14:paraId="48721B91" w14:textId="77777777">
            <w:pPr>
              <w:spacing w:line="240" w:lineRule="auto"/>
              <w:jc w:val="right"/>
              <w:rPr>
                <w:rFonts w:eastAsia="Times New Roman" w:cs="Times New Roman"/>
              </w:rPr>
            </w:pPr>
            <w:r w:rsidRPr="00C75C90">
              <w:t>€ 314</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C985C18" w14:textId="77777777">
            <w:pPr>
              <w:spacing w:line="240" w:lineRule="auto"/>
              <w:jc w:val="right"/>
              <w:rPr>
                <w:rFonts w:eastAsia="Times New Roman" w:cs="Times New Roman"/>
              </w:rPr>
            </w:pPr>
            <w:r w:rsidRPr="00C75C90">
              <w:t>€ 306</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5C11FD6D" w14:textId="77777777">
            <w:pPr>
              <w:spacing w:line="240" w:lineRule="auto"/>
              <w:jc w:val="right"/>
              <w:rPr>
                <w:rFonts w:eastAsia="Times New Roman" w:cs="Times New Roman"/>
              </w:rPr>
            </w:pPr>
            <w:r w:rsidRPr="00C75C90">
              <w:t>€ 277</w:t>
            </w:r>
          </w:p>
        </w:tc>
      </w:tr>
      <w:tr w:rsidRPr="00AF1055" w:rsidR="003507D2" w:rsidTr="004C501E" w14:paraId="471EFC5E" w14:textId="77777777">
        <w:trPr>
          <w:trHeight w:val="68"/>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3507D2" w:rsidP="004C501E" w:rsidRDefault="003507D2" w14:paraId="222F491B" w14:textId="77777777">
            <w:pPr>
              <w:spacing w:line="240" w:lineRule="auto"/>
              <w:rPr>
                <w:rFonts w:eastAsia="Times New Roman" w:cs="Times New Roman"/>
              </w:rPr>
            </w:pPr>
            <w:r w:rsidRPr="00AF1055">
              <w:rPr>
                <w:rFonts w:eastAsia="Times New Roman" w:cs="Times New Roman"/>
              </w:rPr>
              <w:t>Energiebelasting elektriciteit</w:t>
            </w:r>
          </w:p>
        </w:tc>
        <w:tc>
          <w:tcPr>
            <w:tcW w:w="968" w:type="dxa"/>
            <w:tcBorders>
              <w:top w:val="nil"/>
              <w:left w:val="single" w:color="auto" w:sz="4" w:space="0"/>
              <w:bottom w:val="double" w:color="auto" w:sz="6" w:space="0"/>
              <w:right w:val="single" w:color="auto" w:sz="8" w:space="0"/>
            </w:tcBorders>
            <w:shd w:val="clear" w:color="auto" w:fill="auto"/>
            <w:noWrap/>
            <w:hideMark/>
          </w:tcPr>
          <w:p w:rsidRPr="00EA0AAA" w:rsidR="003507D2" w:rsidP="004C501E" w:rsidRDefault="003507D2" w14:paraId="0B145FF0" w14:textId="77777777">
            <w:pPr>
              <w:spacing w:line="240" w:lineRule="auto"/>
              <w:jc w:val="right"/>
              <w:rPr>
                <w:rFonts w:eastAsia="Times New Roman" w:cs="Times New Roman"/>
              </w:rPr>
            </w:pPr>
            <w:r w:rsidRPr="00C75C90">
              <w:t>€ 272</w:t>
            </w:r>
          </w:p>
        </w:tc>
        <w:tc>
          <w:tcPr>
            <w:tcW w:w="969" w:type="dxa"/>
            <w:tcBorders>
              <w:top w:val="nil"/>
              <w:left w:val="nil"/>
              <w:bottom w:val="double" w:color="auto" w:sz="6" w:space="0"/>
              <w:right w:val="single" w:color="auto" w:sz="8" w:space="0"/>
            </w:tcBorders>
            <w:shd w:val="clear" w:color="auto" w:fill="auto"/>
            <w:noWrap/>
            <w:hideMark/>
          </w:tcPr>
          <w:p w:rsidRPr="00EA0AAA" w:rsidR="003507D2" w:rsidP="004C501E" w:rsidRDefault="003507D2" w14:paraId="27B12679" w14:textId="77777777">
            <w:pPr>
              <w:spacing w:line="240" w:lineRule="auto"/>
              <w:jc w:val="right"/>
              <w:rPr>
                <w:rFonts w:eastAsia="Times New Roman" w:cs="Times New Roman"/>
              </w:rPr>
            </w:pPr>
            <w:r w:rsidRPr="00C75C90">
              <w:t>€ 267</w:t>
            </w:r>
          </w:p>
        </w:tc>
        <w:tc>
          <w:tcPr>
            <w:tcW w:w="969" w:type="dxa"/>
            <w:tcBorders>
              <w:top w:val="nil"/>
              <w:left w:val="nil"/>
              <w:bottom w:val="double" w:color="auto" w:sz="6" w:space="0"/>
              <w:right w:val="single" w:color="auto" w:sz="8" w:space="0"/>
            </w:tcBorders>
            <w:shd w:val="clear" w:color="auto" w:fill="auto"/>
            <w:noWrap/>
            <w:hideMark/>
          </w:tcPr>
          <w:p w:rsidRPr="00EA0AAA" w:rsidR="003507D2" w:rsidP="004C501E" w:rsidRDefault="003507D2" w14:paraId="521DB0D8" w14:textId="77777777">
            <w:pPr>
              <w:spacing w:line="240" w:lineRule="auto"/>
              <w:jc w:val="right"/>
              <w:rPr>
                <w:rFonts w:eastAsia="Times New Roman" w:cs="Times New Roman"/>
              </w:rPr>
            </w:pPr>
            <w:r w:rsidRPr="00C75C90">
              <w:t>€ 257</w:t>
            </w:r>
          </w:p>
        </w:tc>
        <w:tc>
          <w:tcPr>
            <w:tcW w:w="968" w:type="dxa"/>
            <w:tcBorders>
              <w:top w:val="nil"/>
              <w:left w:val="nil"/>
              <w:bottom w:val="double" w:color="auto" w:sz="6" w:space="0"/>
              <w:right w:val="single" w:color="auto" w:sz="8" w:space="0"/>
            </w:tcBorders>
            <w:shd w:val="clear" w:color="auto" w:fill="auto"/>
            <w:noWrap/>
            <w:hideMark/>
          </w:tcPr>
          <w:p w:rsidRPr="00EA0AAA" w:rsidR="003507D2" w:rsidP="004C501E" w:rsidRDefault="003507D2" w14:paraId="581633D8" w14:textId="77777777">
            <w:pPr>
              <w:spacing w:line="240" w:lineRule="auto"/>
              <w:jc w:val="right"/>
              <w:rPr>
                <w:rFonts w:eastAsia="Times New Roman" w:cs="Times New Roman"/>
              </w:rPr>
            </w:pPr>
            <w:r w:rsidRPr="00C75C90">
              <w:t>€ 243</w:t>
            </w:r>
          </w:p>
        </w:tc>
        <w:tc>
          <w:tcPr>
            <w:tcW w:w="969" w:type="dxa"/>
            <w:tcBorders>
              <w:top w:val="nil"/>
              <w:left w:val="nil"/>
              <w:bottom w:val="double" w:color="auto" w:sz="6" w:space="0"/>
              <w:right w:val="single" w:color="auto" w:sz="8" w:space="0"/>
            </w:tcBorders>
            <w:shd w:val="clear" w:color="auto" w:fill="auto"/>
            <w:noWrap/>
            <w:hideMark/>
          </w:tcPr>
          <w:p w:rsidRPr="00EA0AAA" w:rsidR="003507D2" w:rsidP="004C501E" w:rsidRDefault="003507D2" w14:paraId="66CFDC74" w14:textId="77777777">
            <w:pPr>
              <w:spacing w:line="240" w:lineRule="auto"/>
              <w:jc w:val="right"/>
              <w:rPr>
                <w:rFonts w:eastAsia="Times New Roman" w:cs="Times New Roman"/>
              </w:rPr>
            </w:pPr>
            <w:r w:rsidRPr="00C75C90">
              <w:t>€ 237</w:t>
            </w:r>
          </w:p>
        </w:tc>
        <w:tc>
          <w:tcPr>
            <w:tcW w:w="969" w:type="dxa"/>
            <w:tcBorders>
              <w:top w:val="nil"/>
              <w:left w:val="nil"/>
              <w:bottom w:val="double" w:color="auto" w:sz="6" w:space="0"/>
              <w:right w:val="single" w:color="auto" w:sz="8" w:space="0"/>
            </w:tcBorders>
            <w:shd w:val="clear" w:color="auto" w:fill="auto"/>
            <w:noWrap/>
            <w:hideMark/>
          </w:tcPr>
          <w:p w:rsidRPr="00EA0AAA" w:rsidR="003507D2" w:rsidP="004C501E" w:rsidRDefault="003507D2" w14:paraId="4F493910" w14:textId="77777777">
            <w:pPr>
              <w:spacing w:line="240" w:lineRule="auto"/>
              <w:jc w:val="right"/>
              <w:rPr>
                <w:rFonts w:eastAsia="Times New Roman" w:cs="Times New Roman"/>
              </w:rPr>
            </w:pPr>
            <w:r w:rsidRPr="00C75C90">
              <w:t>€ 215</w:t>
            </w:r>
          </w:p>
        </w:tc>
      </w:tr>
      <w:tr w:rsidRPr="00AF1055" w:rsidR="003507D2" w:rsidTr="004C501E" w14:paraId="5B5EFEB4" w14:textId="77777777">
        <w:trPr>
          <w:trHeight w:val="89"/>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3507D2" w:rsidP="004C501E" w:rsidRDefault="003507D2" w14:paraId="0AC48F06" w14:textId="77777777">
            <w:pPr>
              <w:spacing w:line="240" w:lineRule="auto"/>
              <w:rPr>
                <w:rFonts w:eastAsia="Times New Roman" w:cs="Times New Roman"/>
                <w:b/>
                <w:bCs/>
              </w:rPr>
            </w:pPr>
            <w:r w:rsidRPr="00AF1055">
              <w:rPr>
                <w:rFonts w:eastAsia="Times New Roman" w:cs="Times New Roman"/>
                <w:b/>
                <w:bCs/>
              </w:rPr>
              <w:t>Totaal variabel (G+E)</w:t>
            </w:r>
          </w:p>
        </w:tc>
        <w:tc>
          <w:tcPr>
            <w:tcW w:w="968" w:type="dxa"/>
            <w:tcBorders>
              <w:top w:val="nil"/>
              <w:left w:val="single" w:color="auto" w:sz="4" w:space="0"/>
              <w:bottom w:val="double" w:color="auto" w:sz="6" w:space="0"/>
              <w:right w:val="single" w:color="auto" w:sz="8" w:space="0"/>
            </w:tcBorders>
            <w:shd w:val="clear" w:color="auto" w:fill="auto"/>
            <w:noWrap/>
            <w:hideMark/>
          </w:tcPr>
          <w:p w:rsidRPr="00960586" w:rsidR="003507D2" w:rsidP="004C501E" w:rsidRDefault="003507D2" w14:paraId="31AF89BC" w14:textId="77777777">
            <w:pPr>
              <w:spacing w:line="240" w:lineRule="auto"/>
              <w:jc w:val="right"/>
              <w:rPr>
                <w:rFonts w:eastAsia="Times New Roman" w:cs="Times New Roman"/>
                <w:b/>
                <w:bCs/>
              </w:rPr>
            </w:pPr>
            <w:r w:rsidRPr="00960586">
              <w:rPr>
                <w:b/>
                <w:bCs/>
              </w:rPr>
              <w:t>€ 1.738</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3643BFBF" w14:textId="77777777">
            <w:pPr>
              <w:spacing w:line="240" w:lineRule="auto"/>
              <w:jc w:val="right"/>
              <w:rPr>
                <w:rFonts w:eastAsia="Times New Roman" w:cs="Times New Roman"/>
                <w:b/>
                <w:bCs/>
              </w:rPr>
            </w:pPr>
            <w:r w:rsidRPr="00960586">
              <w:rPr>
                <w:b/>
                <w:bCs/>
              </w:rPr>
              <w:t>€ 1.848</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601FE30B" w14:textId="77777777">
            <w:pPr>
              <w:spacing w:line="240" w:lineRule="auto"/>
              <w:jc w:val="right"/>
              <w:rPr>
                <w:rFonts w:eastAsia="Times New Roman" w:cs="Times New Roman"/>
                <w:b/>
                <w:bCs/>
              </w:rPr>
            </w:pPr>
            <w:r w:rsidRPr="00960586">
              <w:rPr>
                <w:b/>
                <w:bCs/>
              </w:rPr>
              <w:t>€ 1.933</w:t>
            </w:r>
          </w:p>
        </w:tc>
        <w:tc>
          <w:tcPr>
            <w:tcW w:w="968"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425602F9" w14:textId="77777777">
            <w:pPr>
              <w:spacing w:line="240" w:lineRule="auto"/>
              <w:jc w:val="right"/>
              <w:rPr>
                <w:rFonts w:eastAsia="Times New Roman" w:cs="Times New Roman"/>
                <w:b/>
                <w:bCs/>
              </w:rPr>
            </w:pPr>
            <w:r w:rsidRPr="00960586">
              <w:rPr>
                <w:b/>
                <w:bCs/>
              </w:rPr>
              <w:t>€ 1.956</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78BCEC76" w14:textId="77777777">
            <w:pPr>
              <w:spacing w:line="240" w:lineRule="auto"/>
              <w:jc w:val="right"/>
              <w:rPr>
                <w:rFonts w:eastAsia="Times New Roman" w:cs="Times New Roman"/>
                <w:b/>
                <w:bCs/>
              </w:rPr>
            </w:pPr>
            <w:r w:rsidRPr="00960586">
              <w:rPr>
                <w:b/>
                <w:bCs/>
              </w:rPr>
              <w:t>€ 1.995</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02C85B30" w14:textId="77777777">
            <w:pPr>
              <w:spacing w:line="240" w:lineRule="auto"/>
              <w:jc w:val="right"/>
              <w:rPr>
                <w:rFonts w:eastAsia="Times New Roman" w:cs="Times New Roman"/>
                <w:b/>
                <w:bCs/>
              </w:rPr>
            </w:pPr>
            <w:r w:rsidRPr="00960586">
              <w:rPr>
                <w:b/>
                <w:bCs/>
              </w:rPr>
              <w:t>€ 1.918</w:t>
            </w:r>
          </w:p>
        </w:tc>
      </w:tr>
      <w:tr w:rsidRPr="00AF1055" w:rsidR="003507D2" w:rsidTr="004C501E" w14:paraId="730D4CE4" w14:textId="77777777">
        <w:trPr>
          <w:trHeight w:val="23"/>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665E170F" w14:textId="77777777">
            <w:pPr>
              <w:spacing w:line="240" w:lineRule="auto"/>
              <w:rPr>
                <w:rFonts w:eastAsia="Times New Roman" w:cs="Times New Roman"/>
              </w:rPr>
            </w:pPr>
            <w:r w:rsidRPr="00AF1055">
              <w:rPr>
                <w:rFonts w:eastAsia="Times New Roman" w:cs="Times New Roman"/>
              </w:rPr>
              <w:t>Netbeheerkosten gas</w:t>
            </w:r>
          </w:p>
        </w:tc>
        <w:tc>
          <w:tcPr>
            <w:tcW w:w="968" w:type="dxa"/>
            <w:tcBorders>
              <w:top w:val="nil"/>
              <w:left w:val="single" w:color="auto" w:sz="4" w:space="0"/>
              <w:bottom w:val="nil"/>
              <w:right w:val="single" w:color="auto" w:sz="8" w:space="0"/>
            </w:tcBorders>
            <w:shd w:val="clear" w:color="auto" w:fill="auto"/>
            <w:noWrap/>
            <w:hideMark/>
          </w:tcPr>
          <w:p w:rsidRPr="00AF1055" w:rsidR="003507D2" w:rsidP="004C501E" w:rsidRDefault="003507D2" w14:paraId="42A778DC" w14:textId="77777777">
            <w:pPr>
              <w:spacing w:line="240" w:lineRule="auto"/>
              <w:jc w:val="right"/>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2DD464AB" w14:textId="77777777">
            <w:pPr>
              <w:spacing w:line="240" w:lineRule="auto"/>
              <w:jc w:val="right"/>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4826B84E" w14:textId="77777777">
            <w:pPr>
              <w:spacing w:line="240" w:lineRule="auto"/>
              <w:jc w:val="right"/>
              <w:rPr>
                <w:rFonts w:eastAsia="Times New Roman" w:cs="Times New Roman"/>
              </w:rPr>
            </w:pPr>
            <w:r w:rsidRPr="00C75C90">
              <w:t>€ 248</w:t>
            </w:r>
          </w:p>
        </w:tc>
        <w:tc>
          <w:tcPr>
            <w:tcW w:w="968" w:type="dxa"/>
            <w:tcBorders>
              <w:top w:val="nil"/>
              <w:left w:val="nil"/>
              <w:bottom w:val="nil"/>
              <w:right w:val="single" w:color="auto" w:sz="8" w:space="0"/>
            </w:tcBorders>
            <w:shd w:val="clear" w:color="auto" w:fill="auto"/>
            <w:noWrap/>
            <w:hideMark/>
          </w:tcPr>
          <w:p w:rsidRPr="00AF1055" w:rsidR="003507D2" w:rsidP="004C501E" w:rsidRDefault="003507D2" w14:paraId="10796D6B" w14:textId="77777777">
            <w:pPr>
              <w:spacing w:line="240" w:lineRule="auto"/>
              <w:jc w:val="right"/>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1D6756A0" w14:textId="77777777">
            <w:pPr>
              <w:spacing w:line="240" w:lineRule="auto"/>
              <w:jc w:val="right"/>
              <w:rPr>
                <w:rFonts w:eastAsia="Times New Roman" w:cs="Times New Roman"/>
              </w:rPr>
            </w:pPr>
            <w:r w:rsidRPr="00C75C90">
              <w:t>€ 248</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2072E6CF" w14:textId="77777777">
            <w:pPr>
              <w:spacing w:line="240" w:lineRule="auto"/>
              <w:jc w:val="right"/>
              <w:rPr>
                <w:rFonts w:eastAsia="Times New Roman" w:cs="Times New Roman"/>
              </w:rPr>
            </w:pPr>
            <w:r w:rsidRPr="00C75C90">
              <w:t>€ 248</w:t>
            </w:r>
          </w:p>
        </w:tc>
      </w:tr>
      <w:tr w:rsidRPr="00AF1055" w:rsidR="003507D2" w:rsidTr="004C501E" w14:paraId="635E7099" w14:textId="77777777">
        <w:trPr>
          <w:trHeight w:val="68"/>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3507D2" w:rsidP="004C501E" w:rsidRDefault="003507D2" w14:paraId="604BC1C9" w14:textId="77777777">
            <w:pPr>
              <w:spacing w:line="240" w:lineRule="auto"/>
              <w:rPr>
                <w:rFonts w:eastAsia="Times New Roman" w:cs="Times New Roman"/>
              </w:rPr>
            </w:pPr>
            <w:r w:rsidRPr="00AF1055">
              <w:rPr>
                <w:rFonts w:eastAsia="Times New Roman" w:cs="Times New Roman"/>
              </w:rPr>
              <w:t>Leveringskosten gas</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3507D2" w:rsidP="004C501E" w:rsidRDefault="003507D2" w14:paraId="555618B4" w14:textId="77777777">
            <w:pPr>
              <w:spacing w:line="240" w:lineRule="auto"/>
              <w:jc w:val="right"/>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62FEA5AD" w14:textId="77777777">
            <w:pPr>
              <w:spacing w:line="240" w:lineRule="auto"/>
              <w:jc w:val="right"/>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5E26DA74" w14:textId="77777777">
            <w:pPr>
              <w:spacing w:line="240" w:lineRule="auto"/>
              <w:jc w:val="right"/>
              <w:rPr>
                <w:rFonts w:eastAsia="Times New Roman" w:cs="Times New Roman"/>
              </w:rPr>
            </w:pPr>
            <w:r w:rsidRPr="00C75C90">
              <w:t>€ 88</w:t>
            </w:r>
          </w:p>
        </w:tc>
        <w:tc>
          <w:tcPr>
            <w:tcW w:w="968"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1397709B" w14:textId="77777777">
            <w:pPr>
              <w:spacing w:line="240" w:lineRule="auto"/>
              <w:jc w:val="right"/>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33C7A355" w14:textId="77777777">
            <w:pPr>
              <w:spacing w:line="240" w:lineRule="auto"/>
              <w:jc w:val="right"/>
              <w:rPr>
                <w:rFonts w:eastAsia="Times New Roman" w:cs="Times New Roman"/>
              </w:rPr>
            </w:pPr>
            <w:r w:rsidRPr="00C75C90">
              <w:t>€ 88</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0CD1B020" w14:textId="77777777">
            <w:pPr>
              <w:spacing w:line="240" w:lineRule="auto"/>
              <w:jc w:val="right"/>
              <w:rPr>
                <w:rFonts w:eastAsia="Times New Roman" w:cs="Times New Roman"/>
              </w:rPr>
            </w:pPr>
            <w:r w:rsidRPr="00C75C90">
              <w:t>€ 88</w:t>
            </w:r>
          </w:p>
        </w:tc>
      </w:tr>
      <w:tr w:rsidRPr="00AF1055" w:rsidR="003507D2" w:rsidTr="004C501E" w14:paraId="477B679A" w14:textId="77777777">
        <w:trPr>
          <w:trHeight w:val="23"/>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39128788" w14:textId="77777777">
            <w:pPr>
              <w:spacing w:line="240" w:lineRule="auto"/>
              <w:rPr>
                <w:rFonts w:eastAsia="Times New Roman" w:cs="Times New Roman"/>
              </w:rPr>
            </w:pPr>
            <w:r w:rsidRPr="00AF1055">
              <w:rPr>
                <w:rFonts w:eastAsia="Times New Roman" w:cs="Times New Roman"/>
              </w:rPr>
              <w:t>Netbeheerkosten elektriciteit</w:t>
            </w:r>
          </w:p>
        </w:tc>
        <w:tc>
          <w:tcPr>
            <w:tcW w:w="968" w:type="dxa"/>
            <w:tcBorders>
              <w:top w:val="nil"/>
              <w:left w:val="single" w:color="auto" w:sz="4" w:space="0"/>
              <w:bottom w:val="nil"/>
              <w:right w:val="single" w:color="auto" w:sz="8" w:space="0"/>
            </w:tcBorders>
            <w:shd w:val="clear" w:color="auto" w:fill="auto"/>
            <w:noWrap/>
            <w:hideMark/>
          </w:tcPr>
          <w:p w:rsidRPr="00AF1055" w:rsidR="003507D2" w:rsidP="004C501E" w:rsidRDefault="003507D2" w14:paraId="16E6401B" w14:textId="77777777">
            <w:pPr>
              <w:spacing w:line="240" w:lineRule="auto"/>
              <w:jc w:val="right"/>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1A35FB2A" w14:textId="77777777">
            <w:pPr>
              <w:spacing w:line="240" w:lineRule="auto"/>
              <w:jc w:val="right"/>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23F14C4E" w14:textId="77777777">
            <w:pPr>
              <w:spacing w:line="240" w:lineRule="auto"/>
              <w:jc w:val="right"/>
              <w:rPr>
                <w:rFonts w:eastAsia="Times New Roman" w:cs="Times New Roman"/>
              </w:rPr>
            </w:pPr>
            <w:r w:rsidRPr="00C75C90">
              <w:t>€ 467</w:t>
            </w:r>
          </w:p>
        </w:tc>
        <w:tc>
          <w:tcPr>
            <w:tcW w:w="968" w:type="dxa"/>
            <w:tcBorders>
              <w:top w:val="nil"/>
              <w:left w:val="nil"/>
              <w:bottom w:val="nil"/>
              <w:right w:val="single" w:color="auto" w:sz="8" w:space="0"/>
            </w:tcBorders>
            <w:shd w:val="clear" w:color="auto" w:fill="auto"/>
            <w:noWrap/>
            <w:hideMark/>
          </w:tcPr>
          <w:p w:rsidRPr="00AF1055" w:rsidR="003507D2" w:rsidP="004C501E" w:rsidRDefault="003507D2" w14:paraId="7B092233" w14:textId="77777777">
            <w:pPr>
              <w:spacing w:line="240" w:lineRule="auto"/>
              <w:jc w:val="right"/>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287204E0" w14:textId="77777777">
            <w:pPr>
              <w:spacing w:line="240" w:lineRule="auto"/>
              <w:jc w:val="right"/>
              <w:rPr>
                <w:rFonts w:eastAsia="Times New Roman" w:cs="Times New Roman"/>
              </w:rPr>
            </w:pPr>
            <w:r w:rsidRPr="00C75C90">
              <w:t>€ 467</w:t>
            </w:r>
          </w:p>
        </w:tc>
        <w:tc>
          <w:tcPr>
            <w:tcW w:w="969" w:type="dxa"/>
            <w:tcBorders>
              <w:top w:val="nil"/>
              <w:left w:val="nil"/>
              <w:bottom w:val="nil"/>
              <w:right w:val="single" w:color="auto" w:sz="8" w:space="0"/>
            </w:tcBorders>
            <w:shd w:val="clear" w:color="auto" w:fill="auto"/>
            <w:noWrap/>
            <w:hideMark/>
          </w:tcPr>
          <w:p w:rsidRPr="00AF1055" w:rsidR="003507D2" w:rsidP="004C501E" w:rsidRDefault="003507D2" w14:paraId="3931D314" w14:textId="77777777">
            <w:pPr>
              <w:spacing w:line="240" w:lineRule="auto"/>
              <w:jc w:val="right"/>
              <w:rPr>
                <w:rFonts w:eastAsia="Times New Roman" w:cs="Times New Roman"/>
              </w:rPr>
            </w:pPr>
            <w:r w:rsidRPr="00C75C90">
              <w:t>€ 467</w:t>
            </w:r>
          </w:p>
        </w:tc>
      </w:tr>
      <w:tr w:rsidRPr="00AF1055" w:rsidR="003507D2" w:rsidTr="004C501E" w14:paraId="46869584" w14:textId="77777777">
        <w:trPr>
          <w:trHeight w:val="68"/>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644267C5" w14:textId="77777777">
            <w:pPr>
              <w:spacing w:line="240" w:lineRule="auto"/>
              <w:rPr>
                <w:rFonts w:eastAsia="Times New Roman" w:cs="Times New Roman"/>
              </w:rPr>
            </w:pPr>
            <w:r w:rsidRPr="00AF1055">
              <w:rPr>
                <w:rFonts w:eastAsia="Times New Roman" w:cs="Times New Roman"/>
              </w:rPr>
              <w:t>Leveringskosten elektriciteit</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3507D2" w:rsidP="004C501E" w:rsidRDefault="003507D2" w14:paraId="6293CED3" w14:textId="77777777">
            <w:pPr>
              <w:spacing w:line="240" w:lineRule="auto"/>
              <w:jc w:val="right"/>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5B7261D2" w14:textId="77777777">
            <w:pPr>
              <w:spacing w:line="240" w:lineRule="auto"/>
              <w:jc w:val="right"/>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4E1FA814" w14:textId="77777777">
            <w:pPr>
              <w:spacing w:line="240" w:lineRule="auto"/>
              <w:jc w:val="right"/>
              <w:rPr>
                <w:rFonts w:eastAsia="Times New Roman" w:cs="Times New Roman"/>
              </w:rPr>
            </w:pPr>
            <w:r w:rsidRPr="00C75C90">
              <w:t>€ 106</w:t>
            </w:r>
          </w:p>
        </w:tc>
        <w:tc>
          <w:tcPr>
            <w:tcW w:w="968"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2F7FEB99" w14:textId="77777777">
            <w:pPr>
              <w:spacing w:line="240" w:lineRule="auto"/>
              <w:jc w:val="right"/>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597E0860" w14:textId="77777777">
            <w:pPr>
              <w:spacing w:line="240" w:lineRule="auto"/>
              <w:jc w:val="right"/>
              <w:rPr>
                <w:rFonts w:eastAsia="Times New Roman" w:cs="Times New Roman"/>
              </w:rPr>
            </w:pPr>
            <w:r w:rsidRPr="00C75C90">
              <w:t>€ 106</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531422C4" w14:textId="77777777">
            <w:pPr>
              <w:spacing w:line="240" w:lineRule="auto"/>
              <w:jc w:val="right"/>
              <w:rPr>
                <w:rFonts w:eastAsia="Times New Roman" w:cs="Times New Roman"/>
              </w:rPr>
            </w:pPr>
            <w:r w:rsidRPr="00C75C90">
              <w:t>€ 106</w:t>
            </w:r>
          </w:p>
        </w:tc>
      </w:tr>
      <w:tr w:rsidRPr="00AF1055" w:rsidR="003507D2" w:rsidTr="004C501E" w14:paraId="6C8B25BE" w14:textId="77777777">
        <w:trPr>
          <w:trHeight w:val="23"/>
        </w:trPr>
        <w:tc>
          <w:tcPr>
            <w:tcW w:w="2835" w:type="dxa"/>
            <w:tcBorders>
              <w:top w:val="double" w:color="auto" w:sz="6" w:space="0"/>
              <w:left w:val="single" w:color="auto" w:sz="8" w:space="0"/>
              <w:bottom w:val="double" w:color="auto" w:sz="6" w:space="0"/>
              <w:right w:val="single" w:color="auto" w:sz="4" w:space="0"/>
            </w:tcBorders>
            <w:shd w:val="clear" w:color="auto" w:fill="auto"/>
            <w:noWrap/>
            <w:vAlign w:val="center"/>
            <w:hideMark/>
          </w:tcPr>
          <w:p w:rsidRPr="00AF1055" w:rsidR="003507D2" w:rsidP="004C501E" w:rsidRDefault="003507D2" w14:paraId="3422BA67" w14:textId="77777777">
            <w:pPr>
              <w:spacing w:line="240" w:lineRule="auto"/>
              <w:rPr>
                <w:rFonts w:eastAsia="Times New Roman" w:cs="Times New Roman"/>
                <w:b/>
                <w:bCs/>
              </w:rPr>
            </w:pPr>
            <w:r w:rsidRPr="00AF1055">
              <w:rPr>
                <w:rFonts w:eastAsia="Times New Roman" w:cs="Times New Roman"/>
                <w:b/>
                <w:bCs/>
              </w:rPr>
              <w:t xml:space="preserve">Totaal vast </w:t>
            </w:r>
          </w:p>
        </w:tc>
        <w:tc>
          <w:tcPr>
            <w:tcW w:w="968" w:type="dxa"/>
            <w:tcBorders>
              <w:top w:val="nil"/>
              <w:left w:val="single" w:color="auto" w:sz="4" w:space="0"/>
              <w:bottom w:val="double" w:color="auto" w:sz="6" w:space="0"/>
              <w:right w:val="single" w:color="auto" w:sz="8" w:space="0"/>
            </w:tcBorders>
            <w:shd w:val="clear" w:color="auto" w:fill="auto"/>
            <w:noWrap/>
            <w:hideMark/>
          </w:tcPr>
          <w:p w:rsidRPr="00960586" w:rsidR="003507D2" w:rsidP="004C501E" w:rsidRDefault="003507D2" w14:paraId="3355C5E7" w14:textId="77777777">
            <w:pPr>
              <w:spacing w:line="240" w:lineRule="auto"/>
              <w:jc w:val="right"/>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7C960981" w14:textId="77777777">
            <w:pPr>
              <w:spacing w:line="240" w:lineRule="auto"/>
              <w:jc w:val="right"/>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22F78ADB" w14:textId="77777777">
            <w:pPr>
              <w:spacing w:line="240" w:lineRule="auto"/>
              <w:jc w:val="right"/>
              <w:rPr>
                <w:rFonts w:eastAsia="Times New Roman" w:cs="Times New Roman"/>
                <w:b/>
                <w:bCs/>
              </w:rPr>
            </w:pPr>
            <w:r w:rsidRPr="00960586">
              <w:rPr>
                <w:b/>
                <w:bCs/>
              </w:rPr>
              <w:t>€ 909</w:t>
            </w:r>
          </w:p>
        </w:tc>
        <w:tc>
          <w:tcPr>
            <w:tcW w:w="968"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0D96CA1B" w14:textId="77777777">
            <w:pPr>
              <w:spacing w:line="240" w:lineRule="auto"/>
              <w:jc w:val="right"/>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6CD4196A" w14:textId="77777777">
            <w:pPr>
              <w:spacing w:line="240" w:lineRule="auto"/>
              <w:jc w:val="right"/>
              <w:rPr>
                <w:rFonts w:eastAsia="Times New Roman" w:cs="Times New Roman"/>
                <w:b/>
                <w:bCs/>
              </w:rPr>
            </w:pPr>
            <w:r w:rsidRPr="00960586">
              <w:rPr>
                <w:b/>
                <w:bCs/>
              </w:rPr>
              <w:t>€ 909</w:t>
            </w:r>
          </w:p>
        </w:tc>
        <w:tc>
          <w:tcPr>
            <w:tcW w:w="969" w:type="dxa"/>
            <w:tcBorders>
              <w:top w:val="nil"/>
              <w:left w:val="nil"/>
              <w:bottom w:val="double" w:color="auto" w:sz="6" w:space="0"/>
              <w:right w:val="single" w:color="auto" w:sz="8" w:space="0"/>
            </w:tcBorders>
            <w:shd w:val="clear" w:color="auto" w:fill="auto"/>
            <w:noWrap/>
            <w:hideMark/>
          </w:tcPr>
          <w:p w:rsidRPr="00960586" w:rsidR="003507D2" w:rsidP="004C501E" w:rsidRDefault="003507D2" w14:paraId="1FDFECC6" w14:textId="77777777">
            <w:pPr>
              <w:spacing w:line="240" w:lineRule="auto"/>
              <w:jc w:val="right"/>
              <w:rPr>
                <w:rFonts w:eastAsia="Times New Roman" w:cs="Times New Roman"/>
                <w:b/>
                <w:bCs/>
              </w:rPr>
            </w:pPr>
            <w:r w:rsidRPr="00960586">
              <w:rPr>
                <w:b/>
                <w:bCs/>
              </w:rPr>
              <w:t>€ 909</w:t>
            </w:r>
          </w:p>
        </w:tc>
      </w:tr>
      <w:tr w:rsidRPr="00AF1055" w:rsidR="003507D2" w:rsidTr="004C501E" w14:paraId="51E2A0EE" w14:textId="77777777">
        <w:trPr>
          <w:trHeight w:val="23"/>
        </w:trPr>
        <w:tc>
          <w:tcPr>
            <w:tcW w:w="2835" w:type="dxa"/>
            <w:tcBorders>
              <w:top w:val="nil"/>
              <w:left w:val="single" w:color="auto" w:sz="8" w:space="0"/>
              <w:bottom w:val="double" w:color="auto" w:sz="6" w:space="0"/>
              <w:right w:val="single" w:color="auto" w:sz="4" w:space="0"/>
            </w:tcBorders>
            <w:shd w:val="clear" w:color="auto" w:fill="auto"/>
            <w:noWrap/>
            <w:vAlign w:val="center"/>
            <w:hideMark/>
          </w:tcPr>
          <w:p w:rsidRPr="00AF1055" w:rsidR="003507D2" w:rsidP="004C501E" w:rsidRDefault="003507D2" w14:paraId="3133E49B" w14:textId="77777777">
            <w:pPr>
              <w:spacing w:line="240" w:lineRule="auto"/>
              <w:rPr>
                <w:rFonts w:eastAsia="Times New Roman" w:cs="Times New Roman"/>
              </w:rPr>
            </w:pPr>
            <w:r w:rsidRPr="00AF1055">
              <w:rPr>
                <w:rFonts w:eastAsia="Times New Roman" w:cs="Times New Roman"/>
              </w:rPr>
              <w:t>Belastingvermindering</w:t>
            </w:r>
          </w:p>
        </w:tc>
        <w:tc>
          <w:tcPr>
            <w:tcW w:w="968" w:type="dxa"/>
            <w:tcBorders>
              <w:top w:val="nil"/>
              <w:left w:val="single" w:color="auto" w:sz="4" w:space="0"/>
              <w:bottom w:val="double" w:color="auto" w:sz="6" w:space="0"/>
              <w:right w:val="single" w:color="auto" w:sz="8" w:space="0"/>
            </w:tcBorders>
            <w:shd w:val="clear" w:color="auto" w:fill="auto"/>
            <w:noWrap/>
            <w:hideMark/>
          </w:tcPr>
          <w:p w:rsidRPr="00AF1055" w:rsidR="003507D2" w:rsidP="004C501E" w:rsidRDefault="003507D2" w14:paraId="2ED5EE71" w14:textId="77777777">
            <w:pPr>
              <w:spacing w:line="240" w:lineRule="auto"/>
              <w:jc w:val="right"/>
              <w:rPr>
                <w:rFonts w:eastAsia="Times New Roman" w:cs="Times New Roman"/>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6029409D" w14:textId="77777777">
            <w:pPr>
              <w:spacing w:line="240" w:lineRule="auto"/>
              <w:jc w:val="right"/>
              <w:rPr>
                <w:rFonts w:eastAsia="Times New Roman" w:cs="Times New Roman"/>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29A09F87" w14:textId="77777777">
            <w:pPr>
              <w:spacing w:line="240" w:lineRule="auto"/>
              <w:jc w:val="right"/>
              <w:rPr>
                <w:rFonts w:eastAsia="Times New Roman" w:cs="Times New Roman"/>
              </w:rPr>
            </w:pPr>
            <w:r w:rsidRPr="00C75C90">
              <w:t>€ -635</w:t>
            </w:r>
          </w:p>
        </w:tc>
        <w:tc>
          <w:tcPr>
            <w:tcW w:w="968"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1214C561" w14:textId="77777777">
            <w:pPr>
              <w:spacing w:line="240" w:lineRule="auto"/>
              <w:jc w:val="right"/>
              <w:rPr>
                <w:rFonts w:eastAsia="Times New Roman" w:cs="Times New Roman"/>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41E4CAB8" w14:textId="77777777">
            <w:pPr>
              <w:spacing w:line="240" w:lineRule="auto"/>
              <w:jc w:val="right"/>
              <w:rPr>
                <w:rFonts w:eastAsia="Times New Roman" w:cs="Times New Roman"/>
              </w:rPr>
            </w:pPr>
            <w:r w:rsidRPr="00C75C90">
              <w:t>€ -635</w:t>
            </w:r>
          </w:p>
        </w:tc>
        <w:tc>
          <w:tcPr>
            <w:tcW w:w="969" w:type="dxa"/>
            <w:tcBorders>
              <w:top w:val="nil"/>
              <w:left w:val="nil"/>
              <w:bottom w:val="double" w:color="auto" w:sz="6" w:space="0"/>
              <w:right w:val="single" w:color="auto" w:sz="8" w:space="0"/>
            </w:tcBorders>
            <w:shd w:val="clear" w:color="auto" w:fill="auto"/>
            <w:noWrap/>
            <w:hideMark/>
          </w:tcPr>
          <w:p w:rsidRPr="00AF1055" w:rsidR="003507D2" w:rsidP="004C501E" w:rsidRDefault="003507D2" w14:paraId="0141BC54" w14:textId="77777777">
            <w:pPr>
              <w:spacing w:line="240" w:lineRule="auto"/>
              <w:jc w:val="right"/>
              <w:rPr>
                <w:rFonts w:eastAsia="Times New Roman" w:cs="Times New Roman"/>
              </w:rPr>
            </w:pPr>
            <w:r w:rsidRPr="00C75C90">
              <w:t>€ -635</w:t>
            </w:r>
          </w:p>
        </w:tc>
      </w:tr>
      <w:tr w:rsidRPr="00AF1055" w:rsidR="003507D2" w:rsidTr="004C501E" w14:paraId="77C94F47" w14:textId="77777777">
        <w:trPr>
          <w:trHeight w:val="23"/>
        </w:trPr>
        <w:tc>
          <w:tcPr>
            <w:tcW w:w="2835" w:type="dxa"/>
            <w:tcBorders>
              <w:top w:val="nil"/>
              <w:left w:val="single" w:color="auto" w:sz="8" w:space="0"/>
              <w:bottom w:val="nil"/>
              <w:right w:val="single" w:color="auto" w:sz="4" w:space="0"/>
            </w:tcBorders>
            <w:shd w:val="clear" w:color="auto" w:fill="auto"/>
            <w:noWrap/>
            <w:vAlign w:val="center"/>
            <w:hideMark/>
          </w:tcPr>
          <w:p w:rsidRPr="00AF1055" w:rsidR="003507D2" w:rsidP="004C501E" w:rsidRDefault="003507D2" w14:paraId="7E44B010" w14:textId="77777777">
            <w:pPr>
              <w:spacing w:line="240" w:lineRule="auto"/>
              <w:rPr>
                <w:rFonts w:eastAsia="Times New Roman" w:cs="Times New Roman"/>
                <w:b/>
                <w:bCs/>
              </w:rPr>
            </w:pPr>
            <w:r w:rsidRPr="00AF1055">
              <w:rPr>
                <w:rFonts w:eastAsia="Times New Roman" w:cs="Times New Roman"/>
                <w:b/>
                <w:bCs/>
              </w:rPr>
              <w:t>Totaal</w:t>
            </w:r>
          </w:p>
        </w:tc>
        <w:tc>
          <w:tcPr>
            <w:tcW w:w="968" w:type="dxa"/>
            <w:tcBorders>
              <w:top w:val="nil"/>
              <w:left w:val="single" w:color="auto" w:sz="4" w:space="0"/>
              <w:bottom w:val="nil"/>
              <w:right w:val="single" w:color="auto" w:sz="8" w:space="0"/>
            </w:tcBorders>
            <w:shd w:val="clear" w:color="auto" w:fill="auto"/>
            <w:noWrap/>
            <w:hideMark/>
          </w:tcPr>
          <w:p w:rsidRPr="00960586" w:rsidR="003507D2" w:rsidP="004C501E" w:rsidRDefault="003507D2" w14:paraId="2C2346CE" w14:textId="77777777">
            <w:pPr>
              <w:spacing w:line="240" w:lineRule="auto"/>
              <w:jc w:val="right"/>
              <w:rPr>
                <w:rFonts w:eastAsia="Times New Roman" w:cs="Times New Roman"/>
                <w:b/>
                <w:bCs/>
              </w:rPr>
            </w:pPr>
            <w:r w:rsidRPr="00960586">
              <w:rPr>
                <w:b/>
                <w:bCs/>
              </w:rPr>
              <w:t>€ 2.011</w:t>
            </w:r>
          </w:p>
        </w:tc>
        <w:tc>
          <w:tcPr>
            <w:tcW w:w="969" w:type="dxa"/>
            <w:tcBorders>
              <w:top w:val="nil"/>
              <w:left w:val="nil"/>
              <w:bottom w:val="nil"/>
              <w:right w:val="single" w:color="auto" w:sz="8" w:space="0"/>
            </w:tcBorders>
            <w:shd w:val="clear" w:color="auto" w:fill="auto"/>
            <w:noWrap/>
            <w:hideMark/>
          </w:tcPr>
          <w:p w:rsidRPr="00960586" w:rsidR="003507D2" w:rsidP="004C501E" w:rsidRDefault="003507D2" w14:paraId="60602360" w14:textId="77777777">
            <w:pPr>
              <w:spacing w:line="240" w:lineRule="auto"/>
              <w:jc w:val="right"/>
              <w:rPr>
                <w:rFonts w:eastAsia="Times New Roman" w:cs="Times New Roman"/>
                <w:b/>
                <w:bCs/>
              </w:rPr>
            </w:pPr>
            <w:r w:rsidRPr="00960586">
              <w:rPr>
                <w:b/>
                <w:bCs/>
              </w:rPr>
              <w:t>€ 2.121</w:t>
            </w:r>
          </w:p>
        </w:tc>
        <w:tc>
          <w:tcPr>
            <w:tcW w:w="969" w:type="dxa"/>
            <w:tcBorders>
              <w:top w:val="nil"/>
              <w:left w:val="nil"/>
              <w:bottom w:val="nil"/>
              <w:right w:val="single" w:color="auto" w:sz="8" w:space="0"/>
            </w:tcBorders>
            <w:shd w:val="clear" w:color="auto" w:fill="auto"/>
            <w:noWrap/>
            <w:hideMark/>
          </w:tcPr>
          <w:p w:rsidRPr="00960586" w:rsidR="003507D2" w:rsidP="004C501E" w:rsidRDefault="003507D2" w14:paraId="633A1235" w14:textId="77777777">
            <w:pPr>
              <w:spacing w:line="240" w:lineRule="auto"/>
              <w:jc w:val="right"/>
              <w:rPr>
                <w:rFonts w:eastAsia="Times New Roman" w:cs="Times New Roman"/>
                <w:b/>
                <w:bCs/>
              </w:rPr>
            </w:pPr>
            <w:r w:rsidRPr="00960586">
              <w:rPr>
                <w:b/>
                <w:bCs/>
              </w:rPr>
              <w:t>€ 2.206</w:t>
            </w:r>
          </w:p>
        </w:tc>
        <w:tc>
          <w:tcPr>
            <w:tcW w:w="968" w:type="dxa"/>
            <w:tcBorders>
              <w:top w:val="nil"/>
              <w:left w:val="nil"/>
              <w:bottom w:val="nil"/>
              <w:right w:val="single" w:color="auto" w:sz="8" w:space="0"/>
            </w:tcBorders>
            <w:shd w:val="clear" w:color="auto" w:fill="auto"/>
            <w:noWrap/>
            <w:hideMark/>
          </w:tcPr>
          <w:p w:rsidRPr="00960586" w:rsidR="003507D2" w:rsidP="004C501E" w:rsidRDefault="003507D2" w14:paraId="45D97084" w14:textId="77777777">
            <w:pPr>
              <w:spacing w:line="240" w:lineRule="auto"/>
              <w:jc w:val="right"/>
              <w:rPr>
                <w:rFonts w:eastAsia="Times New Roman" w:cs="Times New Roman"/>
                <w:b/>
                <w:bCs/>
              </w:rPr>
            </w:pPr>
            <w:r w:rsidRPr="00960586">
              <w:rPr>
                <w:b/>
                <w:bCs/>
              </w:rPr>
              <w:t>€ 2.229</w:t>
            </w:r>
          </w:p>
        </w:tc>
        <w:tc>
          <w:tcPr>
            <w:tcW w:w="969" w:type="dxa"/>
            <w:tcBorders>
              <w:top w:val="nil"/>
              <w:left w:val="nil"/>
              <w:bottom w:val="nil"/>
              <w:right w:val="single" w:color="auto" w:sz="8" w:space="0"/>
            </w:tcBorders>
            <w:shd w:val="clear" w:color="auto" w:fill="auto"/>
            <w:noWrap/>
            <w:hideMark/>
          </w:tcPr>
          <w:p w:rsidRPr="00960586" w:rsidR="003507D2" w:rsidP="004C501E" w:rsidRDefault="003507D2" w14:paraId="41BE5C0F" w14:textId="77777777">
            <w:pPr>
              <w:spacing w:line="240" w:lineRule="auto"/>
              <w:jc w:val="right"/>
              <w:rPr>
                <w:rFonts w:eastAsia="Times New Roman" w:cs="Times New Roman"/>
                <w:b/>
                <w:bCs/>
              </w:rPr>
            </w:pPr>
            <w:r w:rsidRPr="00960586">
              <w:rPr>
                <w:b/>
                <w:bCs/>
              </w:rPr>
              <w:t>€ 2.269</w:t>
            </w:r>
          </w:p>
        </w:tc>
        <w:tc>
          <w:tcPr>
            <w:tcW w:w="969" w:type="dxa"/>
            <w:tcBorders>
              <w:top w:val="nil"/>
              <w:left w:val="nil"/>
              <w:bottom w:val="nil"/>
              <w:right w:val="single" w:color="auto" w:sz="8" w:space="0"/>
            </w:tcBorders>
            <w:shd w:val="clear" w:color="auto" w:fill="auto"/>
            <w:noWrap/>
            <w:hideMark/>
          </w:tcPr>
          <w:p w:rsidRPr="00960586" w:rsidR="003507D2" w:rsidP="004C501E" w:rsidRDefault="003507D2" w14:paraId="3EDE78B3" w14:textId="77777777">
            <w:pPr>
              <w:spacing w:line="240" w:lineRule="auto"/>
              <w:jc w:val="right"/>
              <w:rPr>
                <w:rFonts w:eastAsia="Times New Roman" w:cs="Times New Roman"/>
                <w:b/>
                <w:bCs/>
              </w:rPr>
            </w:pPr>
            <w:r w:rsidRPr="00960586">
              <w:rPr>
                <w:b/>
                <w:bCs/>
              </w:rPr>
              <w:t>€ 2.191</w:t>
            </w:r>
          </w:p>
        </w:tc>
      </w:tr>
      <w:tr w:rsidRPr="00AF1055" w:rsidR="003507D2" w:rsidTr="004C501E" w14:paraId="59853556" w14:textId="77777777">
        <w:trPr>
          <w:trHeight w:val="68"/>
        </w:trPr>
        <w:tc>
          <w:tcPr>
            <w:tcW w:w="2835" w:type="dxa"/>
            <w:tcBorders>
              <w:top w:val="nil"/>
              <w:left w:val="single" w:color="auto" w:sz="8" w:space="0"/>
              <w:bottom w:val="single" w:color="auto" w:sz="8" w:space="0"/>
              <w:right w:val="single" w:color="auto" w:sz="4" w:space="0"/>
            </w:tcBorders>
            <w:shd w:val="clear" w:color="auto" w:fill="auto"/>
            <w:noWrap/>
            <w:vAlign w:val="center"/>
            <w:hideMark/>
          </w:tcPr>
          <w:p w:rsidRPr="00AF1055" w:rsidR="003507D2" w:rsidP="004C501E" w:rsidRDefault="003507D2" w14:paraId="00F35859" w14:textId="77777777">
            <w:pPr>
              <w:spacing w:line="240" w:lineRule="auto"/>
              <w:rPr>
                <w:rFonts w:eastAsia="Times New Roman" w:cs="Times New Roman"/>
                <w:b/>
                <w:bCs/>
              </w:rPr>
            </w:pPr>
            <w:r w:rsidRPr="00AF1055">
              <w:rPr>
                <w:rFonts w:eastAsia="Times New Roman" w:cs="Times New Roman"/>
                <w:b/>
                <w:bCs/>
              </w:rPr>
              <w:t xml:space="preserve">Verschil </w:t>
            </w:r>
            <w:r>
              <w:rPr>
                <w:rFonts w:eastAsia="Times New Roman" w:cs="Times New Roman"/>
                <w:b/>
                <w:bCs/>
              </w:rPr>
              <w:t xml:space="preserve">label </w:t>
            </w:r>
            <w:r w:rsidRPr="00AF1055">
              <w:rPr>
                <w:rFonts w:eastAsia="Times New Roman" w:cs="Times New Roman"/>
                <w:b/>
                <w:bCs/>
              </w:rPr>
              <w:t>B</w:t>
            </w:r>
          </w:p>
        </w:tc>
        <w:tc>
          <w:tcPr>
            <w:tcW w:w="968" w:type="dxa"/>
            <w:tcBorders>
              <w:top w:val="nil"/>
              <w:left w:val="single" w:color="auto" w:sz="4" w:space="0"/>
              <w:bottom w:val="single" w:color="auto" w:sz="8" w:space="0"/>
              <w:right w:val="single" w:color="auto" w:sz="8" w:space="0"/>
            </w:tcBorders>
            <w:shd w:val="clear" w:color="auto" w:fill="auto"/>
            <w:noWrap/>
            <w:vAlign w:val="center"/>
            <w:hideMark/>
          </w:tcPr>
          <w:p w:rsidRPr="00AF1055" w:rsidR="003507D2" w:rsidP="004C501E" w:rsidRDefault="003507D2" w14:paraId="1291040F" w14:textId="77777777">
            <w:pPr>
              <w:spacing w:line="240" w:lineRule="auto"/>
              <w:jc w:val="right"/>
              <w:rPr>
                <w:rFonts w:eastAsia="Times New Roman" w:cs="Times New Roman"/>
                <w:b/>
                <w:bCs/>
              </w:rPr>
            </w:pPr>
            <w:r w:rsidRPr="00AF1055">
              <w:rPr>
                <w:rFonts w:eastAsia="Times New Roman" w:cs="Times New Roman"/>
                <w:b/>
                <w:bCs/>
              </w:rPr>
              <w:t>-</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3507D2" w:rsidP="004C501E" w:rsidRDefault="003507D2" w14:paraId="60556FFE" w14:textId="77777777">
            <w:pPr>
              <w:spacing w:line="240" w:lineRule="auto"/>
              <w:jc w:val="right"/>
              <w:rPr>
                <w:rFonts w:eastAsia="Times New Roman" w:cs="Times New Roman"/>
                <w:b/>
                <w:bCs/>
              </w:rPr>
            </w:pPr>
            <w:r>
              <w:rPr>
                <w:b/>
                <w:bCs/>
              </w:rPr>
              <w:t>€ 110</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3507D2" w:rsidP="004C501E" w:rsidRDefault="003507D2" w14:paraId="48B63F9F" w14:textId="77777777">
            <w:pPr>
              <w:spacing w:line="240" w:lineRule="auto"/>
              <w:jc w:val="right"/>
              <w:rPr>
                <w:rFonts w:eastAsia="Times New Roman" w:cs="Times New Roman"/>
                <w:b/>
                <w:bCs/>
              </w:rPr>
            </w:pPr>
            <w:r>
              <w:rPr>
                <w:b/>
                <w:bCs/>
              </w:rPr>
              <w:t>€ 195</w:t>
            </w:r>
          </w:p>
        </w:tc>
        <w:tc>
          <w:tcPr>
            <w:tcW w:w="968" w:type="dxa"/>
            <w:tcBorders>
              <w:top w:val="nil"/>
              <w:left w:val="nil"/>
              <w:bottom w:val="single" w:color="auto" w:sz="8" w:space="0"/>
              <w:right w:val="single" w:color="auto" w:sz="8" w:space="0"/>
            </w:tcBorders>
            <w:shd w:val="clear" w:color="auto" w:fill="auto"/>
            <w:noWrap/>
            <w:vAlign w:val="center"/>
            <w:hideMark/>
          </w:tcPr>
          <w:p w:rsidRPr="00960586" w:rsidR="003507D2" w:rsidP="004C501E" w:rsidRDefault="003507D2" w14:paraId="12B39EEA" w14:textId="77777777">
            <w:pPr>
              <w:spacing w:line="240" w:lineRule="auto"/>
              <w:jc w:val="right"/>
              <w:rPr>
                <w:rFonts w:eastAsia="Times New Roman" w:cs="Times New Roman"/>
                <w:b/>
                <w:bCs/>
              </w:rPr>
            </w:pPr>
            <w:r>
              <w:rPr>
                <w:b/>
                <w:bCs/>
              </w:rPr>
              <w:t>€ 218</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3507D2" w:rsidP="004C501E" w:rsidRDefault="003507D2" w14:paraId="0FE43CEB" w14:textId="77777777">
            <w:pPr>
              <w:spacing w:line="240" w:lineRule="auto"/>
              <w:jc w:val="right"/>
              <w:rPr>
                <w:rFonts w:eastAsia="Times New Roman" w:cs="Times New Roman"/>
                <w:b/>
                <w:bCs/>
              </w:rPr>
            </w:pPr>
            <w:r>
              <w:rPr>
                <w:b/>
                <w:bCs/>
              </w:rPr>
              <w:t>€ 257</w:t>
            </w:r>
          </w:p>
        </w:tc>
        <w:tc>
          <w:tcPr>
            <w:tcW w:w="969" w:type="dxa"/>
            <w:tcBorders>
              <w:top w:val="nil"/>
              <w:left w:val="nil"/>
              <w:bottom w:val="single" w:color="auto" w:sz="8" w:space="0"/>
              <w:right w:val="single" w:color="auto" w:sz="8" w:space="0"/>
            </w:tcBorders>
            <w:shd w:val="clear" w:color="auto" w:fill="auto"/>
            <w:noWrap/>
            <w:vAlign w:val="center"/>
            <w:hideMark/>
          </w:tcPr>
          <w:p w:rsidRPr="00960586" w:rsidR="003507D2" w:rsidP="004C501E" w:rsidRDefault="003507D2" w14:paraId="4201C8E8" w14:textId="77777777">
            <w:pPr>
              <w:spacing w:line="240" w:lineRule="auto"/>
              <w:jc w:val="right"/>
              <w:rPr>
                <w:rFonts w:eastAsia="Times New Roman" w:cs="Times New Roman"/>
                <w:b/>
                <w:bCs/>
              </w:rPr>
            </w:pPr>
            <w:r>
              <w:rPr>
                <w:b/>
                <w:bCs/>
              </w:rPr>
              <w:t>€ 180</w:t>
            </w:r>
          </w:p>
        </w:tc>
      </w:tr>
    </w:tbl>
    <w:p w:rsidRPr="00560A82" w:rsidR="003507D2" w:rsidP="003507D2" w:rsidRDefault="003507D2" w14:paraId="665C01E7" w14:textId="77777777">
      <w:r>
        <w:rPr>
          <w:i/>
          <w:iCs/>
        </w:rPr>
        <w:t>Verschil jaarlijkse gemiddelde energiekosten</w:t>
      </w:r>
    </w:p>
    <w:p w:rsidR="003507D2" w:rsidP="003507D2" w:rsidRDefault="003507D2" w14:paraId="72C1D6B4" w14:textId="77777777">
      <w:pPr>
        <w:spacing w:line="240" w:lineRule="auto"/>
      </w:pPr>
    </w:p>
    <w:p w:rsidRPr="00560A82" w:rsidR="003507D2" w:rsidP="003507D2" w:rsidRDefault="003507D2" w14:paraId="1156A4CA" w14:textId="77777777">
      <w:pPr>
        <w:spacing w:line="240" w:lineRule="auto"/>
        <w:rPr>
          <w:b/>
          <w:bCs/>
          <w:sz w:val="16"/>
          <w:szCs w:val="16"/>
        </w:rPr>
      </w:pPr>
      <w:r w:rsidRPr="00560A82">
        <w:lastRenderedPageBreak/>
        <w:t>N</w:t>
      </w:r>
      <w:r>
        <w:t>.</w:t>
      </w:r>
      <w:r w:rsidRPr="00560A82">
        <w:t>B. Op basis van deze getallen lijkt een woning met een label F een hoger verbruik te hebben dan een woning met een label G. Dit kan worden verklaard doordat dit cijfers zijn van echte woningen, die niet gecorrigeerd zijn voor de verschillen in oppervlakte tussen verschillende type woningen. Als het verbruik wel gecorrigeerd wordt voor de totale oppervlakte, dan blijkt het verbruik van een woning met label G per m² oppervlak hoger dan voor een woning met label F.</w:t>
      </w:r>
    </w:p>
    <w:p w:rsidRPr="00875C5D" w:rsidR="003507D2" w:rsidP="003507D2" w:rsidRDefault="003507D2" w14:paraId="43FC945A" w14:textId="77777777">
      <w:pPr>
        <w:spacing w:line="240" w:lineRule="auto"/>
        <w:rPr>
          <w:b/>
          <w:bCs/>
        </w:rPr>
      </w:pPr>
    </w:p>
    <w:p w:rsidR="003507D2" w:rsidP="003507D2" w:rsidRDefault="003507D2" w14:paraId="4BD418A9" w14:textId="77777777">
      <w:pPr>
        <w:spacing w:line="240" w:lineRule="auto"/>
      </w:pPr>
    </w:p>
    <w:p w:rsidRPr="00875C5D" w:rsidR="003507D2" w:rsidP="003507D2" w:rsidRDefault="003507D2" w14:paraId="22C2EEAD" w14:textId="77777777">
      <w:pPr>
        <w:spacing w:line="240" w:lineRule="auto"/>
        <w:rPr>
          <w:b/>
          <w:bCs/>
        </w:rPr>
      </w:pPr>
      <w:r w:rsidRPr="00875C5D">
        <w:rPr>
          <w:b/>
          <w:bCs/>
        </w:rPr>
        <w:t xml:space="preserve">Vraag </w:t>
      </w:r>
      <w:r>
        <w:rPr>
          <w:b/>
          <w:bCs/>
        </w:rPr>
        <w:t>4</w:t>
      </w:r>
    </w:p>
    <w:p w:rsidR="003507D2" w:rsidP="003507D2" w:rsidRDefault="003507D2" w14:paraId="2B4B302D" w14:textId="77777777">
      <w:pPr>
        <w:spacing w:line="240" w:lineRule="auto"/>
      </w:pPr>
      <w:r w:rsidRPr="00A67CD5">
        <w:t>Hoe staat het met de verduurzaming van publieke gebouwde omgeving, in ieder geval de portefeuille</w:t>
      </w:r>
      <w:r>
        <w:t xml:space="preserve"> </w:t>
      </w:r>
      <w:r w:rsidRPr="00A67CD5">
        <w:t>van het Rijksvastgoedbedrijf</w:t>
      </w:r>
      <w:r w:rsidRPr="00960561">
        <w:t>, o</w:t>
      </w:r>
      <w:r w:rsidRPr="009A0096">
        <w:t>nderwijs, zorg, politie, provincies en gemeenten</w:t>
      </w:r>
      <w:r w:rsidRPr="00960561">
        <w:t>? Hoeveel</w:t>
      </w:r>
      <w:r w:rsidRPr="00A67CD5">
        <w:t xml:space="preserve"> structurele</w:t>
      </w:r>
      <w:r>
        <w:t xml:space="preserve"> </w:t>
      </w:r>
      <w:r w:rsidRPr="00A67CD5">
        <w:t>energiebesparing is mogelijk bij verduurzaming?</w:t>
      </w:r>
    </w:p>
    <w:p w:rsidR="003507D2" w:rsidP="003507D2" w:rsidRDefault="003507D2" w14:paraId="7E83F334" w14:textId="77777777">
      <w:pPr>
        <w:spacing w:line="240" w:lineRule="auto"/>
      </w:pPr>
    </w:p>
    <w:p w:rsidR="003507D2" w:rsidP="003507D2" w:rsidRDefault="003507D2" w14:paraId="27160F53" w14:textId="77777777">
      <w:pPr>
        <w:spacing w:line="240" w:lineRule="auto"/>
        <w:rPr>
          <w:b/>
          <w:bCs/>
        </w:rPr>
      </w:pPr>
      <w:r>
        <w:rPr>
          <w:b/>
          <w:bCs/>
        </w:rPr>
        <w:t>Antwoord vraag 4</w:t>
      </w:r>
    </w:p>
    <w:p w:rsidR="003507D2" w:rsidP="003507D2" w:rsidRDefault="003507D2" w14:paraId="14569954" w14:textId="77777777">
      <w:pPr>
        <w:spacing w:line="240" w:lineRule="auto"/>
      </w:pPr>
      <w:r w:rsidRPr="007751DE">
        <w:t>De stand van zaken met betrekking tot energielabel C voor kantoren binnen het Rijk is dat het gemiddelde ligt op een energielabel B. (zie ook de brief van 2 okt</w:t>
      </w:r>
      <w:r>
        <w:t>ober 2024</w:t>
      </w:r>
      <w:r w:rsidRPr="007751DE">
        <w:t xml:space="preserve">, Kamerstuk II 30196, nr. 831). </w:t>
      </w:r>
    </w:p>
    <w:p w:rsidR="003507D2" w:rsidP="003507D2" w:rsidRDefault="003507D2" w14:paraId="5944EB81" w14:textId="77777777">
      <w:pPr>
        <w:spacing w:line="240" w:lineRule="auto"/>
      </w:pPr>
    </w:p>
    <w:p w:rsidR="003507D2" w:rsidP="003507D2" w:rsidRDefault="003507D2" w14:paraId="440B9259" w14:textId="77777777">
      <w:pPr>
        <w:spacing w:line="240" w:lineRule="auto"/>
      </w:pPr>
      <w:r w:rsidRPr="00960561">
        <w:t>Zorg, onderwijs, provincies en gemeenten zijn dus bezig om hun vastgoed te verduurzamen. Vanuit het Rijk zijn verschillende instrumenten beschikbaar om ze hierbij te stimuleren en te ondersteunen en zo invulling te geven aan de verduurzamingsopgave. Zo is er onder andere subsidie beschikbaar via de Duurzaam Maatschappelijk Vastgoed (DUMAVA) regeling waar de sectoren, gemeenten en provincies gebruik van kunnen maken.</w:t>
      </w:r>
      <w:r>
        <w:rPr>
          <w:rStyle w:val="Voetnootmarkering"/>
        </w:rPr>
        <w:footnoteReference w:id="6"/>
      </w:r>
      <w:r w:rsidRPr="00960561">
        <w:t xml:space="preserve"> Daarnaast is er ook een </w:t>
      </w:r>
      <w:proofErr w:type="spellStart"/>
      <w:r w:rsidRPr="00960561">
        <w:t>ontzorgingsprogramma</w:t>
      </w:r>
      <w:proofErr w:type="spellEnd"/>
      <w:r w:rsidRPr="00960561">
        <w:t xml:space="preserve"> maatschappelijk vastgoed waarbij vanuit de provincies met onder andere kleine gemeenten, schoolbesturen, zorgaanbieders, stichtingen en culturele instellingen advies, kennis en expertise wordt geboden in hoe deze kleine eigenaren van vastgoed hun vastgoed het beste kunnen verduurzamen.</w:t>
      </w:r>
      <w:r>
        <w:rPr>
          <w:rStyle w:val="Voetnootmarkering"/>
        </w:rPr>
        <w:footnoteReference w:id="7"/>
      </w:r>
      <w:r w:rsidRPr="00960561">
        <w:t xml:space="preserve"> </w:t>
      </w:r>
    </w:p>
    <w:p w:rsidR="003507D2" w:rsidP="003507D2" w:rsidRDefault="003507D2" w14:paraId="0AFA3C0C" w14:textId="77777777">
      <w:pPr>
        <w:spacing w:line="240" w:lineRule="auto"/>
      </w:pPr>
    </w:p>
    <w:p w:rsidRPr="007751DE" w:rsidR="003507D2" w:rsidP="003507D2" w:rsidRDefault="003507D2" w14:paraId="3CDE586C" w14:textId="77777777">
      <w:pPr>
        <w:spacing w:line="240" w:lineRule="auto"/>
      </w:pPr>
      <w:r w:rsidRPr="007751DE">
        <w:t xml:space="preserve">Op grond van de EPBD IV wordt gestuurd op verduurzaming van de gebouwde omgeving en het terugdringen van de energievraag, ook in publieke gebouwen. De verschillende sectoren in de publieke gebouwde omgeving hebben sectorale routekaarten opgesteld die inzicht bieden in de opgave en handelingsperspectief bieden om tot zeer energiezuinige en fossielvrije gebouwen in 2050 te komen. De sectorale routekaarten worden in elke sector vertaald naar individuele portefeuille-routekaarten of Duurzaam </w:t>
      </w:r>
      <w:proofErr w:type="spellStart"/>
      <w:r w:rsidRPr="007751DE">
        <w:t>Meerjaren</w:t>
      </w:r>
      <w:proofErr w:type="spellEnd"/>
      <w:r w:rsidRPr="007751DE">
        <w:t xml:space="preserve"> Onderhoudsplannen van vastgoedeigenaren.</w:t>
      </w:r>
      <w:r>
        <w:t xml:space="preserve"> </w:t>
      </w:r>
      <w:r w:rsidRPr="007751DE">
        <w:lastRenderedPageBreak/>
        <w:t xml:space="preserve">Er vindt nu een herijking plaats van de routekaarten. Als deze herijking gereed is, zal </w:t>
      </w:r>
      <w:r>
        <w:t xml:space="preserve">uw </w:t>
      </w:r>
      <w:r w:rsidRPr="007751DE">
        <w:t>Kamer hierover geïnformeerd worden.</w:t>
      </w:r>
      <w:r>
        <w:t xml:space="preserve"> </w:t>
      </w:r>
      <w:r w:rsidRPr="007751DE">
        <w:t xml:space="preserve">Specifiek voor de verduurzaming van de portefeuille van het Rijksvastgoedbedrijf </w:t>
      </w:r>
      <w:r>
        <w:t xml:space="preserve">en Politie </w:t>
      </w:r>
      <w:r w:rsidRPr="007751DE">
        <w:t xml:space="preserve">geldt dat </w:t>
      </w:r>
      <w:r>
        <w:t>deze</w:t>
      </w:r>
      <w:r w:rsidRPr="007751DE">
        <w:t xml:space="preserve"> meedoe</w:t>
      </w:r>
      <w:r>
        <w:t>n</w:t>
      </w:r>
      <w:r w:rsidRPr="007751DE">
        <w:t xml:space="preserve"> aan de portefeuilleaanpak. Dit is een aanpak met de looptijd tot eind 2026 waarbij een bedrijf of instelling 20 of meer gebouwen bezit in Nederland, verspreid over minstens </w:t>
      </w:r>
      <w:r>
        <w:t>twee</w:t>
      </w:r>
      <w:r w:rsidRPr="007751DE">
        <w:t xml:space="preserve"> omgevingsdiensten. Met deze aanpak wordt gestimuleerd tot een bovenwettelijke prestatie op het gebied van energiebesparing, namelijk een finale energiereductie (14%) en fossiele energiereductie (22%) op portefeuilleniveau. </w:t>
      </w:r>
    </w:p>
    <w:p w:rsidRPr="007751DE" w:rsidR="003507D2" w:rsidP="003507D2" w:rsidRDefault="003507D2" w14:paraId="38F30CB0" w14:textId="77777777">
      <w:pPr>
        <w:spacing w:line="240" w:lineRule="auto"/>
      </w:pPr>
      <w:r w:rsidRPr="007751DE">
        <w:t xml:space="preserve"> </w:t>
      </w:r>
    </w:p>
    <w:p w:rsidRPr="007751DE" w:rsidR="003507D2" w:rsidP="003507D2" w:rsidRDefault="003507D2" w14:paraId="5F3A9387" w14:textId="77777777">
      <w:pPr>
        <w:spacing w:line="240" w:lineRule="auto"/>
      </w:pPr>
      <w:r w:rsidRPr="007751DE">
        <w:t xml:space="preserve">Voor de publieke gebouwde omgeving geldt </w:t>
      </w:r>
      <w:r>
        <w:t xml:space="preserve">bovendien </w:t>
      </w:r>
      <w:r w:rsidRPr="007751DE">
        <w:t xml:space="preserve">de energiebesparingsplicht waarbij bepaalde maatregelen met een terugverdientijd van </w:t>
      </w:r>
      <w:r>
        <w:t>vijf</w:t>
      </w:r>
      <w:r w:rsidRPr="007751DE">
        <w:t xml:space="preserve"> jaar of korter genomen dienen te worden zodat gebouwen verduurzaamd worden.</w:t>
      </w:r>
      <w:r>
        <w:rPr>
          <w:rStyle w:val="Voetnootmarkering"/>
        </w:rPr>
        <w:footnoteReference w:id="8"/>
      </w:r>
      <w:r w:rsidRPr="007751DE">
        <w:t xml:space="preserve"> De minister van Klimaat en Groene Groei </w:t>
      </w:r>
      <w:r>
        <w:t xml:space="preserve">(KGG) </w:t>
      </w:r>
      <w:r w:rsidRPr="007751DE">
        <w:t xml:space="preserve">werkt aan verbetering van deze plicht, waarbij onder meer de Erkende Maatregelenlijst wordt geactualiseerd en de terugverdientijd naar </w:t>
      </w:r>
      <w:r>
        <w:t xml:space="preserve">zeven </w:t>
      </w:r>
      <w:r w:rsidRPr="007751DE">
        <w:t>jaar gaat. Daarnaast werkt het kabinet aan de implementatie van de Europese Energie Efficiëntie Richtlijn (EED)</w:t>
      </w:r>
      <w:r>
        <w:t>, waarbij s</w:t>
      </w:r>
      <w:r w:rsidRPr="007751DE">
        <w:t xml:space="preserve">pecifiek twee doelstellingen gelden voor overheidsinstanties. Ten eerste, een gezamenlijk een finale energiereductie van 1,9% per jaar ten opzichte van 2021. Ten tweede, een gezamenlijke, jaarlijkse renovatieverplichting van 3% naar Bijna Energie Neutraal </w:t>
      </w:r>
      <w:r>
        <w:t>G</w:t>
      </w:r>
      <w:r w:rsidRPr="007751DE">
        <w:t xml:space="preserve">ebouw (BENG). De minister van KGG heeft uw </w:t>
      </w:r>
      <w:r>
        <w:t>K</w:t>
      </w:r>
      <w:r w:rsidRPr="007751DE">
        <w:t xml:space="preserve">amer hier eerder over geïnformeerd en zal uw Kamer op de hoogte houden over de voortgang. </w:t>
      </w:r>
    </w:p>
    <w:p w:rsidR="003507D2" w:rsidP="003507D2" w:rsidRDefault="003507D2" w14:paraId="653A88D8" w14:textId="77777777">
      <w:pPr>
        <w:spacing w:line="240" w:lineRule="auto"/>
        <w:rPr>
          <w:b/>
          <w:bCs/>
        </w:rPr>
      </w:pPr>
    </w:p>
    <w:p w:rsidRPr="00875C5D" w:rsidR="003507D2" w:rsidP="003507D2" w:rsidRDefault="003507D2" w14:paraId="11A0A867" w14:textId="77777777">
      <w:pPr>
        <w:spacing w:line="240" w:lineRule="auto"/>
        <w:rPr>
          <w:b/>
          <w:bCs/>
        </w:rPr>
      </w:pPr>
      <w:r w:rsidRPr="00875C5D">
        <w:rPr>
          <w:b/>
          <w:bCs/>
        </w:rPr>
        <w:t>Vraag</w:t>
      </w:r>
      <w:r>
        <w:rPr>
          <w:b/>
          <w:bCs/>
        </w:rPr>
        <w:t xml:space="preserve"> 5</w:t>
      </w:r>
    </w:p>
    <w:p w:rsidR="003507D2" w:rsidP="003507D2" w:rsidRDefault="003507D2" w14:paraId="5B693A67" w14:textId="77777777">
      <w:pPr>
        <w:spacing w:line="240" w:lineRule="auto"/>
      </w:pPr>
      <w:r w:rsidRPr="00A67CD5">
        <w:t>Hoeveel bouwprojecten liggen op dit moment stil of zijn niet gerealiseerd door de netcongestie?</w:t>
      </w:r>
      <w:r>
        <w:t xml:space="preserve"> </w:t>
      </w:r>
      <w:r w:rsidRPr="00A67CD5">
        <w:t>Hoeveel toekomstige woningen gaat dat over?</w:t>
      </w:r>
    </w:p>
    <w:p w:rsidR="003507D2" w:rsidP="003507D2" w:rsidRDefault="003507D2" w14:paraId="6EF26A17" w14:textId="77777777">
      <w:pPr>
        <w:spacing w:line="240" w:lineRule="auto"/>
      </w:pPr>
    </w:p>
    <w:p w:rsidRPr="00875C5D" w:rsidR="003507D2" w:rsidP="003507D2" w:rsidRDefault="003507D2" w14:paraId="64DCEB0A" w14:textId="77777777">
      <w:pPr>
        <w:spacing w:line="240" w:lineRule="auto"/>
        <w:rPr>
          <w:b/>
          <w:bCs/>
        </w:rPr>
      </w:pPr>
      <w:r>
        <w:rPr>
          <w:b/>
          <w:bCs/>
        </w:rPr>
        <w:t>Antwoord vraag 5</w:t>
      </w:r>
    </w:p>
    <w:p w:rsidR="003507D2" w:rsidP="003507D2" w:rsidRDefault="003507D2" w14:paraId="0A31D40D" w14:textId="77777777">
      <w:pPr>
        <w:spacing w:line="240" w:lineRule="auto"/>
      </w:pPr>
      <w:r>
        <w:t xml:space="preserve">Netcongestie, ofwel drukte op het elektriciteitsnet, is in toenemende mate een uitdaging voor de woningbouw. Mede daarom heb ik op de </w:t>
      </w:r>
      <w:proofErr w:type="spellStart"/>
      <w:r>
        <w:t>Woontop</w:t>
      </w:r>
      <w:proofErr w:type="spellEnd"/>
      <w:r>
        <w:t xml:space="preserve"> afspraken gemaakt met vertegenwoordigers uit de woningbouw- en technieksector, netbeheerders en provincies om netbewust bouwen te stimuleren. Ook werkt het kabinet via het Landelijk Actieprogramma Netcongestie (LAN) samen met </w:t>
      </w:r>
      <w:proofErr w:type="spellStart"/>
      <w:r>
        <w:t>mede-overheden</w:t>
      </w:r>
      <w:proofErr w:type="spellEnd"/>
      <w:r>
        <w:t xml:space="preserve">, netbeheerders en marktpartijen hard aan het zoveel mogelijk beperken van netcongestie. </w:t>
      </w:r>
    </w:p>
    <w:p w:rsidR="003507D2" w:rsidP="003507D2" w:rsidRDefault="003507D2" w14:paraId="34A09C0A" w14:textId="77777777">
      <w:pPr>
        <w:spacing w:line="240" w:lineRule="auto"/>
      </w:pPr>
    </w:p>
    <w:p w:rsidR="003507D2" w:rsidP="003507D2" w:rsidRDefault="003507D2" w14:paraId="108EF0A5" w14:textId="77777777">
      <w:pPr>
        <w:spacing w:line="240" w:lineRule="auto"/>
      </w:pPr>
      <w:r>
        <w:t xml:space="preserve">Er is op dit moment nog geen formele wachtrij voor </w:t>
      </w:r>
      <w:proofErr w:type="spellStart"/>
      <w:r>
        <w:t>kleinverbruikaansluitingen</w:t>
      </w:r>
      <w:proofErr w:type="spellEnd"/>
      <w:r>
        <w:t xml:space="preserve">. Dit betekent dat nieuwbouwwoningen met een </w:t>
      </w:r>
      <w:proofErr w:type="spellStart"/>
      <w:r>
        <w:t>kleinverbruikaansluiting</w:t>
      </w:r>
      <w:proofErr w:type="spellEnd"/>
      <w:r>
        <w:t xml:space="preserve"> in principe aangesloten kunnen worden. Maar ook als er geen formele wachtrij is, kunnen projecten in de praktijk al te maken krijgen met oplopende wachttijden. </w:t>
      </w:r>
      <w:r>
        <w:lastRenderedPageBreak/>
        <w:t xml:space="preserve">Bijvoorbeeld omdat er onvoldoende personeel is om aansluitingen te realiseren, maar soms ook omdat partijen niet vroegtijdig de netbeheerder in de planning hebben betrokken. </w:t>
      </w:r>
    </w:p>
    <w:p w:rsidR="003507D2" w:rsidP="003507D2" w:rsidRDefault="003507D2" w14:paraId="56B2A895" w14:textId="77777777">
      <w:pPr>
        <w:spacing w:line="240" w:lineRule="auto"/>
      </w:pPr>
    </w:p>
    <w:p w:rsidR="003507D2" w:rsidP="003507D2" w:rsidRDefault="003507D2" w14:paraId="1EFA3047" w14:textId="77777777">
      <w:pPr>
        <w:spacing w:line="240" w:lineRule="auto"/>
      </w:pPr>
      <w:r>
        <w:t xml:space="preserve">Voor </w:t>
      </w:r>
      <w:proofErr w:type="spellStart"/>
      <w:r>
        <w:t>grootverbruikaansluitingen</w:t>
      </w:r>
      <w:proofErr w:type="spellEnd"/>
      <w:r>
        <w:t xml:space="preserve"> geldt vrijwel overal in Nederland wel een wachtrij. Het prioriteringskader van de ACM regelt dat </w:t>
      </w:r>
      <w:proofErr w:type="spellStart"/>
      <w:r>
        <w:t>grootverbruikaansluitingen</w:t>
      </w:r>
      <w:proofErr w:type="spellEnd"/>
      <w:r>
        <w:t xml:space="preserve"> die nodig zijn voor collectieve voorzieningen die inherent verbonden zijn aan de woonvoorziening, of functies in de plint van een wooncomplex die noodzakelijk zijn om de business case sluitend te maken, voorrang kunnen krijgen. Dit speelt met name bij grootschalige woningbouwlocaties. </w:t>
      </w:r>
    </w:p>
    <w:p w:rsidR="003507D2" w:rsidP="003507D2" w:rsidRDefault="003507D2" w14:paraId="7F1AC697" w14:textId="77777777">
      <w:pPr>
        <w:spacing w:line="240" w:lineRule="auto"/>
      </w:pPr>
    </w:p>
    <w:p w:rsidR="003507D2" w:rsidP="003507D2" w:rsidRDefault="003507D2" w14:paraId="414194E7" w14:textId="77777777">
      <w:pPr>
        <w:spacing w:line="240" w:lineRule="auto"/>
      </w:pPr>
      <w:r>
        <w:t xml:space="preserve">Op de </w:t>
      </w:r>
      <w:proofErr w:type="spellStart"/>
      <w:r>
        <w:t>Woontop</w:t>
      </w:r>
      <w:proofErr w:type="spellEnd"/>
      <w:r>
        <w:t xml:space="preserve"> is afgesproken dat overheden, corporaties en marktpartijen een publiek private monitor gaan gebruiken. Deze wordt momenteel ontwikkeld. De concrete impact van netcongestie op de huidige woningbouwplannen is namelijk nu niet goed inzichtelijk. In algemene zin geldt dat er veel factoren een rol spelen in hoe snel een woningbouwproject gerealiseerd kan worden. Bij netcongestie zal soms een aansluiting in eerste instantie niet mogelijk lijken, maar is dat het met een slimme aanpassing toch wel. Via de versnellingstafels Woningbouw en op projectniveau houdt het Ministerie van VRO vinger aan de pols en schakelt waar nodig experts in om tot oplossingen te komen. </w:t>
      </w:r>
    </w:p>
    <w:p w:rsidR="003507D2" w:rsidP="003507D2" w:rsidRDefault="003507D2" w14:paraId="0BFA3A1D" w14:textId="77777777">
      <w:pPr>
        <w:spacing w:line="240" w:lineRule="auto"/>
      </w:pPr>
    </w:p>
    <w:p w:rsidRPr="00875C5D" w:rsidR="003507D2" w:rsidP="003507D2" w:rsidRDefault="003507D2" w14:paraId="199415FF" w14:textId="77777777">
      <w:pPr>
        <w:spacing w:line="240" w:lineRule="auto"/>
        <w:rPr>
          <w:b/>
          <w:bCs/>
        </w:rPr>
      </w:pPr>
      <w:r w:rsidRPr="00875C5D">
        <w:rPr>
          <w:b/>
          <w:bCs/>
        </w:rPr>
        <w:t xml:space="preserve">Vraag </w:t>
      </w:r>
      <w:r>
        <w:rPr>
          <w:b/>
          <w:bCs/>
        </w:rPr>
        <w:t>6</w:t>
      </w:r>
    </w:p>
    <w:p w:rsidR="003507D2" w:rsidP="003507D2" w:rsidRDefault="003507D2" w14:paraId="611C9899" w14:textId="77777777">
      <w:pPr>
        <w:spacing w:line="240" w:lineRule="auto"/>
      </w:pPr>
      <w:r w:rsidRPr="00A67CD5">
        <w:t>Hoeveel verduurzamingsprojecten liggen op dit moment stil door gebrek aan technisch geschoold</w:t>
      </w:r>
      <w:r>
        <w:t xml:space="preserve"> </w:t>
      </w:r>
      <w:r w:rsidRPr="00A67CD5">
        <w:t>personeel voor de energietransitie?</w:t>
      </w:r>
    </w:p>
    <w:p w:rsidR="003507D2" w:rsidP="003507D2" w:rsidRDefault="003507D2" w14:paraId="211711EE" w14:textId="77777777">
      <w:pPr>
        <w:spacing w:line="240" w:lineRule="auto"/>
      </w:pPr>
    </w:p>
    <w:p w:rsidR="003507D2" w:rsidP="003507D2" w:rsidRDefault="003507D2" w14:paraId="0D17A3F7" w14:textId="77777777">
      <w:pPr>
        <w:spacing w:line="240" w:lineRule="auto"/>
        <w:rPr>
          <w:b/>
          <w:bCs/>
        </w:rPr>
      </w:pPr>
      <w:r>
        <w:rPr>
          <w:b/>
          <w:bCs/>
        </w:rPr>
        <w:t>Antwoord vraag 6</w:t>
      </w:r>
    </w:p>
    <w:p w:rsidR="003507D2" w:rsidP="003507D2" w:rsidRDefault="003507D2" w14:paraId="5EF9FFAA" w14:textId="77777777">
      <w:pPr>
        <w:spacing w:line="240" w:lineRule="auto"/>
      </w:pPr>
      <w:r w:rsidRPr="007751DE">
        <w:t>In Nederland hebben we te maken met tekorten op de arbeidsmarkt. In het laatste kwartaal van 2024 stonden er 404</w:t>
      </w:r>
      <w:r>
        <w:t>.000</w:t>
      </w:r>
      <w:r w:rsidRPr="007751DE">
        <w:t xml:space="preserve"> onvervulde vacatures open (CBS). Dit heeft zijn weerslag op alle sectoren, in sterke mate ook op het technisch geschoold personeel voor de energietransitie. Uit een onderzoek van ABN Amro bleek eerder dat ongeveer 40 procent van alle vacatures in de energietransitie niet vervuld konden worden. Hierin zit echter wel een sterke regionale variatie, waardoor het betekent dat het in sommige regio’s een groter probleem is dan in anderen. Het is aannemelijk om te zeggen dat dit ook consequenties heeft voor een aantal duurzaamheidsprojecten. Echter zijn hier geen </w:t>
      </w:r>
      <w:r>
        <w:t>verdiepende</w:t>
      </w:r>
      <w:r w:rsidRPr="007751DE">
        <w:t xml:space="preserve"> cijfers over bekend.</w:t>
      </w:r>
    </w:p>
    <w:p w:rsidRPr="007751DE" w:rsidR="003507D2" w:rsidP="003507D2" w:rsidRDefault="003507D2" w14:paraId="37D1FACB" w14:textId="77777777">
      <w:pPr>
        <w:spacing w:line="240" w:lineRule="auto"/>
      </w:pPr>
    </w:p>
    <w:p w:rsidRPr="007751DE" w:rsidR="003507D2" w:rsidP="003507D2" w:rsidRDefault="003507D2" w14:paraId="0D8F1604" w14:textId="77777777">
      <w:pPr>
        <w:spacing w:line="240" w:lineRule="auto"/>
      </w:pPr>
      <w:r w:rsidRPr="007751DE">
        <w:t xml:space="preserve">Echter bestaat er wel de verwachting dat de arbeidsproductiviteit lichtelijk zal stijgen in de komende jaren. Technologische ontwikkelingen, processtandaardisatie en het door ontwikkelen van HR-beleid bieden kansen om de mensen die we hebben efficiënter in te zetten en minder uitval te bewerkstelligen. Aan </w:t>
      </w:r>
      <w:r w:rsidRPr="007751DE">
        <w:lastRenderedPageBreak/>
        <w:t xml:space="preserve">arbeidsproductiviteitsverbetering voor de verduurzaming van de gebouwde omgeving werk ik gericht samen met brancheorganisaties en marktpartijen. Dit doe ik onder meer via de programma’s ‘Mensen Maken de Transitie’ en ‘Verbouwstromen’. </w:t>
      </w:r>
    </w:p>
    <w:p w:rsidRPr="007751DE" w:rsidR="003507D2" w:rsidP="003507D2" w:rsidRDefault="003507D2" w14:paraId="454C49E1" w14:textId="77777777">
      <w:pPr>
        <w:spacing w:line="240" w:lineRule="auto"/>
      </w:pPr>
      <w:r w:rsidRPr="007751DE">
        <w:t xml:space="preserve">In het programma ‘Mensen Maken de Transitie’ werken we vanuit de wijkaanpak aan technische innovaties in de uitvoering en een effectievere samenwerking in de keten om te zorgen dat de arbeidsproductiviteit wordt vergroot. Ook richt het programma zich op het realiseren van passende opleidingsmogelijkheden voor het om- en bijscholen van vakmensen. Dit doe ik samen met onder meer Techniek Nederland, Bouwend Nederland, Netbeheer Nederland en de koepels van de onderwijsinstellingen. </w:t>
      </w:r>
    </w:p>
    <w:p w:rsidR="003507D2" w:rsidP="003507D2" w:rsidRDefault="003507D2" w14:paraId="1ABB1FF2" w14:textId="77777777">
      <w:pPr>
        <w:spacing w:line="240" w:lineRule="auto"/>
      </w:pPr>
    </w:p>
    <w:p w:rsidRPr="007751DE" w:rsidR="003507D2" w:rsidP="003507D2" w:rsidRDefault="003507D2" w14:paraId="17C54D46" w14:textId="77777777">
      <w:pPr>
        <w:spacing w:line="240" w:lineRule="auto"/>
      </w:pPr>
      <w:r w:rsidRPr="007751DE">
        <w:t>Via het programma ‘Verbouwstromen’ ondersteun ik opdrachtgevers, aanbieders en medeoverheden bij de industriële en gestandaardiseerde verduurzaming van woningen. Het doel is om samenwerkingsverbanden te laten groeien tot gezamenlijke renovatieprogramma’s waarbinnen op efficiënte wijze grote aantallen woningen worden verduurzaamd.</w:t>
      </w:r>
    </w:p>
    <w:p w:rsidR="003507D2" w:rsidP="003507D2" w:rsidRDefault="003507D2" w14:paraId="07323F6A" w14:textId="77777777">
      <w:pPr>
        <w:spacing w:line="240" w:lineRule="auto"/>
        <w:rPr>
          <w:b/>
          <w:bCs/>
        </w:rPr>
      </w:pPr>
    </w:p>
    <w:p w:rsidRPr="00875C5D" w:rsidR="003507D2" w:rsidP="003507D2" w:rsidRDefault="003507D2" w14:paraId="2DB775D7" w14:textId="77777777">
      <w:pPr>
        <w:spacing w:line="240" w:lineRule="auto"/>
        <w:rPr>
          <w:b/>
          <w:bCs/>
        </w:rPr>
      </w:pPr>
      <w:r w:rsidRPr="00875C5D">
        <w:rPr>
          <w:b/>
          <w:bCs/>
        </w:rPr>
        <w:t>Vraag</w:t>
      </w:r>
      <w:r>
        <w:rPr>
          <w:b/>
          <w:bCs/>
        </w:rPr>
        <w:t xml:space="preserve"> 7</w:t>
      </w:r>
    </w:p>
    <w:p w:rsidR="003507D2" w:rsidP="003507D2" w:rsidRDefault="003507D2" w14:paraId="723072A6" w14:textId="77777777">
      <w:pPr>
        <w:spacing w:line="240" w:lineRule="auto"/>
      </w:pPr>
      <w:r w:rsidRPr="00A67CD5">
        <w:t xml:space="preserve">Hoeveel geld is er op uw beleidsterrein beschikbaar voor de </w:t>
      </w:r>
      <w:r>
        <w:t>v</w:t>
      </w:r>
      <w:r w:rsidRPr="00A67CD5">
        <w:t>erduurzamings</w:t>
      </w:r>
      <w:r>
        <w:softHyphen/>
      </w:r>
      <w:r w:rsidRPr="00A67CD5">
        <w:t>opgave in de gebouwde</w:t>
      </w:r>
      <w:r>
        <w:t xml:space="preserve"> </w:t>
      </w:r>
      <w:r w:rsidRPr="00A67CD5">
        <w:t>omgeving?</w:t>
      </w:r>
    </w:p>
    <w:p w:rsidR="003507D2" w:rsidP="003507D2" w:rsidRDefault="003507D2" w14:paraId="47AB3753" w14:textId="77777777">
      <w:pPr>
        <w:spacing w:line="240" w:lineRule="auto"/>
      </w:pPr>
    </w:p>
    <w:p w:rsidR="003507D2" w:rsidP="003507D2" w:rsidRDefault="003507D2" w14:paraId="0E765016" w14:textId="77777777">
      <w:pPr>
        <w:spacing w:line="240" w:lineRule="auto"/>
        <w:rPr>
          <w:b/>
          <w:bCs/>
        </w:rPr>
      </w:pPr>
    </w:p>
    <w:p w:rsidR="003507D2" w:rsidP="003507D2" w:rsidRDefault="003507D2" w14:paraId="6BEB02CD" w14:textId="77777777">
      <w:pPr>
        <w:spacing w:line="240" w:lineRule="auto"/>
        <w:rPr>
          <w:b/>
          <w:bCs/>
        </w:rPr>
      </w:pPr>
    </w:p>
    <w:p w:rsidR="003507D2" w:rsidP="003507D2" w:rsidRDefault="003507D2" w14:paraId="31D7761F" w14:textId="77777777">
      <w:pPr>
        <w:spacing w:line="240" w:lineRule="auto"/>
        <w:rPr>
          <w:b/>
          <w:bCs/>
        </w:rPr>
      </w:pPr>
    </w:p>
    <w:p w:rsidR="003507D2" w:rsidP="003507D2" w:rsidRDefault="003507D2" w14:paraId="31DB62A6" w14:textId="77777777">
      <w:pPr>
        <w:spacing w:line="240" w:lineRule="auto"/>
        <w:rPr>
          <w:b/>
          <w:bCs/>
        </w:rPr>
      </w:pPr>
      <w:r>
        <w:rPr>
          <w:b/>
          <w:bCs/>
        </w:rPr>
        <w:t>Antwoord vraag 7</w:t>
      </w:r>
    </w:p>
    <w:p w:rsidR="003507D2" w:rsidP="003507D2" w:rsidRDefault="003507D2" w14:paraId="4864368C" w14:textId="77777777">
      <w:r>
        <w:t xml:space="preserve">De beschikbare middelen zijn niet goed in één getal te vatten, daar het een optelsom is van </w:t>
      </w:r>
      <w:r w:rsidRPr="00295618">
        <w:t>middelen</w:t>
      </w:r>
      <w:r>
        <w:t xml:space="preserve"> aan de </w:t>
      </w:r>
      <w:r w:rsidRPr="00295618">
        <w:t>uitgave</w:t>
      </w:r>
      <w:r>
        <w:t xml:space="preserve"> kant van de</w:t>
      </w:r>
      <w:r w:rsidRPr="00295618">
        <w:t xml:space="preserve"> begroting, fiscale stimulering en voor ondersteuning van de uitvoering. </w:t>
      </w:r>
    </w:p>
    <w:p w:rsidR="003507D2" w:rsidP="003507D2" w:rsidRDefault="003507D2" w14:paraId="478D7432" w14:textId="77777777"/>
    <w:p w:rsidR="003507D2" w:rsidP="003507D2" w:rsidRDefault="003507D2" w14:paraId="18AF8C1E" w14:textId="77777777">
      <w:r>
        <w:t xml:space="preserve">De budgetten aan de uitgavenkant bestaan uit Klimaatfondsmiddelen en reguliere begrotingsbudgetten. Voor de klimaatfondsmiddelen is een overzicht beschikbaar in de meest recente Miljoenennota </w:t>
      </w:r>
      <w:hyperlink w:history="1" r:id="rId7">
        <w:r w:rsidRPr="00B950F3">
          <w:rPr>
            <w:rStyle w:val="Hyperlink"/>
          </w:rPr>
          <w:t>https://www.rijksfinancien.nl/miljoenennota/2025/bijlage/3096307</w:t>
        </w:r>
      </w:hyperlink>
      <w:r>
        <w:t xml:space="preserve">. Onderstaande Tabel bevat een beeld van het totaal van beschikbare subsidie- en ondersteuningsmiddelen van 2025 t/m 2030 en hoe die zijn verdeeld. </w:t>
      </w:r>
    </w:p>
    <w:p w:rsidR="003507D2" w:rsidP="003507D2" w:rsidRDefault="003507D2" w14:paraId="219F083B" w14:textId="77777777">
      <w:r>
        <w:t xml:space="preserve"> </w:t>
      </w:r>
    </w:p>
    <w:p w:rsidRPr="00F62AAA" w:rsidR="003507D2" w:rsidP="003507D2" w:rsidRDefault="003507D2" w14:paraId="6D0B9526" w14:textId="77777777">
      <w:r w:rsidRPr="00F62AAA">
        <w:lastRenderedPageBreak/>
        <w:t>In totaal is er voor de ondersteuning via subsidies en flankerend beleid nog c</w:t>
      </w:r>
      <w:r>
        <w:t xml:space="preserve">irca </w:t>
      </w:r>
      <w:r w:rsidRPr="00F62AAA">
        <w:t>8</w:t>
      </w:r>
      <w:r>
        <w:t>,</w:t>
      </w:r>
      <w:r w:rsidRPr="00F62AAA">
        <w:t>6 mld. beschikbaar, waarvan c</w:t>
      </w:r>
      <w:r>
        <w:t>irca</w:t>
      </w:r>
      <w:r w:rsidRPr="00F62AAA">
        <w:t xml:space="preserve"> 2</w:t>
      </w:r>
      <w:r>
        <w:t>,</w:t>
      </w:r>
      <w:r w:rsidRPr="00F62AAA">
        <w:t xml:space="preserve">1 mld. in het Klimaatfonds gereserveerd. Bij </w:t>
      </w:r>
      <w:r w:rsidRPr="0068001F">
        <w:t>voorjaar</w:t>
      </w:r>
      <w:r>
        <w:t>snota</w:t>
      </w:r>
      <w:r w:rsidRPr="00F62AAA">
        <w:t xml:space="preserve"> wordt over vrijgave van deze middelen besloten. Dit betreft voor een belangrijk deel de budgetten voor de ondersteuning van huishoudens tussen 2028 en 2030. Tevens worden duurzame warmtebronnen via de SDE gestimuleerd. Hiervoor zijn zogenaamde “hekjes” opgenomen. In 2025 gaat het om c</w:t>
      </w:r>
      <w:r>
        <w:t>irca</w:t>
      </w:r>
      <w:r w:rsidRPr="00F62AAA">
        <w:t xml:space="preserve"> 750 mln., een bedrag dat jaar op jaar wordt vastgesteld.</w:t>
      </w:r>
    </w:p>
    <w:p w:rsidR="003507D2" w:rsidP="003507D2" w:rsidRDefault="003507D2" w14:paraId="7065CB36" w14:textId="77777777"/>
    <w:p w:rsidRPr="00F62AAA" w:rsidR="003507D2" w:rsidP="003507D2" w:rsidRDefault="003507D2" w14:paraId="0C31D2ED" w14:textId="77777777">
      <w:r w:rsidRPr="00F62AAA">
        <w:t xml:space="preserve">Door de afschaffing van de verhuurderheffing is er bij corporaties meer ruimte voor investeringen ontstaan ook voor de verduurzaming van woningen zoals de uitfasering van woningen met slechte </w:t>
      </w:r>
      <w:proofErr w:type="spellStart"/>
      <w:r w:rsidRPr="00F62AAA">
        <w:t>energielabels</w:t>
      </w:r>
      <w:proofErr w:type="spellEnd"/>
      <w:r w:rsidRPr="00F62AAA">
        <w:t xml:space="preserve"> (EFG). </w:t>
      </w:r>
    </w:p>
    <w:p w:rsidR="003507D2" w:rsidP="003507D2" w:rsidRDefault="003507D2" w14:paraId="6E758EC2" w14:textId="77777777"/>
    <w:p w:rsidRPr="00F62AAA" w:rsidR="003507D2" w:rsidP="003507D2" w:rsidRDefault="003507D2" w14:paraId="2EF29F50" w14:textId="77777777">
      <w:r w:rsidRPr="00F62AAA">
        <w:t>Tot slot zijn er uitvoeringsmiddelen via de CDOKE</w:t>
      </w:r>
      <w:r>
        <w:t>-</w:t>
      </w:r>
      <w:r w:rsidRPr="00F62AAA">
        <w:t>gelden voor gemeenten beschikbaar, waarvan een significant deel naar verwachting zal worden ingezet voor de verduurzaming van de Gebouwde Omgeving. In totaal is hier nog c</w:t>
      </w:r>
      <w:r>
        <w:t>irca</w:t>
      </w:r>
      <w:r w:rsidRPr="00F62AAA">
        <w:t xml:space="preserve"> 4.8 mld. voor beschikbaar van 2025 tot en met 2030.</w:t>
      </w:r>
    </w:p>
    <w:p w:rsidR="003507D2" w:rsidP="003507D2" w:rsidRDefault="003507D2" w14:paraId="2CD69D33" w14:textId="77777777"/>
    <w:tbl>
      <w:tblPr>
        <w:tblStyle w:val="Tabelraster"/>
        <w:tblW w:w="7084" w:type="dxa"/>
        <w:tblInd w:w="0" w:type="dxa"/>
        <w:tblLayout w:type="fixed"/>
        <w:tblLook w:val="04A0" w:firstRow="1" w:lastRow="0" w:firstColumn="1" w:lastColumn="0" w:noHBand="0" w:noVBand="1"/>
      </w:tblPr>
      <w:tblGrid>
        <w:gridCol w:w="4390"/>
        <w:gridCol w:w="1275"/>
        <w:gridCol w:w="1419"/>
      </w:tblGrid>
      <w:tr w:rsidRPr="00F62AAA" w:rsidR="003507D2" w:rsidTr="004C501E" w14:paraId="1A67C69A" w14:textId="77777777">
        <w:trPr>
          <w:trHeight w:val="532"/>
        </w:trPr>
        <w:tc>
          <w:tcPr>
            <w:tcW w:w="4390" w:type="dxa"/>
            <w:tcBorders>
              <w:bottom w:val="single" w:color="000000" w:sz="4" w:space="0"/>
            </w:tcBorders>
            <w:noWrap/>
            <w:hideMark/>
          </w:tcPr>
          <w:p w:rsidRPr="00F62AAA" w:rsidR="003507D2" w:rsidP="004C501E" w:rsidRDefault="003507D2" w14:paraId="40597EE6" w14:textId="77777777">
            <w:pPr>
              <w:rPr>
                <w:b/>
                <w:bCs/>
              </w:rPr>
            </w:pPr>
          </w:p>
          <w:p w:rsidRPr="00F62AAA" w:rsidR="003507D2" w:rsidP="004C501E" w:rsidRDefault="003507D2" w14:paraId="4466216F" w14:textId="77777777">
            <w:pPr>
              <w:rPr>
                <w:b/>
                <w:bCs/>
              </w:rPr>
            </w:pPr>
            <w:r w:rsidRPr="00F62AAA">
              <w:rPr>
                <w:b/>
                <w:bCs/>
              </w:rPr>
              <w:t>Budget</w:t>
            </w:r>
            <w:r>
              <w:rPr>
                <w:b/>
                <w:bCs/>
              </w:rPr>
              <w:t>**</w:t>
            </w:r>
            <w:r w:rsidRPr="00F62AAA">
              <w:rPr>
                <w:b/>
                <w:bCs/>
              </w:rPr>
              <w:t xml:space="preserve"> </w:t>
            </w:r>
            <w:r w:rsidRPr="00245B5B">
              <w:t>(afgrond, mln. Euro)</w:t>
            </w:r>
          </w:p>
        </w:tc>
        <w:tc>
          <w:tcPr>
            <w:tcW w:w="1275" w:type="dxa"/>
            <w:tcBorders>
              <w:bottom w:val="single" w:color="000000" w:sz="4" w:space="0"/>
            </w:tcBorders>
            <w:hideMark/>
          </w:tcPr>
          <w:p w:rsidR="003507D2" w:rsidP="004C501E" w:rsidRDefault="003507D2" w14:paraId="1D1D7E09" w14:textId="77777777">
            <w:pPr>
              <w:jc w:val="center"/>
              <w:rPr>
                <w:b/>
                <w:bCs/>
              </w:rPr>
            </w:pPr>
          </w:p>
          <w:p w:rsidRPr="00F62AAA" w:rsidR="003507D2" w:rsidP="004C501E" w:rsidRDefault="003507D2" w14:paraId="0F78E987" w14:textId="77777777">
            <w:pPr>
              <w:jc w:val="center"/>
              <w:rPr>
                <w:b/>
                <w:bCs/>
              </w:rPr>
            </w:pPr>
            <w:r w:rsidRPr="00F62AAA">
              <w:rPr>
                <w:b/>
                <w:bCs/>
              </w:rPr>
              <w:t>2025-2030</w:t>
            </w:r>
          </w:p>
        </w:tc>
        <w:tc>
          <w:tcPr>
            <w:tcW w:w="1419" w:type="dxa"/>
            <w:tcBorders>
              <w:bottom w:val="single" w:color="000000" w:sz="4" w:space="0"/>
            </w:tcBorders>
            <w:hideMark/>
          </w:tcPr>
          <w:p w:rsidRPr="00F62AAA" w:rsidR="003507D2" w:rsidP="004C501E" w:rsidRDefault="003507D2" w14:paraId="2CA393BF" w14:textId="77777777">
            <w:pPr>
              <w:jc w:val="center"/>
              <w:rPr>
                <w:b/>
                <w:bCs/>
              </w:rPr>
            </w:pPr>
            <w:proofErr w:type="spellStart"/>
            <w:r w:rsidRPr="00F62AAA">
              <w:rPr>
                <w:b/>
                <w:bCs/>
              </w:rPr>
              <w:t>w.v</w:t>
            </w:r>
            <w:proofErr w:type="spellEnd"/>
            <w:r w:rsidRPr="00F62AAA">
              <w:rPr>
                <w:b/>
                <w:bCs/>
              </w:rPr>
              <w:t xml:space="preserve">. </w:t>
            </w:r>
            <w:proofErr w:type="spellStart"/>
            <w:r w:rsidRPr="00F62AAA">
              <w:rPr>
                <w:b/>
                <w:bCs/>
              </w:rPr>
              <w:t>gereser</w:t>
            </w:r>
            <w:r>
              <w:rPr>
                <w:b/>
                <w:bCs/>
              </w:rPr>
              <w:t>-v</w:t>
            </w:r>
            <w:r w:rsidRPr="00F62AAA">
              <w:rPr>
                <w:b/>
                <w:bCs/>
              </w:rPr>
              <w:t>eerd</w:t>
            </w:r>
            <w:proofErr w:type="spellEnd"/>
          </w:p>
        </w:tc>
      </w:tr>
      <w:tr w:rsidRPr="00295618" w:rsidR="003507D2" w:rsidTr="004C501E" w14:paraId="33B9FBDB" w14:textId="77777777">
        <w:trPr>
          <w:trHeight w:val="211"/>
        </w:trPr>
        <w:tc>
          <w:tcPr>
            <w:tcW w:w="4390" w:type="dxa"/>
            <w:tcBorders>
              <w:bottom w:val="dotted" w:color="000000" w:sz="4" w:space="0"/>
            </w:tcBorders>
            <w:noWrap/>
            <w:hideMark/>
          </w:tcPr>
          <w:p w:rsidRPr="00F62AAA" w:rsidR="003507D2" w:rsidP="004C501E" w:rsidRDefault="003507D2" w14:paraId="1A3ACEF9" w14:textId="77777777">
            <w:r w:rsidRPr="00F62AAA">
              <w:t xml:space="preserve">ISDE subsidies (o.a. isolatie, (hybride) warmtepompen, </w:t>
            </w:r>
            <w:proofErr w:type="spellStart"/>
            <w:r w:rsidRPr="00F62AAA">
              <w:t>VVE's</w:t>
            </w:r>
            <w:proofErr w:type="spellEnd"/>
            <w:r w:rsidRPr="00F62AAA">
              <w:t>)</w:t>
            </w:r>
          </w:p>
        </w:tc>
        <w:tc>
          <w:tcPr>
            <w:tcW w:w="1275" w:type="dxa"/>
            <w:tcBorders>
              <w:bottom w:val="dotted" w:color="000000" w:sz="4" w:space="0"/>
            </w:tcBorders>
            <w:noWrap/>
            <w:hideMark/>
          </w:tcPr>
          <w:p w:rsidRPr="00F62AAA" w:rsidR="003507D2" w:rsidP="004C501E" w:rsidRDefault="003507D2" w14:paraId="5D22F5CE" w14:textId="77777777">
            <w:pPr>
              <w:jc w:val="center"/>
            </w:pPr>
            <w:r w:rsidRPr="00F62AAA">
              <w:t>3.250</w:t>
            </w:r>
          </w:p>
        </w:tc>
        <w:tc>
          <w:tcPr>
            <w:tcW w:w="1419" w:type="dxa"/>
            <w:tcBorders>
              <w:bottom w:val="dotted" w:color="000000" w:sz="4" w:space="0"/>
            </w:tcBorders>
            <w:noWrap/>
            <w:hideMark/>
          </w:tcPr>
          <w:p w:rsidRPr="00F62AAA" w:rsidR="003507D2" w:rsidP="004C501E" w:rsidRDefault="003507D2" w14:paraId="213CC764" w14:textId="77777777">
            <w:pPr>
              <w:jc w:val="center"/>
            </w:pPr>
            <w:r w:rsidRPr="00F62AAA">
              <w:t>1.450</w:t>
            </w:r>
          </w:p>
        </w:tc>
      </w:tr>
      <w:tr w:rsidRPr="00295618" w:rsidR="003507D2" w:rsidTr="004C501E" w14:paraId="1C9EC596" w14:textId="77777777">
        <w:trPr>
          <w:trHeight w:val="288"/>
        </w:trPr>
        <w:tc>
          <w:tcPr>
            <w:tcW w:w="4390" w:type="dxa"/>
            <w:tcBorders>
              <w:top w:val="dotted" w:color="000000" w:sz="4" w:space="0"/>
              <w:bottom w:val="dotted" w:color="000000" w:sz="4" w:space="0"/>
            </w:tcBorders>
            <w:noWrap/>
            <w:hideMark/>
          </w:tcPr>
          <w:p w:rsidRPr="00295618" w:rsidR="003507D2" w:rsidP="004C501E" w:rsidRDefault="003507D2" w14:paraId="00FFC0B4" w14:textId="77777777">
            <w:r w:rsidRPr="00295618">
              <w:t>Lokale aanpak Nationaal Isolatieprogramma (resterende middelen</w:t>
            </w:r>
            <w:r>
              <w:t xml:space="preserve"> 2025</w:t>
            </w:r>
            <w:r w:rsidRPr="00295618">
              <w:t>)</w:t>
            </w:r>
          </w:p>
        </w:tc>
        <w:tc>
          <w:tcPr>
            <w:tcW w:w="1275" w:type="dxa"/>
            <w:tcBorders>
              <w:top w:val="dotted" w:color="000000" w:sz="4" w:space="0"/>
              <w:bottom w:val="dotted" w:color="000000" w:sz="4" w:space="0"/>
            </w:tcBorders>
            <w:noWrap/>
            <w:hideMark/>
          </w:tcPr>
          <w:p w:rsidRPr="00FB70DA" w:rsidR="003507D2" w:rsidP="004C501E" w:rsidRDefault="003507D2" w14:paraId="6E905915" w14:textId="77777777">
            <w:pPr>
              <w:jc w:val="center"/>
              <w:rPr>
                <w:highlight w:val="yellow"/>
              </w:rPr>
            </w:pPr>
            <w:r w:rsidRPr="00FB70DA">
              <w:t>450</w:t>
            </w:r>
          </w:p>
        </w:tc>
        <w:tc>
          <w:tcPr>
            <w:tcW w:w="1419" w:type="dxa"/>
            <w:tcBorders>
              <w:top w:val="dotted" w:color="000000" w:sz="4" w:space="0"/>
              <w:bottom w:val="dotted" w:color="000000" w:sz="4" w:space="0"/>
            </w:tcBorders>
            <w:noWrap/>
            <w:hideMark/>
          </w:tcPr>
          <w:p w:rsidRPr="00FB70DA" w:rsidR="003507D2" w:rsidP="004C501E" w:rsidRDefault="003507D2" w14:paraId="32B67477" w14:textId="77777777">
            <w:pPr>
              <w:jc w:val="center"/>
              <w:rPr>
                <w:highlight w:val="yellow"/>
              </w:rPr>
            </w:pPr>
          </w:p>
        </w:tc>
      </w:tr>
      <w:tr w:rsidRPr="00295618" w:rsidR="003507D2" w:rsidTr="004C501E" w14:paraId="57136FF9" w14:textId="77777777">
        <w:trPr>
          <w:trHeight w:val="82"/>
        </w:trPr>
        <w:tc>
          <w:tcPr>
            <w:tcW w:w="4390" w:type="dxa"/>
            <w:tcBorders>
              <w:top w:val="dotted" w:color="000000" w:sz="4" w:space="0"/>
              <w:bottom w:val="dotted" w:color="000000" w:sz="4" w:space="0"/>
            </w:tcBorders>
            <w:noWrap/>
            <w:hideMark/>
          </w:tcPr>
          <w:p w:rsidRPr="00295618" w:rsidR="003507D2" w:rsidP="004C501E" w:rsidRDefault="003507D2" w14:paraId="120EC27E" w14:textId="77777777">
            <w:r w:rsidRPr="00295618">
              <w:t>SVOH (subsidie particuliere verhuurders)</w:t>
            </w:r>
          </w:p>
        </w:tc>
        <w:tc>
          <w:tcPr>
            <w:tcW w:w="1275" w:type="dxa"/>
            <w:tcBorders>
              <w:top w:val="dotted" w:color="000000" w:sz="4" w:space="0"/>
              <w:bottom w:val="dotted" w:color="000000" w:sz="4" w:space="0"/>
            </w:tcBorders>
            <w:noWrap/>
            <w:hideMark/>
          </w:tcPr>
          <w:p w:rsidRPr="00FB70DA" w:rsidR="003507D2" w:rsidP="004C501E" w:rsidRDefault="003507D2" w14:paraId="5B481BB0" w14:textId="77777777">
            <w:pPr>
              <w:jc w:val="center"/>
              <w:rPr>
                <w:highlight w:val="yellow"/>
              </w:rPr>
            </w:pPr>
            <w:r w:rsidRPr="00FB70DA">
              <w:t>145</w:t>
            </w:r>
          </w:p>
        </w:tc>
        <w:tc>
          <w:tcPr>
            <w:tcW w:w="1419" w:type="dxa"/>
            <w:tcBorders>
              <w:top w:val="dotted" w:color="000000" w:sz="4" w:space="0"/>
              <w:bottom w:val="dotted" w:color="000000" w:sz="4" w:space="0"/>
            </w:tcBorders>
            <w:noWrap/>
            <w:hideMark/>
          </w:tcPr>
          <w:p w:rsidRPr="00FB70DA" w:rsidR="003507D2" w:rsidP="004C501E" w:rsidRDefault="003507D2" w14:paraId="785B0673" w14:textId="77777777">
            <w:pPr>
              <w:jc w:val="center"/>
              <w:rPr>
                <w:highlight w:val="yellow"/>
              </w:rPr>
            </w:pPr>
          </w:p>
        </w:tc>
      </w:tr>
      <w:tr w:rsidRPr="00295618" w:rsidR="003507D2" w:rsidTr="004C501E" w14:paraId="61416F69" w14:textId="77777777">
        <w:trPr>
          <w:trHeight w:val="256"/>
        </w:trPr>
        <w:tc>
          <w:tcPr>
            <w:tcW w:w="4390" w:type="dxa"/>
            <w:tcBorders>
              <w:top w:val="dotted" w:color="000000" w:sz="4" w:space="0"/>
              <w:bottom w:val="dotted" w:color="000000" w:sz="4" w:space="0"/>
            </w:tcBorders>
            <w:noWrap/>
            <w:hideMark/>
          </w:tcPr>
          <w:p w:rsidRPr="00295618" w:rsidR="003507D2" w:rsidP="004C501E" w:rsidRDefault="003507D2" w14:paraId="1FBB8996" w14:textId="77777777">
            <w:r w:rsidRPr="00295618">
              <w:t>Nationaal Warmtefonds (incl</w:t>
            </w:r>
            <w:r>
              <w:t>.</w:t>
            </w:r>
            <w:r w:rsidRPr="00295618">
              <w:t xml:space="preserve"> middelen voor renteloze leningen)</w:t>
            </w:r>
            <w:r>
              <w:t>*</w:t>
            </w:r>
          </w:p>
        </w:tc>
        <w:tc>
          <w:tcPr>
            <w:tcW w:w="1275" w:type="dxa"/>
            <w:tcBorders>
              <w:top w:val="dotted" w:color="000000" w:sz="4" w:space="0"/>
              <w:bottom w:val="dotted" w:color="000000" w:sz="4" w:space="0"/>
            </w:tcBorders>
            <w:noWrap/>
            <w:hideMark/>
          </w:tcPr>
          <w:p w:rsidRPr="00FB70DA" w:rsidR="003507D2" w:rsidP="004C501E" w:rsidRDefault="003507D2" w14:paraId="789A0912" w14:textId="77777777">
            <w:pPr>
              <w:jc w:val="center"/>
              <w:rPr>
                <w:highlight w:val="yellow"/>
              </w:rPr>
            </w:pPr>
            <w:r w:rsidRPr="00FB70DA">
              <w:t>490</w:t>
            </w:r>
          </w:p>
        </w:tc>
        <w:tc>
          <w:tcPr>
            <w:tcW w:w="1419" w:type="dxa"/>
            <w:tcBorders>
              <w:top w:val="dotted" w:color="000000" w:sz="4" w:space="0"/>
              <w:bottom w:val="dotted" w:color="000000" w:sz="4" w:space="0"/>
            </w:tcBorders>
            <w:noWrap/>
            <w:hideMark/>
          </w:tcPr>
          <w:p w:rsidRPr="00FB70DA" w:rsidR="003507D2" w:rsidP="004C501E" w:rsidRDefault="003507D2" w14:paraId="485ADF9D" w14:textId="77777777">
            <w:pPr>
              <w:jc w:val="center"/>
              <w:rPr>
                <w:highlight w:val="yellow"/>
              </w:rPr>
            </w:pPr>
          </w:p>
        </w:tc>
      </w:tr>
      <w:tr w:rsidRPr="00295618" w:rsidR="003507D2" w:rsidTr="004C501E" w14:paraId="3EA78766" w14:textId="77777777">
        <w:trPr>
          <w:trHeight w:val="58"/>
        </w:trPr>
        <w:tc>
          <w:tcPr>
            <w:tcW w:w="4390" w:type="dxa"/>
            <w:tcBorders>
              <w:top w:val="dotted" w:color="000000" w:sz="4" w:space="0"/>
              <w:bottom w:val="dotted" w:color="000000" w:sz="4" w:space="0"/>
            </w:tcBorders>
            <w:noWrap/>
            <w:hideMark/>
          </w:tcPr>
          <w:p w:rsidRPr="00295618" w:rsidR="003507D2" w:rsidP="004C501E" w:rsidRDefault="003507D2" w14:paraId="265C0622" w14:textId="77777777">
            <w:pPr>
              <w:rPr>
                <w:lang w:val="de-DE"/>
              </w:rPr>
            </w:pPr>
            <w:proofErr w:type="spellStart"/>
            <w:r w:rsidRPr="00295618">
              <w:rPr>
                <w:lang w:val="de-DE"/>
              </w:rPr>
              <w:t>Warmtenetten</w:t>
            </w:r>
            <w:proofErr w:type="spellEnd"/>
            <w:r w:rsidRPr="00295618">
              <w:rPr>
                <w:lang w:val="de-DE"/>
              </w:rPr>
              <w:t xml:space="preserve"> (o.a. WIS, SAH</w:t>
            </w:r>
            <w:r>
              <w:rPr>
                <w:lang w:val="de-DE"/>
              </w:rPr>
              <w:t>*</w:t>
            </w:r>
            <w:r w:rsidRPr="00295618">
              <w:rPr>
                <w:lang w:val="de-DE"/>
              </w:rPr>
              <w:t xml:space="preserve">, </w:t>
            </w:r>
            <w:proofErr w:type="spellStart"/>
            <w:r w:rsidRPr="00295618">
              <w:rPr>
                <w:lang w:val="de-DE"/>
              </w:rPr>
              <w:t>financiering</w:t>
            </w:r>
            <w:proofErr w:type="spellEnd"/>
            <w:r w:rsidRPr="00295618">
              <w:rPr>
                <w:lang w:val="de-DE"/>
              </w:rPr>
              <w:t>)</w:t>
            </w:r>
          </w:p>
        </w:tc>
        <w:tc>
          <w:tcPr>
            <w:tcW w:w="1275" w:type="dxa"/>
            <w:tcBorders>
              <w:top w:val="dotted" w:color="000000" w:sz="4" w:space="0"/>
              <w:bottom w:val="dotted" w:color="000000" w:sz="4" w:space="0"/>
            </w:tcBorders>
            <w:noWrap/>
            <w:hideMark/>
          </w:tcPr>
          <w:p w:rsidRPr="00FB70DA" w:rsidR="003507D2" w:rsidP="004C501E" w:rsidRDefault="003507D2" w14:paraId="33640AE9" w14:textId="77777777">
            <w:pPr>
              <w:jc w:val="center"/>
              <w:rPr>
                <w:highlight w:val="yellow"/>
              </w:rPr>
            </w:pPr>
            <w:r w:rsidRPr="00FB70DA">
              <w:t>1.340</w:t>
            </w:r>
          </w:p>
        </w:tc>
        <w:tc>
          <w:tcPr>
            <w:tcW w:w="1419" w:type="dxa"/>
            <w:tcBorders>
              <w:top w:val="dotted" w:color="000000" w:sz="4" w:space="0"/>
              <w:bottom w:val="dotted" w:color="000000" w:sz="4" w:space="0"/>
            </w:tcBorders>
            <w:noWrap/>
            <w:hideMark/>
          </w:tcPr>
          <w:p w:rsidRPr="00FB70DA" w:rsidR="003507D2" w:rsidP="004C501E" w:rsidRDefault="003507D2" w14:paraId="20036E34" w14:textId="77777777">
            <w:pPr>
              <w:jc w:val="center"/>
              <w:rPr>
                <w:highlight w:val="yellow"/>
              </w:rPr>
            </w:pPr>
            <w:r w:rsidRPr="00FB70DA">
              <w:t>200</w:t>
            </w:r>
          </w:p>
        </w:tc>
      </w:tr>
      <w:tr w:rsidRPr="00295618" w:rsidR="003507D2" w:rsidTr="004C501E" w14:paraId="4531D12A" w14:textId="77777777">
        <w:trPr>
          <w:trHeight w:val="288"/>
        </w:trPr>
        <w:tc>
          <w:tcPr>
            <w:tcW w:w="4390" w:type="dxa"/>
            <w:tcBorders>
              <w:top w:val="dotted" w:color="000000" w:sz="4" w:space="0"/>
              <w:bottom w:val="dotted" w:color="000000" w:sz="4" w:space="0"/>
            </w:tcBorders>
            <w:noWrap/>
            <w:hideMark/>
          </w:tcPr>
          <w:p w:rsidRPr="00295618" w:rsidR="003507D2" w:rsidP="004C501E" w:rsidRDefault="003507D2" w14:paraId="3C022AF9" w14:textId="77777777">
            <w:r w:rsidRPr="00295618">
              <w:t xml:space="preserve">Maatschappelijk vastgoed (o.a. </w:t>
            </w:r>
            <w:proofErr w:type="spellStart"/>
            <w:r w:rsidRPr="00295618">
              <w:t>DuMaVa</w:t>
            </w:r>
            <w:proofErr w:type="spellEnd"/>
            <w:r w:rsidRPr="00295618">
              <w:t>, flankerend beleid)</w:t>
            </w:r>
          </w:p>
        </w:tc>
        <w:tc>
          <w:tcPr>
            <w:tcW w:w="1275" w:type="dxa"/>
            <w:tcBorders>
              <w:top w:val="dotted" w:color="000000" w:sz="4" w:space="0"/>
              <w:bottom w:val="dotted" w:color="000000" w:sz="4" w:space="0"/>
            </w:tcBorders>
            <w:noWrap/>
            <w:hideMark/>
          </w:tcPr>
          <w:p w:rsidRPr="00FB70DA" w:rsidR="003507D2" w:rsidP="004C501E" w:rsidRDefault="003507D2" w14:paraId="3A3760E8" w14:textId="77777777">
            <w:pPr>
              <w:jc w:val="center"/>
              <w:rPr>
                <w:highlight w:val="yellow"/>
              </w:rPr>
            </w:pPr>
            <w:r w:rsidRPr="00FB70DA">
              <w:t>2.400</w:t>
            </w:r>
          </w:p>
        </w:tc>
        <w:tc>
          <w:tcPr>
            <w:tcW w:w="1419" w:type="dxa"/>
            <w:tcBorders>
              <w:top w:val="dotted" w:color="000000" w:sz="4" w:space="0"/>
              <w:bottom w:val="dotted" w:color="000000" w:sz="4" w:space="0"/>
            </w:tcBorders>
            <w:noWrap/>
            <w:hideMark/>
          </w:tcPr>
          <w:p w:rsidRPr="00FB70DA" w:rsidR="003507D2" w:rsidP="004C501E" w:rsidRDefault="003507D2" w14:paraId="798D84F0" w14:textId="77777777">
            <w:pPr>
              <w:jc w:val="center"/>
              <w:rPr>
                <w:highlight w:val="yellow"/>
              </w:rPr>
            </w:pPr>
            <w:r w:rsidRPr="00FB70DA">
              <w:t>175</w:t>
            </w:r>
          </w:p>
        </w:tc>
      </w:tr>
      <w:tr w:rsidRPr="00295618" w:rsidR="003507D2" w:rsidTr="004C501E" w14:paraId="25B09465" w14:textId="77777777">
        <w:trPr>
          <w:trHeight w:val="58"/>
        </w:trPr>
        <w:tc>
          <w:tcPr>
            <w:tcW w:w="4390" w:type="dxa"/>
            <w:tcBorders>
              <w:top w:val="dotted" w:color="000000" w:sz="4" w:space="0"/>
              <w:bottom w:val="dotted" w:color="000000" w:sz="4" w:space="0"/>
            </w:tcBorders>
            <w:noWrap/>
            <w:hideMark/>
          </w:tcPr>
          <w:p w:rsidRPr="00295618" w:rsidR="003507D2" w:rsidP="004C501E" w:rsidRDefault="003507D2" w14:paraId="23321A57" w14:textId="77777777">
            <w:proofErr w:type="spellStart"/>
            <w:r w:rsidRPr="00295618">
              <w:t>Biobased</w:t>
            </w:r>
            <w:proofErr w:type="spellEnd"/>
            <w:r w:rsidRPr="00295618">
              <w:t xml:space="preserve"> bouwen</w:t>
            </w:r>
          </w:p>
        </w:tc>
        <w:tc>
          <w:tcPr>
            <w:tcW w:w="1275" w:type="dxa"/>
            <w:tcBorders>
              <w:top w:val="dotted" w:color="000000" w:sz="4" w:space="0"/>
              <w:bottom w:val="dotted" w:color="000000" w:sz="4" w:space="0"/>
            </w:tcBorders>
            <w:noWrap/>
            <w:hideMark/>
          </w:tcPr>
          <w:p w:rsidRPr="00FB70DA" w:rsidR="003507D2" w:rsidP="004C501E" w:rsidRDefault="003507D2" w14:paraId="54294C87" w14:textId="77777777">
            <w:pPr>
              <w:jc w:val="center"/>
              <w:rPr>
                <w:highlight w:val="yellow"/>
              </w:rPr>
            </w:pPr>
            <w:r w:rsidRPr="00FB70DA">
              <w:t>180</w:t>
            </w:r>
          </w:p>
        </w:tc>
        <w:tc>
          <w:tcPr>
            <w:tcW w:w="1419" w:type="dxa"/>
            <w:tcBorders>
              <w:top w:val="dotted" w:color="000000" w:sz="4" w:space="0"/>
              <w:bottom w:val="dotted" w:color="000000" w:sz="4" w:space="0"/>
            </w:tcBorders>
            <w:noWrap/>
            <w:hideMark/>
          </w:tcPr>
          <w:p w:rsidRPr="00FB70DA" w:rsidR="003507D2" w:rsidP="004C501E" w:rsidRDefault="003507D2" w14:paraId="4F69B77A" w14:textId="77777777">
            <w:pPr>
              <w:jc w:val="center"/>
              <w:rPr>
                <w:highlight w:val="yellow"/>
              </w:rPr>
            </w:pPr>
            <w:r w:rsidRPr="00FB70DA">
              <w:t>100</w:t>
            </w:r>
          </w:p>
        </w:tc>
      </w:tr>
      <w:tr w:rsidRPr="00295618" w:rsidR="003507D2" w:rsidTr="004C501E" w14:paraId="7EDDC4FF" w14:textId="77777777">
        <w:trPr>
          <w:trHeight w:val="58"/>
        </w:trPr>
        <w:tc>
          <w:tcPr>
            <w:tcW w:w="4390" w:type="dxa"/>
            <w:tcBorders>
              <w:top w:val="dotted" w:color="000000" w:sz="4" w:space="0"/>
              <w:bottom w:val="double" w:color="000000" w:sz="4" w:space="0"/>
            </w:tcBorders>
            <w:noWrap/>
            <w:hideMark/>
          </w:tcPr>
          <w:p w:rsidRPr="00295618" w:rsidR="003507D2" w:rsidP="004C501E" w:rsidRDefault="003507D2" w14:paraId="0239AEB4" w14:textId="77777777">
            <w:r w:rsidRPr="00295618">
              <w:t xml:space="preserve">Divers flankerend beleid (doe-het-zelf, </w:t>
            </w:r>
            <w:proofErr w:type="spellStart"/>
            <w:r w:rsidRPr="00295618">
              <w:t>ZonPV</w:t>
            </w:r>
            <w:proofErr w:type="spellEnd"/>
            <w:r w:rsidRPr="00295618">
              <w:t xml:space="preserve"> op gebouwen, vve's en innovatie)</w:t>
            </w:r>
          </w:p>
        </w:tc>
        <w:tc>
          <w:tcPr>
            <w:tcW w:w="1275" w:type="dxa"/>
            <w:tcBorders>
              <w:top w:val="dotted" w:color="000000" w:sz="4" w:space="0"/>
              <w:bottom w:val="double" w:color="000000" w:sz="4" w:space="0"/>
            </w:tcBorders>
            <w:noWrap/>
            <w:hideMark/>
          </w:tcPr>
          <w:p w:rsidRPr="00FB70DA" w:rsidR="003507D2" w:rsidP="004C501E" w:rsidRDefault="003507D2" w14:paraId="79EFD1DB" w14:textId="77777777">
            <w:pPr>
              <w:jc w:val="center"/>
              <w:rPr>
                <w:highlight w:val="yellow"/>
              </w:rPr>
            </w:pPr>
            <w:r w:rsidRPr="00FB70DA">
              <w:t>320</w:t>
            </w:r>
          </w:p>
        </w:tc>
        <w:tc>
          <w:tcPr>
            <w:tcW w:w="1419" w:type="dxa"/>
            <w:tcBorders>
              <w:top w:val="dotted" w:color="000000" w:sz="4" w:space="0"/>
              <w:bottom w:val="double" w:color="000000" w:sz="4" w:space="0"/>
            </w:tcBorders>
            <w:noWrap/>
            <w:hideMark/>
          </w:tcPr>
          <w:p w:rsidRPr="00FB70DA" w:rsidR="003507D2" w:rsidP="004C501E" w:rsidRDefault="003507D2" w14:paraId="0052ADAF" w14:textId="77777777">
            <w:pPr>
              <w:jc w:val="center"/>
              <w:rPr>
                <w:highlight w:val="yellow"/>
              </w:rPr>
            </w:pPr>
            <w:r w:rsidRPr="00FB70DA">
              <w:t>150</w:t>
            </w:r>
          </w:p>
        </w:tc>
      </w:tr>
      <w:tr w:rsidRPr="00295618" w:rsidR="003507D2" w:rsidTr="004C501E" w14:paraId="4635DE27" w14:textId="77777777">
        <w:trPr>
          <w:trHeight w:val="38"/>
        </w:trPr>
        <w:tc>
          <w:tcPr>
            <w:tcW w:w="4390" w:type="dxa"/>
            <w:tcBorders>
              <w:top w:val="double" w:color="000000" w:sz="4" w:space="0"/>
              <w:bottom w:val="double" w:color="000000" w:sz="4" w:space="0"/>
              <w:right w:val="single" w:color="000000" w:sz="4" w:space="0"/>
            </w:tcBorders>
            <w:noWrap/>
            <w:hideMark/>
          </w:tcPr>
          <w:p w:rsidRPr="00295618" w:rsidR="003507D2" w:rsidP="004C501E" w:rsidRDefault="003507D2" w14:paraId="1CDB7436" w14:textId="77777777">
            <w:pPr>
              <w:rPr>
                <w:b/>
                <w:bCs/>
              </w:rPr>
            </w:pPr>
            <w:r>
              <w:rPr>
                <w:b/>
                <w:bCs/>
              </w:rPr>
              <w:t>T</w:t>
            </w:r>
            <w:r w:rsidRPr="00295618">
              <w:rPr>
                <w:b/>
                <w:bCs/>
              </w:rPr>
              <w:t>otaal</w:t>
            </w:r>
            <w:r>
              <w:rPr>
                <w:b/>
                <w:bCs/>
              </w:rPr>
              <w:t xml:space="preserve"> (mln.)</w:t>
            </w:r>
          </w:p>
        </w:tc>
        <w:tc>
          <w:tcPr>
            <w:tcW w:w="1275" w:type="dxa"/>
            <w:tcBorders>
              <w:top w:val="double" w:color="000000" w:sz="4" w:space="0"/>
              <w:left w:val="single" w:color="000000" w:sz="4" w:space="0"/>
              <w:bottom w:val="double" w:color="000000" w:sz="4" w:space="0"/>
              <w:right w:val="single" w:color="000000" w:sz="4" w:space="0"/>
            </w:tcBorders>
            <w:noWrap/>
            <w:hideMark/>
          </w:tcPr>
          <w:p w:rsidRPr="00D01B61" w:rsidR="003507D2" w:rsidP="004C501E" w:rsidRDefault="003507D2" w14:paraId="2A05EA00" w14:textId="77777777">
            <w:pPr>
              <w:jc w:val="center"/>
              <w:rPr>
                <w:b/>
                <w:bCs/>
                <w:highlight w:val="yellow"/>
              </w:rPr>
            </w:pPr>
            <w:r w:rsidRPr="00D01B61">
              <w:rPr>
                <w:b/>
                <w:bCs/>
              </w:rPr>
              <w:t>8.575</w:t>
            </w:r>
          </w:p>
        </w:tc>
        <w:tc>
          <w:tcPr>
            <w:tcW w:w="1419" w:type="dxa"/>
            <w:tcBorders>
              <w:top w:val="double" w:color="000000" w:sz="4" w:space="0"/>
              <w:left w:val="single" w:color="000000" w:sz="4" w:space="0"/>
              <w:bottom w:val="double" w:color="000000" w:sz="4" w:space="0"/>
            </w:tcBorders>
            <w:noWrap/>
            <w:hideMark/>
          </w:tcPr>
          <w:p w:rsidRPr="00D01B61" w:rsidR="003507D2" w:rsidP="004C501E" w:rsidRDefault="003507D2" w14:paraId="3FEEC62F" w14:textId="77777777">
            <w:pPr>
              <w:jc w:val="center"/>
              <w:rPr>
                <w:b/>
                <w:bCs/>
                <w:highlight w:val="yellow"/>
              </w:rPr>
            </w:pPr>
            <w:r w:rsidRPr="00D01B61">
              <w:rPr>
                <w:b/>
                <w:bCs/>
              </w:rPr>
              <w:t>2.075</w:t>
            </w:r>
          </w:p>
        </w:tc>
      </w:tr>
    </w:tbl>
    <w:p w:rsidRPr="00245B5B" w:rsidR="003507D2" w:rsidP="003507D2" w:rsidRDefault="003507D2" w14:paraId="1B985949" w14:textId="77777777">
      <w:pPr>
        <w:rPr>
          <w:i/>
          <w:iCs/>
        </w:rPr>
      </w:pPr>
      <w:r w:rsidRPr="00B52FC2">
        <w:rPr>
          <w:i/>
          <w:iCs/>
        </w:rPr>
        <w:t xml:space="preserve">* Deze middelen zijn </w:t>
      </w:r>
      <w:r>
        <w:rPr>
          <w:i/>
          <w:iCs/>
        </w:rPr>
        <w:t>grotendeels</w:t>
      </w:r>
      <w:r w:rsidRPr="00B52FC2">
        <w:rPr>
          <w:i/>
          <w:iCs/>
        </w:rPr>
        <w:t xml:space="preserve"> beschikt</w:t>
      </w:r>
      <w:r>
        <w:rPr>
          <w:i/>
          <w:iCs/>
        </w:rPr>
        <w:br/>
      </w:r>
      <w:r w:rsidRPr="00245B5B">
        <w:rPr>
          <w:i/>
          <w:iCs/>
        </w:rPr>
        <w:t xml:space="preserve">**De middelen zijn verdeeld over de begroting van KGG en van VRO, waardoor deze getallen niet direct herleidbaar zijn naar regels op </w:t>
      </w:r>
      <w:r>
        <w:rPr>
          <w:i/>
          <w:iCs/>
        </w:rPr>
        <w:t>een departementale</w:t>
      </w:r>
      <w:r w:rsidRPr="00245B5B">
        <w:rPr>
          <w:i/>
          <w:iCs/>
        </w:rPr>
        <w:t xml:space="preserve"> begroting.</w:t>
      </w:r>
    </w:p>
    <w:p w:rsidR="003507D2" w:rsidP="003507D2" w:rsidRDefault="003507D2" w14:paraId="3EA5F433" w14:textId="77777777">
      <w:pPr>
        <w:rPr>
          <w:i/>
          <w:iCs/>
        </w:rPr>
      </w:pPr>
    </w:p>
    <w:p w:rsidRPr="00B52FC2" w:rsidR="003507D2" w:rsidP="003507D2" w:rsidRDefault="003507D2" w14:paraId="7F962895" w14:textId="77777777">
      <w:pPr>
        <w:rPr>
          <w:i/>
          <w:iCs/>
        </w:rPr>
      </w:pPr>
    </w:p>
    <w:p w:rsidR="003507D2" w:rsidP="003507D2" w:rsidRDefault="003507D2" w14:paraId="3E9FD716" w14:textId="77777777">
      <w:pPr>
        <w:spacing w:line="240" w:lineRule="auto"/>
        <w:rPr>
          <w:b/>
          <w:bCs/>
        </w:rPr>
      </w:pPr>
    </w:p>
    <w:p w:rsidRPr="00875C5D" w:rsidR="003507D2" w:rsidP="003507D2" w:rsidRDefault="003507D2" w14:paraId="150B43AE" w14:textId="77777777">
      <w:pPr>
        <w:spacing w:line="240" w:lineRule="auto"/>
        <w:rPr>
          <w:b/>
          <w:bCs/>
        </w:rPr>
      </w:pPr>
      <w:r w:rsidRPr="00875C5D">
        <w:rPr>
          <w:b/>
          <w:bCs/>
        </w:rPr>
        <w:t xml:space="preserve">Vraag </w:t>
      </w:r>
      <w:r>
        <w:rPr>
          <w:b/>
          <w:bCs/>
        </w:rPr>
        <w:t>8</w:t>
      </w:r>
    </w:p>
    <w:p w:rsidR="003507D2" w:rsidP="003507D2" w:rsidRDefault="003507D2" w14:paraId="6C303822" w14:textId="77777777">
      <w:pPr>
        <w:spacing w:line="240" w:lineRule="auto"/>
      </w:pPr>
      <w:r w:rsidRPr="00A67CD5">
        <w:lastRenderedPageBreak/>
        <w:t>Wat is het effect van de verlaging van de subsidie op warmtepompen op de maandelijkse kosten van</w:t>
      </w:r>
      <w:r>
        <w:t xml:space="preserve"> </w:t>
      </w:r>
      <w:r w:rsidRPr="00A67CD5">
        <w:t>mensen? Hoeveel meer of minder warmtepompen worden er op dit moment geïnstalleerd door de</w:t>
      </w:r>
      <w:r>
        <w:t xml:space="preserve"> </w:t>
      </w:r>
      <w:r w:rsidRPr="00A67CD5">
        <w:t>bezuiniging op deze subsidies? Welk alternatief beleid heeft u voor de uitrol van warmtepompen?</w:t>
      </w:r>
    </w:p>
    <w:p w:rsidR="003507D2" w:rsidP="003507D2" w:rsidRDefault="003507D2" w14:paraId="10E66CF6" w14:textId="77777777">
      <w:pPr>
        <w:spacing w:line="240" w:lineRule="auto"/>
      </w:pPr>
    </w:p>
    <w:p w:rsidR="003507D2" w:rsidP="003507D2" w:rsidRDefault="003507D2" w14:paraId="72EECF8A" w14:textId="77777777">
      <w:pPr>
        <w:spacing w:line="240" w:lineRule="auto"/>
        <w:rPr>
          <w:b/>
          <w:bCs/>
        </w:rPr>
      </w:pPr>
      <w:r>
        <w:rPr>
          <w:b/>
          <w:bCs/>
        </w:rPr>
        <w:t>Antwoord vraag 8</w:t>
      </w:r>
    </w:p>
    <w:p w:rsidRPr="007751DE" w:rsidR="003507D2" w:rsidP="003507D2" w:rsidRDefault="003507D2" w14:paraId="4E9CC77C" w14:textId="77777777">
      <w:pPr>
        <w:spacing w:line="240" w:lineRule="auto"/>
      </w:pPr>
      <w:r w:rsidRPr="007751DE">
        <w:t xml:space="preserve">De ISDE streeft naar een subsidiepercentage van gemiddeld 30% voor de aanschaf van een warmtepomp. De wijziging van januari 2025 is bedoeld om </w:t>
      </w:r>
      <w:proofErr w:type="spellStart"/>
      <w:r w:rsidRPr="007751DE">
        <w:t>overstimulering</w:t>
      </w:r>
      <w:proofErr w:type="spellEnd"/>
      <w:r w:rsidRPr="007751DE">
        <w:t xml:space="preserve">, waarbij meer dan 30% subsidie wordt ontvangen, te voorkomen. Er is dus geen sprake van een bezuiniging. Deze correctie heeft geen effect op de maandelijkse kosten van mensen, enkel op de netto aanschafkosten (kosten minus subsidie). De aankondiging van de correctie en de overgangsregeling zorgde eind 2024 voor een opleving van de verkoop van warmtepompen. In november werden hierdoor 5% meer warmtepompen verkocht dan 2023 en in december zelfs 30% meer dan een jaar eerder volgens cijfers van de </w:t>
      </w:r>
      <w:r>
        <w:t>V</w:t>
      </w:r>
      <w:r w:rsidRPr="007751DE">
        <w:t xml:space="preserve">ereniging </w:t>
      </w:r>
      <w:r>
        <w:t>W</w:t>
      </w:r>
      <w:r w:rsidRPr="007751DE">
        <w:t>armtepompen. Hierdoor zijn 10.000 meer warmtepompen verkocht in 2024 dan eerder werd geprognosticeerd. Er is nog geen inzicht in het effect op de verkoop in 2025.</w:t>
      </w:r>
    </w:p>
    <w:p w:rsidR="003507D2" w:rsidP="003507D2" w:rsidRDefault="003507D2" w14:paraId="6F9DBEAE" w14:textId="77777777">
      <w:pPr>
        <w:spacing w:line="240" w:lineRule="auto"/>
        <w:rPr>
          <w:b/>
          <w:bCs/>
        </w:rPr>
      </w:pPr>
    </w:p>
    <w:p w:rsidRPr="00875C5D" w:rsidR="003507D2" w:rsidP="003507D2" w:rsidRDefault="003507D2" w14:paraId="11A902DD" w14:textId="77777777">
      <w:pPr>
        <w:spacing w:line="240" w:lineRule="auto"/>
        <w:rPr>
          <w:b/>
          <w:bCs/>
        </w:rPr>
      </w:pPr>
      <w:r w:rsidRPr="00875C5D">
        <w:rPr>
          <w:b/>
          <w:bCs/>
        </w:rPr>
        <w:t xml:space="preserve">Vraag </w:t>
      </w:r>
      <w:r>
        <w:rPr>
          <w:b/>
          <w:bCs/>
        </w:rPr>
        <w:t>9</w:t>
      </w:r>
    </w:p>
    <w:p w:rsidR="003507D2" w:rsidP="003507D2" w:rsidRDefault="003507D2" w14:paraId="1BDF9042" w14:textId="77777777">
      <w:pPr>
        <w:spacing w:line="240" w:lineRule="auto"/>
      </w:pPr>
      <w:r w:rsidRPr="00A67CD5">
        <w:t>Bent u bereid inzicht te geven welke maatregelen u heeft aangedragen voor het klimaatpakket van de</w:t>
      </w:r>
      <w:r>
        <w:t xml:space="preserve"> </w:t>
      </w:r>
      <w:r w:rsidRPr="00A67CD5">
        <w:t>minister van Klimaat en Groene Groei?</w:t>
      </w:r>
    </w:p>
    <w:p w:rsidR="003507D2" w:rsidP="003507D2" w:rsidRDefault="003507D2" w14:paraId="6AAE01C0" w14:textId="77777777">
      <w:pPr>
        <w:spacing w:line="240" w:lineRule="auto"/>
      </w:pPr>
    </w:p>
    <w:p w:rsidR="003507D2" w:rsidP="003507D2" w:rsidRDefault="003507D2" w14:paraId="3086116C" w14:textId="77777777">
      <w:pPr>
        <w:spacing w:line="240" w:lineRule="auto"/>
        <w:rPr>
          <w:b/>
          <w:bCs/>
        </w:rPr>
      </w:pPr>
      <w:r>
        <w:rPr>
          <w:b/>
          <w:bCs/>
        </w:rPr>
        <w:t>Antwoord vraag 9</w:t>
      </w:r>
    </w:p>
    <w:p w:rsidR="003507D2" w:rsidP="003507D2" w:rsidRDefault="003507D2" w14:paraId="22571A94" w14:textId="77777777">
      <w:pPr>
        <w:spacing w:line="240" w:lineRule="auto"/>
      </w:pPr>
      <w:r w:rsidRPr="002745AD">
        <w:t>Binnen het kabinet wordt momenteel besluitvorming voorbereid op welke wijze de klimaatdoelen te realiseren zijn, onder leiding van de minister van Klimaat en Groene Groei samen met alle vakministers voor de klimaatsectoren. tot een pakket maatregelen te komen. Aangezien dit nu in voorbereiding is, kan ik hierop niet verder ingaan</w:t>
      </w:r>
      <w:r>
        <w:t>.</w:t>
      </w:r>
    </w:p>
    <w:p w:rsidR="003507D2" w:rsidP="003507D2" w:rsidRDefault="003507D2" w14:paraId="02A3580A" w14:textId="77777777">
      <w:pPr>
        <w:spacing w:line="240" w:lineRule="auto"/>
      </w:pPr>
    </w:p>
    <w:p w:rsidR="003507D2" w:rsidP="003507D2" w:rsidRDefault="003507D2" w14:paraId="4F753AEB" w14:textId="77777777">
      <w:pPr>
        <w:spacing w:line="240" w:lineRule="auto"/>
        <w:rPr>
          <w:b/>
          <w:bCs/>
        </w:rPr>
      </w:pPr>
    </w:p>
    <w:p w:rsidRPr="00875C5D" w:rsidR="003507D2" w:rsidP="003507D2" w:rsidRDefault="003507D2" w14:paraId="5F62278F" w14:textId="77777777">
      <w:pPr>
        <w:spacing w:line="240" w:lineRule="auto"/>
        <w:rPr>
          <w:b/>
          <w:bCs/>
        </w:rPr>
      </w:pPr>
      <w:r w:rsidRPr="00875C5D">
        <w:rPr>
          <w:b/>
          <w:bCs/>
        </w:rPr>
        <w:t>Vraag 1</w:t>
      </w:r>
      <w:r>
        <w:rPr>
          <w:b/>
          <w:bCs/>
        </w:rPr>
        <w:t>0</w:t>
      </w:r>
    </w:p>
    <w:p w:rsidR="003507D2" w:rsidP="003507D2" w:rsidRDefault="003507D2" w14:paraId="53946FCA" w14:textId="77777777">
      <w:pPr>
        <w:spacing w:line="240" w:lineRule="auto"/>
      </w:pPr>
      <w:r w:rsidRPr="00A67CD5">
        <w:t>Overweegt u om de verduurzamingsdoelen los te laten als dat in de uitvoering of financieel lastig</w:t>
      </w:r>
      <w:r>
        <w:t xml:space="preserve"> </w:t>
      </w:r>
      <w:r w:rsidRPr="00A67CD5">
        <w:t>blijkt, of is dat geen optie voor u?</w:t>
      </w:r>
    </w:p>
    <w:p w:rsidR="003507D2" w:rsidP="003507D2" w:rsidRDefault="003507D2" w14:paraId="0091863B" w14:textId="77777777">
      <w:pPr>
        <w:spacing w:line="240" w:lineRule="auto"/>
      </w:pPr>
    </w:p>
    <w:p w:rsidRPr="00875C5D" w:rsidR="003507D2" w:rsidP="003507D2" w:rsidRDefault="003507D2" w14:paraId="69D743D9" w14:textId="77777777">
      <w:pPr>
        <w:spacing w:line="240" w:lineRule="auto"/>
        <w:rPr>
          <w:b/>
          <w:bCs/>
        </w:rPr>
      </w:pPr>
      <w:r>
        <w:rPr>
          <w:b/>
          <w:bCs/>
        </w:rPr>
        <w:t>Antwoord vraag 10</w:t>
      </w:r>
    </w:p>
    <w:p w:rsidR="003507D2" w:rsidP="003507D2" w:rsidRDefault="003507D2" w14:paraId="0252C171" w14:textId="77777777">
      <w:pPr>
        <w:spacing w:line="240" w:lineRule="auto"/>
      </w:pPr>
      <w:r>
        <w:t xml:space="preserve">In </w:t>
      </w:r>
      <w:r w:rsidRPr="002745AD">
        <w:t xml:space="preserve">aanvulling op het antwoord op vraag 9 geldt dat de verduurzamingsdoelen onderdeel zijn van de bestaande afspraken uit het Hoofdlijnenakkoord en het </w:t>
      </w:r>
      <w:r w:rsidRPr="002745AD">
        <w:lastRenderedPageBreak/>
        <w:t>regeerprogramma.</w:t>
      </w:r>
      <w:r w:rsidRPr="002745AD">
        <w:rPr>
          <w:rFonts w:ascii="Aptos" w:hAnsi="Aptos"/>
        </w:rPr>
        <w:t xml:space="preserve"> </w:t>
      </w:r>
      <w:r w:rsidRPr="002745AD">
        <w:t>De minister van KGG zal u hierover informeren nadat de besluitvorming, bij voorjaarsnota, is afgerond.</w:t>
      </w:r>
    </w:p>
    <w:p w:rsidR="003507D2" w:rsidP="003507D2" w:rsidRDefault="003507D2" w14:paraId="3BD3B051" w14:textId="77777777">
      <w:pPr>
        <w:spacing w:line="240" w:lineRule="auto"/>
      </w:pPr>
    </w:p>
    <w:p w:rsidRPr="00875C5D" w:rsidR="003507D2" w:rsidP="003507D2" w:rsidRDefault="003507D2" w14:paraId="431FE9F8" w14:textId="77777777">
      <w:pPr>
        <w:spacing w:line="240" w:lineRule="auto"/>
        <w:rPr>
          <w:b/>
          <w:bCs/>
        </w:rPr>
      </w:pPr>
      <w:r w:rsidRPr="00875C5D">
        <w:rPr>
          <w:b/>
          <w:bCs/>
        </w:rPr>
        <w:t>Vraag 1</w:t>
      </w:r>
      <w:r>
        <w:rPr>
          <w:b/>
          <w:bCs/>
        </w:rPr>
        <w:t>1</w:t>
      </w:r>
    </w:p>
    <w:p w:rsidR="003507D2" w:rsidP="003507D2" w:rsidRDefault="003507D2" w14:paraId="3A5FB812" w14:textId="77777777">
      <w:pPr>
        <w:spacing w:line="240" w:lineRule="auto"/>
      </w:pPr>
      <w:r w:rsidRPr="00A67CD5">
        <w:t xml:space="preserve">Zou u deze vragen kunnen beantwoorden voor het commissiedebat </w:t>
      </w:r>
      <w:r>
        <w:t>k</w:t>
      </w:r>
      <w:r w:rsidRPr="00A67CD5">
        <w:t>limaat</w:t>
      </w:r>
      <w:r>
        <w:softHyphen/>
        <w:t>a</w:t>
      </w:r>
      <w:r w:rsidRPr="00A67CD5">
        <w:t>kkoord gebouwde</w:t>
      </w:r>
      <w:r>
        <w:t xml:space="preserve"> </w:t>
      </w:r>
      <w:r w:rsidRPr="00A67CD5">
        <w:t>omgeving van 5 maart aanstaande</w:t>
      </w:r>
      <w:r>
        <w:t>?</w:t>
      </w:r>
    </w:p>
    <w:p w:rsidR="003507D2" w:rsidP="003507D2" w:rsidRDefault="003507D2" w14:paraId="05255060" w14:textId="77777777">
      <w:pPr>
        <w:spacing w:line="240" w:lineRule="auto"/>
      </w:pPr>
    </w:p>
    <w:p w:rsidR="003507D2" w:rsidP="003507D2" w:rsidRDefault="003507D2" w14:paraId="03893172" w14:textId="77777777">
      <w:pPr>
        <w:spacing w:line="240" w:lineRule="auto"/>
        <w:rPr>
          <w:b/>
          <w:bCs/>
        </w:rPr>
      </w:pPr>
      <w:r>
        <w:rPr>
          <w:b/>
          <w:bCs/>
        </w:rPr>
        <w:t>Antwoord vraag 11</w:t>
      </w:r>
    </w:p>
    <w:p w:rsidRPr="00875C5D" w:rsidR="003507D2" w:rsidP="003507D2" w:rsidRDefault="003507D2" w14:paraId="413A893A" w14:textId="77777777">
      <w:pPr>
        <w:spacing w:line="240" w:lineRule="auto"/>
      </w:pPr>
      <w:r>
        <w:t>Inmiddels is het commissiedebat klimaatakkoord gebouwde omgeving verplaatst naar 26 maart 2025. U heeft de antwoorden vóór het genoemde commissiedebat ontvangen.</w:t>
      </w:r>
    </w:p>
    <w:p w:rsidR="003507D2" w:rsidP="003507D2" w:rsidRDefault="003507D2" w14:paraId="7DAF535A" w14:textId="77777777"/>
    <w:p w:rsidR="00E86B88" w:rsidRDefault="00E86B88" w14:paraId="4A1DA95E" w14:textId="77777777"/>
    <w:sectPr w:rsidR="00E86B88" w:rsidSect="003507D2">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6DD5" w14:textId="77777777" w:rsidR="003507D2" w:rsidRDefault="003507D2" w:rsidP="003507D2">
      <w:pPr>
        <w:spacing w:after="0" w:line="240" w:lineRule="auto"/>
      </w:pPr>
      <w:r>
        <w:separator/>
      </w:r>
    </w:p>
  </w:endnote>
  <w:endnote w:type="continuationSeparator" w:id="0">
    <w:p w14:paraId="2E66D32B" w14:textId="77777777" w:rsidR="003507D2" w:rsidRDefault="003507D2" w:rsidP="0035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89AB" w14:textId="77777777" w:rsidR="003507D2" w:rsidRPr="003507D2" w:rsidRDefault="003507D2" w:rsidP="003507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49EC" w14:textId="77777777" w:rsidR="003507D2" w:rsidRPr="003507D2" w:rsidRDefault="003507D2" w:rsidP="003507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5912" w14:textId="77777777" w:rsidR="003507D2" w:rsidRPr="003507D2" w:rsidRDefault="003507D2" w:rsidP="003507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C175" w14:textId="77777777" w:rsidR="003507D2" w:rsidRDefault="003507D2" w:rsidP="003507D2">
      <w:pPr>
        <w:spacing w:after="0" w:line="240" w:lineRule="auto"/>
      </w:pPr>
      <w:r>
        <w:separator/>
      </w:r>
    </w:p>
  </w:footnote>
  <w:footnote w:type="continuationSeparator" w:id="0">
    <w:p w14:paraId="066FECB8" w14:textId="77777777" w:rsidR="003507D2" w:rsidRDefault="003507D2" w:rsidP="003507D2">
      <w:pPr>
        <w:spacing w:after="0" w:line="240" w:lineRule="auto"/>
      </w:pPr>
      <w:r>
        <w:continuationSeparator/>
      </w:r>
    </w:p>
  </w:footnote>
  <w:footnote w:id="1">
    <w:p w14:paraId="03832AB1" w14:textId="77777777" w:rsidR="003507D2" w:rsidRPr="00EA0AAA" w:rsidRDefault="003507D2" w:rsidP="003507D2">
      <w:pPr>
        <w:pStyle w:val="Voetnoottekst"/>
        <w:rPr>
          <w:sz w:val="16"/>
          <w:szCs w:val="16"/>
          <w:lang w:val="de-DE"/>
        </w:rPr>
      </w:pPr>
      <w:r w:rsidRPr="00EA0AAA">
        <w:rPr>
          <w:rStyle w:val="Voetnootmarkering"/>
          <w:sz w:val="16"/>
          <w:szCs w:val="16"/>
        </w:rPr>
        <w:footnoteRef/>
      </w:r>
      <w:r w:rsidRPr="00EA0AAA">
        <w:rPr>
          <w:sz w:val="16"/>
          <w:szCs w:val="16"/>
          <w:lang w:val="de-DE"/>
        </w:rPr>
        <w:t xml:space="preserve"> </w:t>
      </w:r>
      <w:hyperlink r:id="rId1" w:history="1">
        <w:r w:rsidRPr="00EA0AAA">
          <w:rPr>
            <w:rStyle w:val="Hyperlink"/>
            <w:sz w:val="16"/>
            <w:szCs w:val="16"/>
            <w:lang w:val="de-DE"/>
          </w:rPr>
          <w:t>https://www.cbs.nl/nl-nl/maatwerk/2025/04/energieleveringen-particuliere-woningen-naar-energielabel</w:t>
        </w:r>
      </w:hyperlink>
      <w:r w:rsidRPr="00EA0AAA">
        <w:rPr>
          <w:sz w:val="16"/>
          <w:szCs w:val="16"/>
          <w:lang w:val="de-DE"/>
        </w:rPr>
        <w:t xml:space="preserve">, </w:t>
      </w:r>
      <w:proofErr w:type="spellStart"/>
      <w:r w:rsidRPr="00EA0AAA">
        <w:rPr>
          <w:sz w:val="16"/>
          <w:szCs w:val="16"/>
          <w:lang w:val="de-DE"/>
        </w:rPr>
        <w:t>tabel</w:t>
      </w:r>
      <w:proofErr w:type="spellEnd"/>
      <w:r w:rsidRPr="00EA0AAA">
        <w:rPr>
          <w:sz w:val="16"/>
          <w:szCs w:val="16"/>
          <w:lang w:val="de-DE"/>
        </w:rPr>
        <w:t xml:space="preserve"> 6</w:t>
      </w:r>
    </w:p>
  </w:footnote>
  <w:footnote w:id="2">
    <w:p w14:paraId="5A097C60" w14:textId="77777777" w:rsidR="003507D2" w:rsidRPr="00002406" w:rsidRDefault="003507D2" w:rsidP="003507D2">
      <w:pPr>
        <w:pStyle w:val="Voetnoottekst"/>
        <w:rPr>
          <w:sz w:val="16"/>
          <w:szCs w:val="16"/>
          <w:lang w:val="de-DE"/>
        </w:rPr>
      </w:pPr>
      <w:r w:rsidRPr="00EA0AAA">
        <w:rPr>
          <w:rStyle w:val="Voetnootmarkering"/>
          <w:sz w:val="16"/>
          <w:szCs w:val="16"/>
        </w:rPr>
        <w:footnoteRef/>
      </w:r>
      <w:r w:rsidRPr="00002406">
        <w:rPr>
          <w:sz w:val="16"/>
          <w:szCs w:val="16"/>
          <w:lang w:val="de-DE"/>
        </w:rPr>
        <w:t xml:space="preserve"> https://www.cbs.nl/nl-nl/cijfers/detail/85592NED#VariabelLeveringstariefContractprijs_3</w:t>
      </w:r>
    </w:p>
  </w:footnote>
  <w:footnote w:id="3">
    <w:p w14:paraId="38F551EE" w14:textId="77777777" w:rsidR="003507D2" w:rsidRPr="00002406" w:rsidRDefault="003507D2" w:rsidP="003507D2">
      <w:pPr>
        <w:pStyle w:val="Voetnoottekst"/>
        <w:rPr>
          <w:sz w:val="16"/>
          <w:szCs w:val="16"/>
          <w:lang w:val="de-DE"/>
        </w:rPr>
      </w:pPr>
      <w:r w:rsidRPr="00EA0AAA">
        <w:rPr>
          <w:rStyle w:val="Voetnootmarkering"/>
          <w:sz w:val="16"/>
          <w:szCs w:val="16"/>
        </w:rPr>
        <w:footnoteRef/>
      </w:r>
      <w:r w:rsidRPr="00002406">
        <w:rPr>
          <w:sz w:val="16"/>
          <w:szCs w:val="16"/>
          <w:lang w:val="de-DE"/>
        </w:rPr>
        <w:t xml:space="preserve"> </w:t>
      </w:r>
      <w:hyperlink r:id="rId2" w:history="1">
        <w:r w:rsidRPr="00002406">
          <w:rPr>
            <w:rStyle w:val="Hyperlink"/>
            <w:sz w:val="16"/>
            <w:szCs w:val="16"/>
            <w:lang w:val="de-DE"/>
          </w:rPr>
          <w:t>https://www.rvo.nl/sites/default/files/2024-12/Monitor-Verduurzaming-Gebouwde-Omgeving-2024.pdf</w:t>
        </w:r>
      </w:hyperlink>
      <w:r w:rsidRPr="00002406">
        <w:rPr>
          <w:sz w:val="16"/>
          <w:szCs w:val="16"/>
          <w:lang w:val="de-DE"/>
        </w:rPr>
        <w:t xml:space="preserve"> </w:t>
      </w:r>
    </w:p>
  </w:footnote>
  <w:footnote w:id="4">
    <w:p w14:paraId="3654F63F" w14:textId="77777777" w:rsidR="003507D2" w:rsidRPr="00560A82" w:rsidRDefault="003507D2" w:rsidP="003507D2">
      <w:pPr>
        <w:pStyle w:val="Voetnoottekst"/>
        <w:rPr>
          <w:sz w:val="18"/>
          <w:szCs w:val="18"/>
          <w:lang w:val="de-DE"/>
        </w:rPr>
      </w:pPr>
      <w:r w:rsidRPr="00EA0AAA">
        <w:rPr>
          <w:rStyle w:val="Voetnootmarkering"/>
          <w:sz w:val="16"/>
          <w:szCs w:val="16"/>
        </w:rPr>
        <w:footnoteRef/>
      </w:r>
      <w:r w:rsidRPr="00EA0AAA">
        <w:rPr>
          <w:sz w:val="16"/>
          <w:szCs w:val="16"/>
          <w:lang w:val="de-DE"/>
        </w:rPr>
        <w:t xml:space="preserve"> </w:t>
      </w:r>
      <w:hyperlink r:id="rId3" w:history="1">
        <w:r w:rsidRPr="00EA0AAA">
          <w:rPr>
            <w:rStyle w:val="Hyperlink"/>
            <w:sz w:val="16"/>
            <w:szCs w:val="16"/>
            <w:lang w:val="de-DE"/>
          </w:rPr>
          <w:t>https://www.cbs.nl/nl-nl/maatwerk/2025/04/energieleveringen-particuliere-woningen-naar-energielabel</w:t>
        </w:r>
      </w:hyperlink>
      <w:r w:rsidRPr="00EA0AAA">
        <w:rPr>
          <w:sz w:val="16"/>
          <w:szCs w:val="16"/>
          <w:lang w:val="de-DE"/>
        </w:rPr>
        <w:t xml:space="preserve">, </w:t>
      </w:r>
      <w:proofErr w:type="spellStart"/>
      <w:r w:rsidRPr="00EA0AAA">
        <w:rPr>
          <w:sz w:val="16"/>
          <w:szCs w:val="16"/>
          <w:lang w:val="de-DE"/>
        </w:rPr>
        <w:t>tabel</w:t>
      </w:r>
      <w:proofErr w:type="spellEnd"/>
      <w:r w:rsidRPr="00EA0AAA">
        <w:rPr>
          <w:sz w:val="16"/>
          <w:szCs w:val="16"/>
          <w:lang w:val="de-DE"/>
        </w:rPr>
        <w:t xml:space="preserve"> 6</w:t>
      </w:r>
    </w:p>
  </w:footnote>
  <w:footnote w:id="5">
    <w:p w14:paraId="7477A01B" w14:textId="77777777" w:rsidR="003507D2" w:rsidRPr="006A1D94" w:rsidRDefault="003507D2" w:rsidP="003507D2">
      <w:pPr>
        <w:pStyle w:val="Voetnoottekst"/>
        <w:rPr>
          <w:sz w:val="16"/>
          <w:szCs w:val="16"/>
          <w:lang w:val="de-DE"/>
        </w:rPr>
      </w:pPr>
      <w:r w:rsidRPr="00EA0AAA">
        <w:rPr>
          <w:rStyle w:val="Voetnootmarkering"/>
          <w:sz w:val="16"/>
          <w:szCs w:val="16"/>
        </w:rPr>
        <w:footnoteRef/>
      </w:r>
      <w:r w:rsidRPr="006A1D94">
        <w:rPr>
          <w:sz w:val="16"/>
          <w:szCs w:val="16"/>
          <w:lang w:val="de-DE"/>
        </w:rPr>
        <w:t xml:space="preserve"> https://www.cbs.nl/nl-nl/cijfers/detail/85592NED#VariabelLeveringstariefContractprijs</w:t>
      </w:r>
    </w:p>
  </w:footnote>
  <w:footnote w:id="6">
    <w:p w14:paraId="2C46281E" w14:textId="77777777" w:rsidR="003507D2" w:rsidRPr="009A0096" w:rsidRDefault="003507D2" w:rsidP="003507D2">
      <w:pPr>
        <w:pStyle w:val="Voetnoottekst"/>
        <w:rPr>
          <w:lang w:val="nl-NL"/>
        </w:rPr>
      </w:pPr>
      <w:r>
        <w:rPr>
          <w:rStyle w:val="Voetnootmarkering"/>
        </w:rPr>
        <w:footnoteRef/>
      </w:r>
      <w:r w:rsidRPr="009A0096">
        <w:rPr>
          <w:lang w:val="nl-NL"/>
        </w:rPr>
        <w:t xml:space="preserve"> </w:t>
      </w:r>
      <w:r w:rsidRPr="009A0096">
        <w:rPr>
          <w:sz w:val="16"/>
          <w:szCs w:val="16"/>
          <w:lang w:val="nl-NL"/>
        </w:rPr>
        <w:t xml:space="preserve">Zie ook: </w:t>
      </w:r>
      <w:hyperlink r:id="rId4" w:history="1">
        <w:r w:rsidRPr="009A0096">
          <w:rPr>
            <w:rStyle w:val="Hyperlink"/>
            <w:sz w:val="16"/>
            <w:szCs w:val="16"/>
            <w:lang w:val="nl-NL"/>
          </w:rPr>
          <w:t>Subsidieregeling duurzaam maatschappelijk vastgoed (DUMAVA) | RVO.nl</w:t>
        </w:r>
      </w:hyperlink>
      <w:r w:rsidRPr="009A0096">
        <w:rPr>
          <w:sz w:val="16"/>
          <w:szCs w:val="16"/>
          <w:lang w:val="nl-NL"/>
        </w:rPr>
        <w:t>.</w:t>
      </w:r>
    </w:p>
  </w:footnote>
  <w:footnote w:id="7">
    <w:p w14:paraId="1A7DC790" w14:textId="77777777" w:rsidR="003507D2" w:rsidRPr="009A0096" w:rsidRDefault="003507D2" w:rsidP="003507D2">
      <w:pPr>
        <w:pStyle w:val="Voetnoottekst"/>
        <w:rPr>
          <w:lang w:val="nl-NL"/>
        </w:rPr>
      </w:pPr>
      <w:r>
        <w:rPr>
          <w:rStyle w:val="Voetnootmarkering"/>
        </w:rPr>
        <w:footnoteRef/>
      </w:r>
      <w:r w:rsidRPr="009A0096">
        <w:rPr>
          <w:lang w:val="nl-NL"/>
        </w:rPr>
        <w:t xml:space="preserve"> </w:t>
      </w:r>
      <w:r w:rsidRPr="009A0096">
        <w:rPr>
          <w:sz w:val="16"/>
          <w:szCs w:val="16"/>
          <w:lang w:val="nl-NL"/>
        </w:rPr>
        <w:t xml:space="preserve">Zie ook: </w:t>
      </w:r>
      <w:hyperlink r:id="rId5" w:history="1">
        <w:proofErr w:type="spellStart"/>
        <w:r w:rsidRPr="009A0096">
          <w:rPr>
            <w:rStyle w:val="Hyperlink"/>
            <w:sz w:val="16"/>
            <w:szCs w:val="16"/>
            <w:lang w:val="nl-NL"/>
          </w:rPr>
          <w:t>Ontzorgingsprogramma</w:t>
        </w:r>
        <w:proofErr w:type="spellEnd"/>
        <w:r w:rsidRPr="009A0096">
          <w:rPr>
            <w:rStyle w:val="Hyperlink"/>
            <w:sz w:val="16"/>
            <w:szCs w:val="16"/>
            <w:lang w:val="nl-NL"/>
          </w:rPr>
          <w:t xml:space="preserve"> maatschappelijk vastgoed | RVO.nl</w:t>
        </w:r>
      </w:hyperlink>
      <w:r w:rsidRPr="009A0096">
        <w:rPr>
          <w:sz w:val="16"/>
          <w:szCs w:val="16"/>
          <w:lang w:val="nl-NL"/>
        </w:rPr>
        <w:t>.</w:t>
      </w:r>
    </w:p>
  </w:footnote>
  <w:footnote w:id="8">
    <w:p w14:paraId="665DAFC9" w14:textId="77777777" w:rsidR="003507D2" w:rsidRPr="00002406" w:rsidRDefault="003507D2" w:rsidP="003507D2">
      <w:pPr>
        <w:pStyle w:val="Voetnoottekst"/>
        <w:rPr>
          <w:lang w:val="nl-NL"/>
        </w:rPr>
      </w:pPr>
      <w:r w:rsidRPr="00EA0AAA">
        <w:rPr>
          <w:rStyle w:val="Voetnootmarkering"/>
          <w:sz w:val="16"/>
          <w:szCs w:val="16"/>
        </w:rPr>
        <w:footnoteRef/>
      </w:r>
      <w:r w:rsidRPr="00EA0AAA">
        <w:rPr>
          <w:sz w:val="16"/>
          <w:szCs w:val="16"/>
          <w:lang w:val="nl-NL"/>
        </w:rPr>
        <w:t xml:space="preserve"> </w:t>
      </w:r>
      <w:hyperlink r:id="rId6" w:history="1">
        <w:r w:rsidRPr="00EA0AAA">
          <w:rPr>
            <w:rStyle w:val="Hyperlink"/>
            <w:sz w:val="16"/>
            <w:szCs w:val="16"/>
            <w:lang w:val="nl-NL"/>
          </w:rPr>
          <w:t>zie</w:t>
        </w:r>
      </w:hyperlink>
      <w:r w:rsidRPr="00EA0AAA">
        <w:rPr>
          <w:sz w:val="16"/>
          <w:szCs w:val="16"/>
          <w:lang w:val="nl-NL"/>
        </w:rPr>
        <w:t xml:space="preserve"> ook:</w:t>
      </w:r>
      <w:r w:rsidRPr="00AF1055">
        <w:rPr>
          <w:rFonts w:eastAsia="DejaVu Sans" w:cs="Lohit Hindi"/>
          <w:color w:val="000000"/>
          <w:kern w:val="0"/>
          <w:sz w:val="18"/>
          <w:szCs w:val="18"/>
          <w:lang w:val="nl-NL" w:eastAsia="nl-NL"/>
          <w14:ligatures w14:val="none"/>
        </w:rPr>
        <w:t xml:space="preserve"> </w:t>
      </w:r>
      <w:hyperlink r:id="rId7" w:history="1">
        <w:r w:rsidRPr="00AF1055">
          <w:rPr>
            <w:rStyle w:val="Hyperlink"/>
            <w:sz w:val="16"/>
            <w:szCs w:val="16"/>
            <w:lang w:val="nl-NL"/>
          </w:rPr>
          <w:t>Kamerbrief over voorjaarsbesluitvorming Klimaat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9E46" w14:textId="77777777" w:rsidR="003507D2" w:rsidRPr="003507D2" w:rsidRDefault="003507D2" w:rsidP="003507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D6CD" w14:textId="77777777" w:rsidR="003507D2" w:rsidRPr="003507D2" w:rsidRDefault="003507D2" w:rsidP="003507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93E4" w14:textId="77777777" w:rsidR="003507D2" w:rsidRPr="003507D2" w:rsidRDefault="003507D2" w:rsidP="003507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0205"/>
    <w:multiLevelType w:val="hybridMultilevel"/>
    <w:tmpl w:val="414084DE"/>
    <w:lvl w:ilvl="0" w:tplc="BB1A7A2A">
      <w:start w:val="3"/>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575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D2"/>
    <w:rsid w:val="003507D2"/>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F3D8"/>
  <w15:chartTrackingRefBased/>
  <w15:docId w15:val="{DB2FD5B4-391E-4C19-83BA-1629E396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0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0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07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07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07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07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07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07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07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7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07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07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07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07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07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07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07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07D2"/>
    <w:rPr>
      <w:rFonts w:eastAsiaTheme="majorEastAsia" w:cstheme="majorBidi"/>
      <w:color w:val="272727" w:themeColor="text1" w:themeTint="D8"/>
    </w:rPr>
  </w:style>
  <w:style w:type="paragraph" w:styleId="Titel">
    <w:name w:val="Title"/>
    <w:basedOn w:val="Standaard"/>
    <w:next w:val="Standaard"/>
    <w:link w:val="TitelChar"/>
    <w:uiPriority w:val="10"/>
    <w:qFormat/>
    <w:rsid w:val="00350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07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07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07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07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07D2"/>
    <w:rPr>
      <w:i/>
      <w:iCs/>
      <w:color w:val="404040" w:themeColor="text1" w:themeTint="BF"/>
    </w:rPr>
  </w:style>
  <w:style w:type="paragraph" w:styleId="Lijstalinea">
    <w:name w:val="List Paragraph"/>
    <w:basedOn w:val="Standaard"/>
    <w:uiPriority w:val="34"/>
    <w:qFormat/>
    <w:rsid w:val="003507D2"/>
    <w:pPr>
      <w:ind w:left="720"/>
      <w:contextualSpacing/>
    </w:pPr>
  </w:style>
  <w:style w:type="character" w:styleId="Intensievebenadrukking">
    <w:name w:val="Intense Emphasis"/>
    <w:basedOn w:val="Standaardalinea-lettertype"/>
    <w:uiPriority w:val="21"/>
    <w:qFormat/>
    <w:rsid w:val="003507D2"/>
    <w:rPr>
      <w:i/>
      <w:iCs/>
      <w:color w:val="2F5496" w:themeColor="accent1" w:themeShade="BF"/>
    </w:rPr>
  </w:style>
  <w:style w:type="paragraph" w:styleId="Duidelijkcitaat">
    <w:name w:val="Intense Quote"/>
    <w:basedOn w:val="Standaard"/>
    <w:next w:val="Standaard"/>
    <w:link w:val="DuidelijkcitaatChar"/>
    <w:uiPriority w:val="30"/>
    <w:qFormat/>
    <w:rsid w:val="00350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07D2"/>
    <w:rPr>
      <w:i/>
      <w:iCs/>
      <w:color w:val="2F5496" w:themeColor="accent1" w:themeShade="BF"/>
    </w:rPr>
  </w:style>
  <w:style w:type="character" w:styleId="Intensieveverwijzing">
    <w:name w:val="Intense Reference"/>
    <w:basedOn w:val="Standaardalinea-lettertype"/>
    <w:uiPriority w:val="32"/>
    <w:qFormat/>
    <w:rsid w:val="003507D2"/>
    <w:rPr>
      <w:b/>
      <w:bCs/>
      <w:smallCaps/>
      <w:color w:val="2F5496" w:themeColor="accent1" w:themeShade="BF"/>
      <w:spacing w:val="5"/>
    </w:rPr>
  </w:style>
  <w:style w:type="character" w:styleId="Hyperlink">
    <w:name w:val="Hyperlink"/>
    <w:basedOn w:val="Standaardalinea-lettertype"/>
    <w:uiPriority w:val="99"/>
    <w:unhideWhenUsed/>
    <w:rsid w:val="003507D2"/>
    <w:rPr>
      <w:color w:val="0563C1" w:themeColor="hyperlink"/>
      <w:u w:val="single"/>
    </w:rPr>
  </w:style>
  <w:style w:type="paragraph" w:customStyle="1" w:styleId="Referentiegegevens">
    <w:name w:val="Referentiegegevens"/>
    <w:basedOn w:val="Standaard"/>
    <w:next w:val="Standaard"/>
    <w:rsid w:val="003507D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507D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3507D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3507D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3507D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507D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507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507D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507D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507D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507D2"/>
    <w:pPr>
      <w:spacing w:after="0" w:line="240" w:lineRule="auto"/>
    </w:pPr>
    <w:rPr>
      <w:rFonts w:ascii="Verdana" w:eastAsia="Calibri" w:hAnsi="Verdana" w:cs="Times New Roman"/>
      <w:sz w:val="20"/>
      <w:szCs w:val="20"/>
      <w:lang w:val="en-US"/>
    </w:rPr>
  </w:style>
  <w:style w:type="character" w:customStyle="1" w:styleId="VoetnoottekstChar">
    <w:name w:val="Voetnoottekst Char"/>
    <w:basedOn w:val="Standaardalinea-lettertype"/>
    <w:link w:val="Voetnoottekst"/>
    <w:uiPriority w:val="99"/>
    <w:semiHidden/>
    <w:rsid w:val="003507D2"/>
    <w:rPr>
      <w:rFonts w:ascii="Verdana" w:eastAsia="Calibri" w:hAnsi="Verdana" w:cs="Times New Roman"/>
      <w:sz w:val="20"/>
      <w:szCs w:val="20"/>
      <w:lang w:val="en-US"/>
    </w:rPr>
  </w:style>
  <w:style w:type="character" w:styleId="Voetnootmarkering">
    <w:name w:val="footnote reference"/>
    <w:basedOn w:val="Standaardalinea-lettertype"/>
    <w:uiPriority w:val="99"/>
    <w:semiHidden/>
    <w:unhideWhenUsed/>
    <w:rsid w:val="00350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financien.nl/miljoenennota/2025/bijlage/309630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maatwerk/2025/04/energieleveringen-particuliere-woningen-naar-energielabel" TargetMode="External"/><Relationship Id="rId7" Type="http://schemas.openxmlformats.org/officeDocument/2006/relationships/hyperlink" Target="https://www.rijksoverheid.nl/documenten/kamerstukken/2023/04/26/voorjaarsbesluitvorming-klimaat" TargetMode="External"/><Relationship Id="rId2" Type="http://schemas.openxmlformats.org/officeDocument/2006/relationships/hyperlink" Target="https://www.rvo.nl/sites/default/files/2024-12/Monitor-Verduurzaming-Gebouwde-Omgeving-2024.pdf" TargetMode="External"/><Relationship Id="rId1" Type="http://schemas.openxmlformats.org/officeDocument/2006/relationships/hyperlink" Target="https://www.cbs.nl/nl-nl/maatwerk/2025/04/energieleveringen-particuliere-woningen-naar-energielabel" TargetMode="External"/><Relationship Id="rId6" Type="http://schemas.openxmlformats.org/officeDocument/2006/relationships/hyperlink" Target="https://open.overheid.nl/documenten/ronl-77b639d132c52e5e1d75a36381fb6e60748ed8bb/pdf" TargetMode="External"/><Relationship Id="rId5" Type="http://schemas.openxmlformats.org/officeDocument/2006/relationships/hyperlink" Target="https://www.rvo.nl/onderwerpen/verduurzaming-utiliteitsbouw/maatschappelijk-vastgoed/ontzorgingsprogramma" TargetMode="External"/><Relationship Id="rId4" Type="http://schemas.openxmlformats.org/officeDocument/2006/relationships/hyperlink" Target="https://www.rvo.nl/subsidies-financiering/dumav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2856</ap:Words>
  <ap:Characters>15708</ap:Characters>
  <ap:DocSecurity>0</ap:DocSecurity>
  <ap:Lines>130</ap:Lines>
  <ap:Paragraphs>37</ap:Paragraphs>
  <ap:ScaleCrop>false</ap:ScaleCrop>
  <ap:LinksUpToDate>false</ap:LinksUpToDate>
  <ap:CharactersWithSpaces>18527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2025-03-25T07:57:00.0000000Z</dcterms:created>
  <dcterms:modified xsi:type="dcterms:W3CDTF">2025-03-25T07:58:00.0000000Z</dcterms:modified>
  <version/>
  <category/>
</coreProperties>
</file>