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2025Z05540</w:t>
        <w:br/>
      </w:r>
      <w:proofErr w:type="spellEnd"/>
    </w:p>
    <w:p>
      <w:pPr>
        <w:pStyle w:val="Normal"/>
        <w:rPr>
          <w:b w:val="1"/>
          <w:bCs w:val="1"/>
        </w:rPr>
      </w:pPr>
      <w:r w:rsidR="250AE766">
        <w:rPr>
          <w:b w:val="0"/>
          <w:bCs w:val="0"/>
        </w:rPr>
        <w:t>(ingezonden 25 maart 2025)</w:t>
        <w:br/>
      </w:r>
    </w:p>
    <w:p>
      <w:r>
        <w:t xml:space="preserve">Vragen van het lid Bruyning (Nieuw Sociaal Contract) aan de staatssecretaris van Justitie en Veiligheid over de uitvoering van jeugdbeschermingsmaatregelen en falen van gecertificeerde instellingen</w:t>
      </w:r>
      <w:r>
        <w:br/>
      </w:r>
    </w:p>
    <w:p>
      <w:pPr>
        <w:pStyle w:val="ListParagraph"/>
        <w:numPr>
          <w:ilvl w:val="0"/>
          <w:numId w:val="100473040"/>
        </w:numPr>
        <w:ind w:left="360"/>
      </w:pPr>
      <w:r>
        <w:t>Bent u bekend met de beschikkingen van de Rechtbank Noord-Nederland (ECLI:NL:RBNNE:2025:1043[1] en ECLI:NL:RBNNE:2025:1031[2]) waarin ernstige tekortkomingen in de uitvoering van jeugdbeschermingsmaatregelen worden geconstateerd door de kinderrechter Bart Tromp? Zo nee, kunt u dan alsnog deze twee uitspraken lezen?</w:t>
      </w:r>
      <w:r>
        <w:br/>
      </w:r>
    </w:p>
    <w:p>
      <w:pPr>
        <w:pStyle w:val="ListParagraph"/>
        <w:numPr>
          <w:ilvl w:val="0"/>
          <w:numId w:val="100473040"/>
        </w:numPr>
        <w:ind w:left="360"/>
      </w:pPr>
      <w:r>
        <w:t>Kunt u deze twee uitspraken duiden voor ons?</w:t>
      </w:r>
      <w:r>
        <w:br/>
      </w:r>
    </w:p>
    <w:p>
      <w:pPr>
        <w:pStyle w:val="ListParagraph"/>
        <w:numPr>
          <w:ilvl w:val="0"/>
          <w:numId w:val="100473040"/>
        </w:numPr>
        <w:ind w:left="360"/>
      </w:pPr>
      <w:r>
        <w:t>Hoeveel kinderen met een ondertoezichtstelling (OTS) hebben momenteel geen vaste jeugdbeschermer toegewezen gekregen? Kunt u garanderen dat in alle gevallen een jeugdbeschermer beschikbaar is? Zo nee, wat gaat u er aan doen dat alle kinderen met een kinderbeschermingsmaatregelen wel een vaste jeugdbeschermer krijgen?</w:t>
      </w:r>
      <w:r>
        <w:br/>
      </w:r>
    </w:p>
    <w:p>
      <w:pPr>
        <w:pStyle w:val="ListParagraph"/>
        <w:numPr>
          <w:ilvl w:val="0"/>
          <w:numId w:val="100473040"/>
        </w:numPr>
        <w:ind w:left="360"/>
      </w:pPr>
      <w:r>
        <w:t>Hoeveel van de 3300 kinderen bij de William Schrikker Stichting (WSS), waar u naar verwijst in de beantwoording van de Kamervragen[3] van het lid Bruyning van 24 februari 2025 (vraag 3 en 4), hebben geen vaste jeugdbeschermer?</w:t>
      </w:r>
      <w:r>
        <w:br/>
      </w:r>
    </w:p>
    <w:p>
      <w:pPr>
        <w:pStyle w:val="ListParagraph"/>
        <w:numPr>
          <w:ilvl w:val="0"/>
          <w:numId w:val="100473040"/>
        </w:numPr>
        <w:ind w:left="360"/>
      </w:pPr>
      <w:r>
        <w:t>Deelt u de mening dat, indachtig art. 4.2.2 besluit jeugdwet – die stelt dat </w:t>
      </w:r>
      <w:r>
        <w:rPr>
          <w:i w:val="1"/>
          <w:iCs w:val="1"/>
        </w:rPr>
        <w:t xml:space="preserve">Binnen vijf werkdagen nadat de gecertificeerde instelling is belast met de uitvoering van de ondertoezichtstelling en zij hiervan in kennis is gesteld, wijst de gecertificeerde instelling een gezinsvoogdijwerker aan, en wie hem vervangt, en vindt het eerste contact plaats tussen de gezinsvoogdijwerker en de minderjarige en de met het gezag belaste ouder of voogd</w:t>
      </w:r>
      <w:r>
        <w:rPr/>
        <w:t xml:space="preserve"> – een OTS niet kan worden uitgevoerd als er geen vaste medewerker en vervanger zijn aangewezen? Zo nee, waarom niet?</w:t>
      </w:r>
      <w:r>
        <w:br/>
      </w:r>
    </w:p>
    <w:p>
      <w:pPr>
        <w:pStyle w:val="ListParagraph"/>
        <w:numPr>
          <w:ilvl w:val="0"/>
          <w:numId w:val="100473040"/>
        </w:numPr>
        <w:ind w:left="360"/>
      </w:pPr>
      <w:r>
        <w:t>Bent u het met de kinderrechter eens dat een OTS zonder vaste jeugdbeschermer dan ook inhoudsloos en doelloos is? Kunt u uw antwoord toelichten?</w:t>
      </w:r>
      <w:r>
        <w:br/>
      </w:r>
    </w:p>
    <w:p>
      <w:pPr>
        <w:pStyle w:val="ListParagraph"/>
        <w:numPr>
          <w:ilvl w:val="0"/>
          <w:numId w:val="100473040"/>
        </w:numPr>
        <w:ind w:left="360"/>
      </w:pPr>
      <w:r>
        <w:t>Vindt u dat bij het ontbreken van een vaste jeugdbeschermer een schending van artikel 8 lid 2 EVRM kan opleveren? Kunt u uw antwoord toelichten?</w:t>
      </w:r>
      <w:r>
        <w:br/>
      </w:r>
    </w:p>
    <w:p>
      <w:pPr>
        <w:pStyle w:val="ListParagraph"/>
        <w:numPr>
          <w:ilvl w:val="0"/>
          <w:numId w:val="100473040"/>
        </w:numPr>
        <w:ind w:left="360"/>
      </w:pPr>
      <w:r>
        <w:t>Kunt u aangeven in hoeveel gevallen kinderrechters op verzoek van de gecertificeerde instellingen(GI’s) een OTS verlengen zonder dat er daadwerkelijk hulp is of kan worden geboden? Indien u niet kan aangeven hoeveel gevallen dit zijn kunt u dan ook uitleggen waarom u dit niet kan aangeven?</w:t>
      </w:r>
      <w:r>
        <w:br/>
      </w:r>
    </w:p>
    <w:p>
      <w:pPr>
        <w:pStyle w:val="ListParagraph"/>
        <w:numPr>
          <w:ilvl w:val="0"/>
          <w:numId w:val="100473040"/>
        </w:numPr>
        <w:ind w:left="360"/>
      </w:pPr>
      <w:r>
        <w:t>Wat gaat u doen om te voorkomen dat rechters een OTS verlengen en de GI’s een verzoek verlenging OTS verzoeken zonder dat er daadwerkelijk hulp ingezet wordt zoals beschreven in de twee uitspraken in vraag 1 en 2 van de kinderrechter Bart Tromp?</w:t>
      </w:r>
      <w:r>
        <w:br/>
      </w:r>
    </w:p>
    <w:p>
      <w:pPr>
        <w:pStyle w:val="ListParagraph"/>
        <w:numPr>
          <w:ilvl w:val="0"/>
          <w:numId w:val="100473040"/>
        </w:numPr>
        <w:ind w:left="360"/>
      </w:pPr>
      <w:r>
        <w:t>Hoe vaak komt het voor dat een kinderrechter de GI, in dit geval Jeugdbescherming Noord en Veilig Thuis, ontslaat wegens disfunctioneren en vervangt door een andere instelling?</w:t>
      </w:r>
      <w:r>
        <w:br/>
      </w:r>
    </w:p>
    <w:p>
      <w:pPr>
        <w:pStyle w:val="ListParagraph"/>
        <w:numPr>
          <w:ilvl w:val="0"/>
          <w:numId w:val="100473040"/>
        </w:numPr>
        <w:ind w:left="360"/>
      </w:pPr>
      <w:r>
        <w:t>Wat zegt dit ontslag over de kwaliteit van toezicht op GI’s? Is er een vast toezicht protocol bij de Inspecties op dit punt? Overweegt u het toezicht uit te breiden naar aanleiding van deze uitspraak? Overweegt u verscherpt toezicht op te leggen aan slecht functionerende instellingen?</w:t>
      </w:r>
      <w:r>
        <w:br/>
      </w:r>
    </w:p>
    <w:p>
      <w:pPr>
        <w:pStyle w:val="ListParagraph"/>
        <w:numPr>
          <w:ilvl w:val="0"/>
          <w:numId w:val="100473040"/>
        </w:numPr>
        <w:ind w:left="360"/>
      </w:pPr>
      <w:r>
        <w:t>Bent u bereid om een evaluatie te laten uitvoeren naar de prestaties van GI’s en te onderzoeken of structurele tekorten aan personeel leiden tot onrechtmatige OTS-besluiten?</w:t>
      </w:r>
      <w:r>
        <w:br/>
      </w:r>
    </w:p>
    <w:p>
      <w:pPr>
        <w:pStyle w:val="ListParagraph"/>
        <w:numPr>
          <w:ilvl w:val="0"/>
          <w:numId w:val="100473040"/>
        </w:numPr>
        <w:ind w:left="360"/>
      </w:pPr>
      <w:r>
        <w:t>Komt het vaker voor dat kinderrechters constateren, zoals hier in de twee genoemde uitspraken van de kinderrechter Bart Tromp, dat de Raad voor de Kinderbescherming en de GI cruciale informatie hebben achtergehouden en rechterlijke bevelen niet hebben opgevolgd? Heeft de kinderrechter gelijk als hij stelt dat hierdoor geen eerlijke rechtsgang mogelijk is?</w:t>
      </w:r>
      <w:r>
        <w:br/>
      </w:r>
    </w:p>
    <w:p>
      <w:pPr>
        <w:pStyle w:val="ListParagraph"/>
        <w:numPr>
          <w:ilvl w:val="0"/>
          <w:numId w:val="100473040"/>
        </w:numPr>
        <w:ind w:left="360"/>
      </w:pPr>
      <w:r>
        <w:t>Deelt u de mening van de kinderrechter dat het onacceptabel is dat overheidsinstanties rechterlijke bevelen negeren? Welke sancties staan er op het niet naleven van rechterlijke uitspraken door de Raad en GI’s?</w:t>
      </w:r>
      <w:r>
        <w:br/>
      </w:r>
    </w:p>
    <w:p>
      <w:pPr>
        <w:pStyle w:val="ListParagraph"/>
        <w:numPr>
          <w:ilvl w:val="0"/>
          <w:numId w:val="100473040"/>
        </w:numPr>
        <w:ind w:left="360"/>
      </w:pPr>
      <w:r>
        <w:t>Bent u bereid te onderzoeken of de rechtsbescherming van ouders en kinderen in jeugdzorgzaken voldoende is gewaarborgd, gelet op deze problematiek van het niet naleven van rechterlijke uitspraken?</w:t>
      </w:r>
      <w:r>
        <w:br/>
      </w:r>
    </w:p>
    <w:p>
      <w:pPr>
        <w:pStyle w:val="ListParagraph"/>
        <w:numPr>
          <w:ilvl w:val="0"/>
          <w:numId w:val="100473040"/>
        </w:numPr>
        <w:ind w:left="360"/>
      </w:pPr>
      <w:r>
        <w:t>Wat is uw visie op het feit dat een maatregel als een OTS geld kost maar de maatregel niet wordt uitgevoerd door een gezinsbeschermer? Wat gebeurt er met de financiering van deze maatregel wanneer de OTS niet uitgevoerd wordt? Krijgt de GI alsnog een bedrag voor de niet uitgevoerde maatregel? En als blijkt dat de GI onterecht geld heeft ontvangen wordt dit dan teruggevorderd? Kunt u duidelijkheid verschaffen wat de kosten zijn van het opleggen van een beschermingsmaatregel meer specifiek in dit geval een OTS, alsmede een OTS met een uithuisplaatsing  en wat de consequenties zijn als deze maatregelen niet worden uitgevoerd? Kunt u uw antwoord motiveren?</w:t>
      </w:r>
      <w:r>
        <w:br/>
      </w:r>
    </w:p>
    <w:p>
      <w:pPr>
        <w:pStyle w:val="ListParagraph"/>
        <w:numPr>
          <w:ilvl w:val="0"/>
          <w:numId w:val="100473040"/>
        </w:numPr>
        <w:ind w:left="360"/>
      </w:pPr>
      <w:r>
        <w:t>Bent u bekend met het amendement-Van der Burg/Bergkamp (Kamerstuk 33684, nr. 32) van 8 oktober 2013 en die op 17 oktober 2013 is aangenomen door de Tweede Kamer?</w:t>
      </w:r>
      <w:r>
        <w:br/>
      </w:r>
    </w:p>
    <w:p>
      <w:pPr>
        <w:pStyle w:val="ListParagraph"/>
        <w:numPr>
          <w:ilvl w:val="0"/>
          <w:numId w:val="100473040"/>
        </w:numPr>
        <w:ind w:left="360"/>
      </w:pPr>
      <w:r>
        <w:t>Bent u bekend met het feit dat sinds het aannemen van het amendement er meerdere pogingen zijn gedaan om het feitenonderzoek te borgen binnen de jeugdbescherming en de raad voor de kinderbescherming? En dat er sinds september 2024 weer een nieuw onderzoek loopt, nu bij BMC, onder de titel Vervolg verbetering feitenonderzoek jeugdbescherming? Kunt u ons informeren over de stand van dit onderzoek?</w:t>
      </w:r>
      <w:r>
        <w:br/>
      </w:r>
    </w:p>
    <w:p>
      <w:pPr>
        <w:pStyle w:val="ListParagraph"/>
        <w:numPr>
          <w:ilvl w:val="0"/>
          <w:numId w:val="100473040"/>
        </w:numPr>
        <w:ind w:left="360"/>
      </w:pPr>
      <w:r>
        <w:t>Hoe kan het dat bijna 12 jaar nadat het amendement-Van der Burg/Bergkamp is aangenomen professionele organisaties binnen de veiligheidsketen nog altijd niet in staat zijn om heldere richtlijnen en protocollen vast te stellen om uitvoering te geven art. 21rv en art. 3.3 JW? Bent u het met ons eens dat dit zorgen moet baren? Bent u het ook met ons eens dat een niet deugdelijk feitenonderzoek kan leiden tot onjuiste besluitvorming met zeer ernstige gevolgen?</w:t>
      </w:r>
      <w:r>
        <w:br/>
      </w:r>
    </w:p>
    <w:p>
      <w:pPr>
        <w:pStyle w:val="ListParagraph"/>
        <w:numPr>
          <w:ilvl w:val="0"/>
          <w:numId w:val="100473040"/>
        </w:numPr>
        <w:ind w:left="360"/>
      </w:pPr>
      <w:r>
        <w:t>Wordt het in uw ogen niet tijd dat, nu de sector het al 12 jaar niet voor elkaar krijgt, ook niet met commerciële consultancy organisaties, dat het ministerie met rechters, wetenschappers en deskundigen zelf gaat vaststellen hoe het feitenonderzoek vorm gegeven moet gaan worden en de veiligheidssector verplicht zich hieraan te conformeren? Zo nee, waarom niet? En zo ja, hoe gaat u dit vorm geven?</w:t>
      </w:r>
      <w:r>
        <w:br/>
      </w:r>
    </w:p>
    <w:p>
      <w:pPr>
        <w:pStyle w:val="ListParagraph"/>
        <w:numPr>
          <w:ilvl w:val="0"/>
          <w:numId w:val="100473040"/>
        </w:numPr>
        <w:ind w:left="360"/>
      </w:pPr>
      <w:r>
        <w:t>In een van de zaken (ECLI:NL:RBNNE:2025:1031) wordt een kind mogelijk onterecht als minderjarige behandeld. Hoeveel zaken zijn er waarbij twijfel bestaat over de leeftijd van een kind in jeugdbeschermingsprocedures?</w:t>
      </w:r>
      <w:r>
        <w:br/>
      </w:r>
    </w:p>
    <w:p>
      <w:pPr>
        <w:pStyle w:val="ListParagraph"/>
        <w:numPr>
          <w:ilvl w:val="0"/>
          <w:numId w:val="100473040"/>
        </w:numPr>
        <w:ind w:left="360"/>
      </w:pPr>
      <w:r>
        <w:t>Bent u bekend met wat de kinderrechter beschrijft dat de mogelijkheid aanwezig is dat jeugdbeschermingsmaatregelen worden ingezet bij vreemdelingenzaken om verblijf te verkrijgen?  Hoe wordt voorkomen dat kinderbeschermingsmaatregelen misbruikt worden voor vreemdelingenrechtelijke doeleinden?</w:t>
      </w:r>
      <w:r>
        <w:br/>
      </w:r>
    </w:p>
    <w:p>
      <w:pPr>
        <w:pStyle w:val="ListParagraph"/>
        <w:numPr>
          <w:ilvl w:val="0"/>
          <w:numId w:val="100473040"/>
        </w:numPr>
        <w:ind w:left="360"/>
      </w:pPr>
      <w:r>
        <w:t>Bent u bereid om per direct maatregelen te nemen om te waarborgen dat geen enkele OTS wordt uitgesproken of verlengd zonder dat er een beschikbare jeugdbeschermer is?</w:t>
      </w:r>
      <w:r>
        <w:br/>
      </w:r>
    </w:p>
    <w:p>
      <w:pPr>
        <w:pStyle w:val="ListParagraph"/>
        <w:numPr>
          <w:ilvl w:val="0"/>
          <w:numId w:val="100473040"/>
        </w:numPr>
        <w:ind w:left="360"/>
      </w:pPr>
      <w:r>
        <w:t>Welke stappen gaat u zetten om de informatievoorziening vanuit de Raad voor de Kinderbescherming en GI’s naar de rechter te verbeteren?</w:t>
      </w:r>
      <w:r>
        <w:br/>
      </w:r>
    </w:p>
    <w:p>
      <w:pPr>
        <w:pStyle w:val="ListParagraph"/>
        <w:numPr>
          <w:ilvl w:val="0"/>
          <w:numId w:val="100473040"/>
        </w:numPr>
        <w:ind w:left="360"/>
      </w:pPr>
      <w:r>
        <w:t>Kunt u toezeggen dat de Kamer binnen drie maanden een plan van aanpak ontvangt over hoe u de uitvoering van jeugdbeschermingsmaatregelen en het functioneren van GI’s gaat verbeteren zodat kinderen en gezinnen, maar ook kinderrechters niet meer geconfronteerd worden met onjuiste en onvolledige dossiers maar ook dat kinderrechters niet meer tegengewerkt worden waardoor rechters niet meer kunnen instaan voor juiste toepassing van de wet?</w:t>
      </w:r>
      <w:r>
        <w:br/>
      </w:r>
    </w:p>
    <w:p>
      <w:pPr>
        <w:pStyle w:val="ListParagraph"/>
        <w:numPr>
          <w:ilvl w:val="0"/>
          <w:numId w:val="100473040"/>
        </w:numPr>
        <w:ind w:left="360"/>
      </w:pPr>
      <w:r>
        <w:t>Bent u het met kinderrechter eens dat, als gevolg van het onvoldoende onderbouwen en niet volledig informeren, ergo informatie achterhouden, door de raad en de GI van de kans op – in  dit geval eer gerelateerd geweld – het risico volledig voor rekening van de GI legt? Zo nee waarom niet?</w:t>
      </w:r>
      <w:r>
        <w:br/>
      </w:r>
    </w:p>
    <w:p>
      <w:pPr>
        <w:pStyle w:val="ListParagraph"/>
        <w:numPr>
          <w:ilvl w:val="0"/>
          <w:numId w:val="100473040"/>
        </w:numPr>
        <w:ind w:left="360"/>
      </w:pPr>
      <w:r>
        <w:t>Bent u bekend met procedure rondom het beëindigingscertificaat wat is afgegeven aan de voormalige GI Briedis? Klopt het dat het beëindigingscertificaat voor Briedis mede is afgegeven omdat Briedis niet voldeed aan de wettelijke eisen voor jeugdbescherming?</w:t>
      </w:r>
      <w:r>
        <w:br/>
      </w:r>
    </w:p>
    <w:p>
      <w:pPr>
        <w:pStyle w:val="ListParagraph"/>
        <w:numPr>
          <w:ilvl w:val="0"/>
          <w:numId w:val="100473040"/>
        </w:numPr>
        <w:ind w:left="360"/>
      </w:pPr>
      <w:r>
        <w:t>Deelt u de mening dat de Rechtbank Noord-Nederland in de beschikking van 18 maart 2025 heeft vastgesteld dat Jeugdbescherming Noord en Veilig Thuis structureel tekortschiet en zelfs rechterlijke bevelen negeert en daarmee niet voldoet aan de wettelijk eisen die aan GI’s gesteld mogen worden?</w:t>
      </w:r>
      <w:r>
        <w:br/>
      </w:r>
    </w:p>
    <w:p>
      <w:pPr>
        <w:pStyle w:val="ListParagraph"/>
        <w:numPr>
          <w:ilvl w:val="0"/>
          <w:numId w:val="100473040"/>
        </w:numPr>
        <w:ind w:left="360"/>
      </w:pPr>
      <w:r>
        <w:t>Ziet u parallellen tussen de situatie bij Briedis en bij Jeugdbescherming Noord en Veilig Thuis? Zo nee, waarom niet?</w:t>
      </w:r>
      <w:r>
        <w:br/>
      </w:r>
    </w:p>
    <w:p>
      <w:pPr>
        <w:pStyle w:val="ListParagraph"/>
        <w:numPr>
          <w:ilvl w:val="0"/>
          <w:numId w:val="100473040"/>
        </w:numPr>
        <w:ind w:left="360"/>
      </w:pPr>
      <w:r>
        <w:t>Bent u bereid de Inspectie Gezondheidszorg en Jeugd (IGJ) een onderzoek te laten instellen naar Jeugdbescherming Noord en Veilig Thuis en, indien dezelfde structurele tekortkomingen als bij Briedis worden geconstateerd, over te gaan tot een aanwijzing om over te gaan tot intrekking van de certificering? Zo nee, waarom niet?</w:t>
      </w:r>
      <w:r>
        <w:br/>
      </w:r>
    </w:p>
    <w:p>
      <w:r>
        <w:t xml:space="preserve"> </w:t>
      </w:r>
      <w:r>
        <w:br/>
      </w:r>
    </w:p>
    <w:p>
      <w:r>
        <w:t xml:space="preserve">[1] Rechtbank Noord Nederland, 19 maart 2025, ECLI:NL:RBNNE:2025:1043</w:t>
      </w:r>
      <w:r>
        <w:br/>
      </w:r>
    </w:p>
    <w:p>
      <w:r>
        <w:t xml:space="preserve">[2] Rechtbank Noord Nederland, 18 maart 2025, ECLI:NL:RBNNE:2025:1031</w:t>
      </w:r>
      <w:r>
        <w:br/>
      </w:r>
    </w:p>
    <w:p>
      <w:r>
        <w:t xml:space="preserve">[3] Aanhangsel Handelingen II, vergaderjaar 2024-2025, nr. 1533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