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2025Z05541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maart 2025)</w:t>
        <w:br/>
      </w:r>
    </w:p>
    <w:p>
      <w:r>
        <w:t xml:space="preserve">Vragen van het lid De Hoop (GroenLinks-PvdA) aan de minister van Infrastructuur en Waterstaat over het bericht 'KLM registreert vracht-747's tijdelijk in buitenland voor onderhoud'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Kent u het bericht 'KLM registreert vracht-747's tijdelijk in buitenland voor onderhoud'? 1)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Klopt de conclusie dat de KLM haar oudste vliegtuigen nu laat onderhouden bij een niet-gecertificeerd buitenlands bedrijf waar de European Aviation Safety Agency (EASA) geen toezicht op heeft? 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Kunt u aangeven welke potentiële risico’s voor de veiligheid dit kan hebben?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Worden de vliegtuigen na de onderhoudsbeurt alsnog gekeurd door een (door EASA) erkende instantie?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Kunt u bevestigen dat KLM hiervoor vliegtuigen tijdelijk registreert in San Marino, een land dat geen lid is van de EASA, omdat het geen luchthaven heeft ?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Waarom is het legaal daar vliegtuigen te registreren en zo aan het toezicht te onttrekken? Gebeurt dit vaker?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Bent u het eens met de KLM dat het een administratieve maatregel betreft? Vindt u de certificering van bedrijven die vliegtuigonderhoud uitvoeren een administratieve kwestie, of een veiligheidskwestie? 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Waarom laat KLM haar vliegtuigen niet in Europa onderhouden?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Gebruiken andere in Nederland geregistreerde maatschappijen vergelijkbare administratieve trucjes om onder de EASA-regels uit te komen?</w:t>
      </w:r>
      <w:r>
        <w:br/>
      </w:r>
    </w:p>
    <w:p>
      <w:pPr>
        <w:pStyle w:val="ListParagraph"/>
        <w:numPr>
          <w:ilvl w:val="0"/>
          <w:numId w:val="100473050"/>
        </w:numPr>
        <w:ind w:left="360"/>
      </w:pPr>
      <w:r>
        <w:t>Hoeveel vliegtuigen vliegen boven Nederland die niet zijn onderhouden en gekeurd door een door EASA gecertificeerd of erkend bedrijf?</w:t>
      </w:r>
      <w:r>
        <w:br/>
      </w:r>
    </w:p>
    <w:p>
      <w:r>
        <w:t xml:space="preserve"> </w:t>
      </w:r>
      <w:r>
        <w:br/>
      </w:r>
    </w:p>
    <w:p>
      <w:r>
        <w:t xml:space="preserve">1) Website Luchtvaartnieuws, 16 januari 2025 (https://www.luchtvaartnieuws.nl/nieuws/categorie/2/airlines/klm-registreert-vracht-747s-tijdelijk-in-buitenland-voor-onderhoud)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