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2025Z05554</w:t>
        <w:br/>
      </w:r>
      <w:proofErr w:type="spellEnd"/>
    </w:p>
    <w:p>
      <w:pPr>
        <w:pStyle w:val="Normal"/>
        <w:rPr>
          <w:b w:val="1"/>
          <w:bCs w:val="1"/>
        </w:rPr>
      </w:pPr>
      <w:r w:rsidR="250AE766">
        <w:rPr>
          <w:b w:val="0"/>
          <w:bCs w:val="0"/>
        </w:rPr>
        <w:t>(ingezonden 25 maart 2025)</w:t>
        <w:br/>
      </w:r>
    </w:p>
    <w:p>
      <w:r>
        <w:t xml:space="preserve">Vragen van het lid Van Eijk (VVD) aan de staatssecretaris van Financiën over de late bekendmaking van de forfaitaire rendementspercentages in Box 3</w:t>
      </w:r>
      <w:r>
        <w:br/>
      </w:r>
    </w:p>
    <w:p>
      <w:pPr>
        <w:pStyle w:val="ListParagraph"/>
        <w:numPr>
          <w:ilvl w:val="0"/>
          <w:numId w:val="100473210"/>
        </w:numPr>
        <w:ind w:left="360"/>
      </w:pPr>
      <w:r>
        <w:t>Klopt het dat spaarders pas op 7 maart 2025 duidelijkheid hebben gekregen over de definitieve forfaitaire rendementspercentages in Box 3 die gelden voor het jaar 2024? Wat vindt u ervan dat de ministeriële regeling pas na het openstellen van de aangifteperiode inkomstenbelasting 2024 is gepubliceerd?</w:t>
      </w:r>
      <w:r>
        <w:br/>
      </w:r>
    </w:p>
    <w:p>
      <w:pPr>
        <w:pStyle w:val="ListParagraph"/>
        <w:numPr>
          <w:ilvl w:val="0"/>
          <w:numId w:val="100473210"/>
        </w:numPr>
        <w:ind w:left="360"/>
      </w:pPr>
      <w:r>
        <w:t>Klopt de veronderstelling dat alle benodigde informatie al op 1 december 2024 beschikbaar is, omdat voor het berekenen van het forfaitaire rendementspercentage banktegoeden en schulden een gemiddeld rendement wordt uitgerekend over de eerste 11 maanden van het jaar?</w:t>
      </w:r>
      <w:r>
        <w:br/>
      </w:r>
    </w:p>
    <w:p>
      <w:pPr>
        <w:pStyle w:val="ListParagraph"/>
        <w:numPr>
          <w:ilvl w:val="0"/>
          <w:numId w:val="100473210"/>
        </w:numPr>
        <w:ind w:left="360"/>
      </w:pPr>
      <w:r>
        <w:t>Wat is de reden dat het publiceren van een regeling die enkel twee getallen wijzigt alsnog drie maanden in beslag neemt?</w:t>
      </w:r>
      <w:r>
        <w:br/>
      </w:r>
    </w:p>
    <w:p>
      <w:pPr>
        <w:pStyle w:val="ListParagraph"/>
        <w:numPr>
          <w:ilvl w:val="0"/>
          <w:numId w:val="100473210"/>
        </w:numPr>
        <w:ind w:left="360"/>
      </w:pPr>
      <w:r>
        <w:t>Bent u bereid om, zolang de Wet werkelijk rendement niet is ingevoerd, de publicatie van de jaarlijkse regeling te versnellen, zodat spaarders eerder duidelijkheid hebben over het definitieve forfaitaire rendement waarover zij belasting betalen? Op welke datum verwacht u de regeling volgend jaar uiterlijk gepubliceerd te hebben?</w:t>
      </w:r>
      <w:r>
        <w:br/>
      </w:r>
    </w:p>
    <w:p>
      <w:pPr>
        <w:pStyle w:val="ListParagraph"/>
        <w:numPr>
          <w:ilvl w:val="0"/>
          <w:numId w:val="100473210"/>
        </w:numPr>
        <w:ind w:left="360"/>
      </w:pPr>
      <w:r>
        <w:t>Verwacht u nog formeelrechtelijke bezwaren en/of procedures als gevolg van de (te) late publicatie van de ministeriële regeling?</w:t>
      </w:r>
      <w:r>
        <w:br/>
      </w:r>
    </w:p>
    <w:p>
      <w:pPr>
        <w:pStyle w:val="ListParagraph"/>
        <w:numPr>
          <w:ilvl w:val="0"/>
          <w:numId w:val="100473210"/>
        </w:numPr>
        <w:ind w:left="360"/>
      </w:pPr>
      <w:r>
        <w:t>Kunt u deze vragen beantwoorden voor het tweeminutendebat over Box 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