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7887" w:rsidR="00707887" w:rsidP="00707887" w:rsidRDefault="00707887" w14:paraId="02C8A6AD" w14:textId="5D1ACCFB">
      <w:pPr>
        <w:ind w:left="1418" w:hanging="1418"/>
        <w:rPr>
          <w:b/>
          <w:bCs/>
        </w:rPr>
      </w:pPr>
      <w:r>
        <w:rPr>
          <w:rFonts w:ascii="Verdana" w:hAnsi="Verdana"/>
          <w:b/>
          <w:bCs/>
          <w:sz w:val="18"/>
          <w:szCs w:val="18"/>
        </w:rPr>
        <w:t>36 714</w:t>
      </w:r>
      <w:r w:rsidRPr="00323BB3" w:rsidR="00AE25CB">
        <w:rPr>
          <w:rFonts w:ascii="Verdana" w:hAnsi="Verdana"/>
          <w:b/>
          <w:sz w:val="18"/>
          <w:szCs w:val="18"/>
        </w:rPr>
        <w:tab/>
      </w:r>
      <w:r w:rsidRPr="00707887">
        <w:rPr>
          <w:b/>
          <w:bCs/>
        </w:rPr>
        <w:t>Raming der voor de Tweede Kamer in 2026 benodigde uitgaven, alsmede aanwijzing en raming van de ontvangsten</w:t>
      </w:r>
    </w:p>
    <w:p w:rsidRPr="00707887" w:rsidR="00AE25CB" w:rsidP="00654798" w:rsidRDefault="00AE25CB" w14:paraId="7127117F" w14:textId="66AEDE49">
      <w:pPr>
        <w:spacing w:line="240" w:lineRule="atLeast"/>
        <w:ind w:left="1418" w:hanging="1418"/>
        <w:rPr>
          <w:rFonts w:ascii="Verdana" w:hAnsi="Verdana"/>
          <w:b/>
          <w:bCs/>
          <w:sz w:val="18"/>
          <w:szCs w:val="18"/>
        </w:rPr>
      </w:pPr>
    </w:p>
    <w:p w:rsidRPr="00707887" w:rsidR="00AE25CB" w:rsidP="00654798" w:rsidRDefault="00AE25CB" w14:paraId="02D73891" w14:textId="77777777">
      <w:pPr>
        <w:tabs>
          <w:tab w:val="left" w:pos="-1440"/>
          <w:tab w:val="left" w:pos="-720"/>
          <w:tab w:val="left" w:pos="0"/>
          <w:tab w:val="left" w:pos="720"/>
        </w:tabs>
        <w:spacing w:line="240" w:lineRule="atLeast"/>
        <w:ind w:left="284" w:hanging="284"/>
        <w:rPr>
          <w:rFonts w:ascii="Verdana" w:hAnsi="Verdana"/>
          <w:b/>
          <w:bCs/>
          <w:sz w:val="18"/>
          <w:szCs w:val="18"/>
        </w:rPr>
      </w:pPr>
    </w:p>
    <w:p w:rsidRPr="00397084" w:rsidR="00AE25CB" w:rsidP="00654798" w:rsidRDefault="00AE25CB" w14:paraId="15A1B6DE" w14:textId="77777777">
      <w:pPr>
        <w:tabs>
          <w:tab w:val="left" w:pos="-1440"/>
          <w:tab w:val="left" w:pos="-720"/>
        </w:tabs>
        <w:spacing w:line="240" w:lineRule="atLeast"/>
        <w:ind w:left="284" w:hanging="284"/>
        <w:rPr>
          <w:rFonts w:ascii="Verdana" w:hAnsi="Verdana"/>
          <w:b/>
          <w:bCs/>
          <w:sz w:val="18"/>
          <w:szCs w:val="18"/>
        </w:rPr>
      </w:pPr>
      <w:r w:rsidRPr="51825749">
        <w:rPr>
          <w:rFonts w:ascii="Verdana" w:hAnsi="Verdana"/>
          <w:b/>
          <w:bCs/>
          <w:sz w:val="18"/>
          <w:szCs w:val="18"/>
        </w:rPr>
        <w:t xml:space="preserve">Nr. 3 </w:t>
      </w:r>
      <w:r w:rsidRPr="00397084">
        <w:rPr>
          <w:rFonts w:ascii="Verdana" w:hAnsi="Verdana"/>
          <w:b/>
          <w:sz w:val="18"/>
          <w:szCs w:val="18"/>
        </w:rPr>
        <w:tab/>
      </w:r>
      <w:r w:rsidRPr="00397084">
        <w:rPr>
          <w:rFonts w:ascii="Verdana" w:hAnsi="Verdana"/>
          <w:b/>
          <w:sz w:val="18"/>
          <w:szCs w:val="18"/>
        </w:rPr>
        <w:tab/>
      </w:r>
      <w:r w:rsidRPr="51825749">
        <w:rPr>
          <w:rFonts w:ascii="Verdana" w:hAnsi="Verdana"/>
          <w:b/>
          <w:bCs/>
          <w:sz w:val="18"/>
          <w:szCs w:val="18"/>
        </w:rPr>
        <w:t>BEGROTINGSTOELICHTING (UITGAVEN EN ONTVANGSTEN)</w:t>
      </w:r>
    </w:p>
    <w:p w:rsidRPr="00397084" w:rsidR="00AE25CB" w:rsidP="00654798" w:rsidRDefault="00AE25CB" w14:paraId="77F13239" w14:textId="77777777">
      <w:pPr>
        <w:tabs>
          <w:tab w:val="left" w:pos="-1440"/>
          <w:tab w:val="left" w:pos="-720"/>
        </w:tabs>
        <w:spacing w:line="240" w:lineRule="atLeast"/>
        <w:ind w:left="284" w:hanging="284"/>
        <w:rPr>
          <w:rFonts w:ascii="Verdana" w:hAnsi="Verdana"/>
          <w:sz w:val="18"/>
          <w:szCs w:val="18"/>
        </w:rPr>
      </w:pPr>
    </w:p>
    <w:p w:rsidRPr="00397084" w:rsidR="00AE25CB" w:rsidP="00654798" w:rsidRDefault="51825749" w14:paraId="7B20A1CD" w14:textId="77777777">
      <w:pPr>
        <w:tabs>
          <w:tab w:val="left" w:pos="-1440"/>
          <w:tab w:val="left" w:pos="-720"/>
        </w:tabs>
        <w:spacing w:line="240" w:lineRule="atLeast"/>
        <w:ind w:left="284" w:hanging="284"/>
        <w:rPr>
          <w:rFonts w:ascii="Verdana" w:hAnsi="Verdana"/>
          <w:b/>
          <w:bCs/>
          <w:sz w:val="18"/>
          <w:szCs w:val="18"/>
        </w:rPr>
      </w:pPr>
      <w:r w:rsidRPr="51825749">
        <w:rPr>
          <w:rFonts w:ascii="Verdana" w:hAnsi="Verdana"/>
          <w:b/>
          <w:bCs/>
          <w:sz w:val="18"/>
          <w:szCs w:val="18"/>
        </w:rPr>
        <w:t>1. Algemeen</w:t>
      </w:r>
    </w:p>
    <w:p w:rsidRPr="00397084" w:rsidR="00AE25CB" w:rsidP="00654798" w:rsidRDefault="00AE25CB" w14:paraId="2DEC214C" w14:textId="77777777">
      <w:pPr>
        <w:tabs>
          <w:tab w:val="left" w:pos="-1440"/>
          <w:tab w:val="left" w:pos="-720"/>
        </w:tabs>
        <w:spacing w:line="240" w:lineRule="atLeast"/>
        <w:ind w:left="284" w:hanging="284"/>
        <w:rPr>
          <w:rFonts w:ascii="Verdana" w:hAnsi="Verdana"/>
          <w:b/>
          <w:bCs/>
          <w:sz w:val="18"/>
          <w:szCs w:val="18"/>
        </w:rPr>
      </w:pPr>
    </w:p>
    <w:p w:rsidRPr="00397084" w:rsidR="00AE25CB" w:rsidP="00654798" w:rsidRDefault="51825749" w14:paraId="56C622C5" w14:textId="77777777">
      <w:pPr>
        <w:tabs>
          <w:tab w:val="left" w:pos="-1440"/>
          <w:tab w:val="left" w:pos="-720"/>
        </w:tabs>
        <w:spacing w:line="240" w:lineRule="atLeast"/>
        <w:ind w:left="284" w:hanging="284"/>
        <w:rPr>
          <w:rFonts w:ascii="Verdana" w:hAnsi="Verdana"/>
          <w:b/>
          <w:bCs/>
          <w:i/>
          <w:iCs/>
          <w:sz w:val="18"/>
          <w:szCs w:val="18"/>
        </w:rPr>
      </w:pPr>
      <w:r w:rsidRPr="51825749">
        <w:rPr>
          <w:rFonts w:ascii="Verdana" w:hAnsi="Verdana"/>
          <w:b/>
          <w:bCs/>
          <w:i/>
          <w:iCs/>
          <w:sz w:val="18"/>
          <w:szCs w:val="18"/>
        </w:rPr>
        <w:t>a. Algemene uitgangspunten</w:t>
      </w:r>
    </w:p>
    <w:p w:rsidR="00906782" w:rsidP="00654798" w:rsidRDefault="51825749" w14:paraId="3D520324" w14:textId="3CBBC17C">
      <w:pPr>
        <w:pStyle w:val="Normaalweb"/>
        <w:spacing w:before="0" w:beforeAutospacing="0" w:after="300" w:afterAutospacing="0" w:line="240" w:lineRule="atLeast"/>
        <w:rPr>
          <w:rFonts w:ascii="Verdana" w:hAnsi="Verdana"/>
          <w:color w:val="000000" w:themeColor="text1"/>
          <w:sz w:val="18"/>
          <w:szCs w:val="18"/>
        </w:rPr>
      </w:pPr>
      <w:r w:rsidRPr="00AE4428">
        <w:rPr>
          <w:rFonts w:ascii="Verdana" w:hAnsi="Verdana"/>
          <w:color w:val="000000" w:themeColor="text1"/>
          <w:sz w:val="18"/>
          <w:szCs w:val="18"/>
        </w:rPr>
        <w:t>De Minister van Binnenlandse Zaken en Koninkrijksrelaties is verantwoordelijk voor het beheer van de begroting van de Staten-Generaal. De colleges voeren zelf het beheer over hun begroting of hun begrotingsdeel. Over de inhoud van dit beheer zijn</w:t>
      </w:r>
      <w:r w:rsidR="006E535A">
        <w:rPr>
          <w:rFonts w:ascii="Verdana" w:hAnsi="Verdana"/>
          <w:color w:val="000000" w:themeColor="text1"/>
          <w:sz w:val="18"/>
          <w:szCs w:val="18"/>
        </w:rPr>
        <w:t xml:space="preserve"> op grond van </w:t>
      </w:r>
      <w:hyperlink r:id="rId12">
        <w:r w:rsidR="00AE4428">
          <w:rPr>
            <w:rStyle w:val="Hyperlink"/>
            <w:rFonts w:ascii="Verdana" w:hAnsi="Verdana"/>
            <w:color w:val="01689B"/>
            <w:sz w:val="18"/>
            <w:szCs w:val="18"/>
          </w:rPr>
          <w:t xml:space="preserve">artikel 4.4, lid 4 </w:t>
        </w:r>
        <w:r w:rsidRPr="00AE4428">
          <w:rPr>
            <w:rStyle w:val="Hyperlink"/>
            <w:rFonts w:ascii="Verdana" w:hAnsi="Verdana"/>
            <w:color w:val="01689B"/>
            <w:sz w:val="18"/>
            <w:szCs w:val="18"/>
          </w:rPr>
          <w:t>Comptabiliteitswet 2016</w:t>
        </w:r>
      </w:hyperlink>
      <w:r w:rsidR="00AE4428">
        <w:rPr>
          <w:rFonts w:ascii="Verdana" w:hAnsi="Verdana"/>
          <w:color w:val="000000" w:themeColor="text1"/>
          <w:sz w:val="18"/>
          <w:szCs w:val="18"/>
        </w:rPr>
        <w:t xml:space="preserve"> </w:t>
      </w:r>
      <w:r w:rsidRPr="00AE4428">
        <w:rPr>
          <w:rFonts w:ascii="Verdana" w:hAnsi="Verdana"/>
          <w:color w:val="000000" w:themeColor="text1"/>
          <w:sz w:val="18"/>
          <w:szCs w:val="18"/>
        </w:rPr>
        <w:t>afspraken vastgelegd (de zogenoemde beheerafspraken) tussen de minister en de colleges, waarin recht gedaan wordt aan hun staatsrechtelijke positie.</w:t>
      </w:r>
    </w:p>
    <w:p w:rsidRPr="00906782" w:rsidR="00906782" w:rsidP="00654798" w:rsidRDefault="00906782" w14:paraId="440CFF89" w14:textId="02FD9847">
      <w:pPr>
        <w:pStyle w:val="Normaalweb"/>
        <w:spacing w:before="0" w:beforeAutospacing="0" w:after="300" w:afterAutospacing="0" w:line="240" w:lineRule="atLeast"/>
        <w:rPr>
          <w:rFonts w:ascii="Verdana" w:hAnsi="Verdana"/>
          <w:color w:val="000000" w:themeColor="text1"/>
          <w:sz w:val="18"/>
          <w:szCs w:val="18"/>
        </w:rPr>
      </w:pPr>
      <w:r>
        <w:rPr>
          <w:rFonts w:ascii="Verdana" w:hAnsi="Verdana"/>
          <w:color w:val="000000" w:themeColor="text1"/>
          <w:sz w:val="18"/>
          <w:szCs w:val="18"/>
        </w:rPr>
        <w:t>De</w:t>
      </w:r>
      <w:r w:rsidRPr="00906782">
        <w:rPr>
          <w:rFonts w:ascii="Verdana" w:hAnsi="Verdana"/>
          <w:color w:val="000000" w:themeColor="text1"/>
          <w:sz w:val="18"/>
          <w:szCs w:val="18"/>
        </w:rPr>
        <w:t xml:space="preserve"> Minister van Binnenlandse Zaken en Koninkrijksrelaties neemt de ramingen, zoals opgesteld door de Kamers der Staten-Generaal, op in het voorstel van wet tot vaststelling van de begrotingsstaten van de Staten-Generaal, tenzij een evident zwaarwegende reden zich hiertegen verzet.</w:t>
      </w:r>
      <w:r>
        <w:rPr>
          <w:rFonts w:ascii="Verdana" w:hAnsi="Verdana"/>
          <w:color w:val="000000" w:themeColor="text1"/>
          <w:sz w:val="18"/>
          <w:szCs w:val="18"/>
        </w:rPr>
        <w:t xml:space="preserve"> </w:t>
      </w:r>
      <w:r w:rsidRPr="00906782">
        <w:rPr>
          <w:rFonts w:ascii="Verdana" w:hAnsi="Verdana"/>
          <w:color w:val="000000" w:themeColor="text1"/>
          <w:sz w:val="18"/>
          <w:szCs w:val="18"/>
        </w:rPr>
        <w:t xml:space="preserve">Indien </w:t>
      </w:r>
      <w:r>
        <w:rPr>
          <w:rFonts w:ascii="Verdana" w:hAnsi="Verdana"/>
          <w:color w:val="000000" w:themeColor="text1"/>
          <w:sz w:val="18"/>
          <w:szCs w:val="18"/>
        </w:rPr>
        <w:t>de</w:t>
      </w:r>
      <w:r w:rsidRPr="00906782">
        <w:rPr>
          <w:rFonts w:ascii="Verdana" w:hAnsi="Verdana"/>
          <w:color w:val="000000" w:themeColor="text1"/>
          <w:sz w:val="18"/>
          <w:szCs w:val="18"/>
        </w:rPr>
        <w:t xml:space="preserve"> Minister van Binnenlandse Zaken en Koninkrijksrelaties ramingen wegens evident zwaarwegende redenen niet of niet geheel opneemt, dan licht hij dit gemotiveerd toe</w:t>
      </w:r>
      <w:r>
        <w:rPr>
          <w:rFonts w:ascii="Verdana" w:hAnsi="Verdana"/>
          <w:color w:val="000000" w:themeColor="text1"/>
          <w:sz w:val="18"/>
          <w:szCs w:val="18"/>
        </w:rPr>
        <w:t xml:space="preserve"> (</w:t>
      </w:r>
      <w:hyperlink r:id="rId13">
        <w:r>
          <w:rPr>
            <w:rStyle w:val="Hyperlink"/>
            <w:rFonts w:ascii="Verdana" w:hAnsi="Verdana"/>
            <w:color w:val="01689B"/>
            <w:sz w:val="18"/>
            <w:szCs w:val="18"/>
          </w:rPr>
          <w:t xml:space="preserve">artikel 4.5, lid 2 en 3 </w:t>
        </w:r>
        <w:r w:rsidRPr="00AE4428">
          <w:rPr>
            <w:rStyle w:val="Hyperlink"/>
            <w:rFonts w:ascii="Verdana" w:hAnsi="Verdana"/>
            <w:color w:val="01689B"/>
            <w:sz w:val="18"/>
            <w:szCs w:val="18"/>
          </w:rPr>
          <w:t>Comptabiliteitswet 2016</w:t>
        </w:r>
      </w:hyperlink>
      <w:r>
        <w:rPr>
          <w:rStyle w:val="Hyperlink"/>
          <w:rFonts w:ascii="Verdana" w:hAnsi="Verdana"/>
          <w:color w:val="01689B"/>
          <w:sz w:val="18"/>
          <w:szCs w:val="18"/>
        </w:rPr>
        <w:t>)</w:t>
      </w:r>
      <w:r w:rsidRPr="00906782">
        <w:rPr>
          <w:rFonts w:ascii="Verdana" w:hAnsi="Verdana"/>
          <w:color w:val="000000" w:themeColor="text1"/>
          <w:sz w:val="18"/>
          <w:szCs w:val="18"/>
        </w:rPr>
        <w:t>.</w:t>
      </w:r>
    </w:p>
    <w:p w:rsidRPr="00906782" w:rsidR="00906782" w:rsidP="00654798" w:rsidRDefault="51825749" w14:paraId="1B5D582F" w14:textId="17B581DC">
      <w:pPr>
        <w:pStyle w:val="Normaalweb"/>
        <w:spacing w:before="0" w:beforeAutospacing="0" w:after="300" w:afterAutospacing="0" w:line="240" w:lineRule="atLeast"/>
        <w:rPr>
          <w:rFonts w:ascii="Verdana" w:hAnsi="Verdana"/>
          <w:sz w:val="18"/>
          <w:szCs w:val="18"/>
        </w:rPr>
      </w:pPr>
      <w:r w:rsidRPr="00AE4428">
        <w:rPr>
          <w:rFonts w:ascii="Verdana" w:hAnsi="Verdana"/>
          <w:color w:val="000000" w:themeColor="text1"/>
          <w:sz w:val="18"/>
          <w:szCs w:val="18"/>
        </w:rPr>
        <w:t>Een College dient, conform</w:t>
      </w:r>
      <w:r w:rsidR="00AE4428">
        <w:rPr>
          <w:rFonts w:ascii="Verdana" w:hAnsi="Verdana"/>
          <w:color w:val="000000" w:themeColor="text1"/>
          <w:sz w:val="18"/>
          <w:szCs w:val="18"/>
        </w:rPr>
        <w:t xml:space="preserve"> </w:t>
      </w:r>
      <w:hyperlink r:id="rId14">
        <w:r w:rsidRPr="00AE4428">
          <w:rPr>
            <w:rStyle w:val="Hyperlink"/>
            <w:rFonts w:ascii="Verdana" w:hAnsi="Verdana"/>
            <w:color w:val="01689B"/>
            <w:sz w:val="18"/>
            <w:szCs w:val="18"/>
          </w:rPr>
          <w:t>art</w:t>
        </w:r>
        <w:r w:rsidR="00AE4428">
          <w:rPr>
            <w:rStyle w:val="Hyperlink"/>
            <w:rFonts w:ascii="Verdana" w:hAnsi="Verdana"/>
            <w:color w:val="01689B"/>
            <w:sz w:val="18"/>
            <w:szCs w:val="18"/>
          </w:rPr>
          <w:t xml:space="preserve">ikel 2.1 lid 7 </w:t>
        </w:r>
        <w:r w:rsidRPr="00AE4428">
          <w:rPr>
            <w:rStyle w:val="Hyperlink"/>
            <w:rFonts w:ascii="Verdana" w:hAnsi="Verdana"/>
            <w:color w:val="01689B"/>
            <w:sz w:val="18"/>
            <w:szCs w:val="18"/>
          </w:rPr>
          <w:t>van de Comptabiliteitswet 2016</w:t>
        </w:r>
      </w:hyperlink>
      <w:r w:rsidR="00AE4428">
        <w:rPr>
          <w:rFonts w:ascii="Verdana" w:hAnsi="Verdana"/>
          <w:color w:val="000000" w:themeColor="text1"/>
          <w:sz w:val="18"/>
          <w:szCs w:val="18"/>
        </w:rPr>
        <w:t xml:space="preserve"> </w:t>
      </w:r>
      <w:r w:rsidRPr="00AE4428">
        <w:rPr>
          <w:rFonts w:ascii="Verdana" w:hAnsi="Verdana"/>
          <w:color w:val="000000" w:themeColor="text1"/>
          <w:sz w:val="18"/>
          <w:szCs w:val="18"/>
        </w:rPr>
        <w:t>betreffende een niet-departementale begroting, enkel haar taken en bedrijfsvoering weer te geven. Derhalve bevat deze niet-departementale begroting – in vergelijking met departementale begrotingen waarbij wel een weergave van het beleid wordt opgenomen – geen beleidsagenda.</w:t>
      </w:r>
      <w:r w:rsidR="00906782">
        <w:rPr>
          <w:rFonts w:ascii="Verdana" w:hAnsi="Verdana"/>
          <w:color w:val="000000" w:themeColor="text1"/>
          <w:sz w:val="18"/>
          <w:szCs w:val="18"/>
        </w:rPr>
        <w:t xml:space="preserve"> </w:t>
      </w:r>
      <w:r w:rsidRPr="00906782" w:rsidR="00906782">
        <w:rPr>
          <w:rFonts w:ascii="Verdana" w:hAnsi="Verdana"/>
          <w:sz w:val="18"/>
          <w:szCs w:val="18"/>
        </w:rPr>
        <w:t>Vanwege de bijzondere positie van de Staten-Generaal wijkt de presentatie op deze punten af van de in de Rijksbegroting</w:t>
      </w:r>
      <w:r w:rsidR="00863EEF">
        <w:rPr>
          <w:rFonts w:ascii="Verdana" w:hAnsi="Verdana"/>
          <w:sz w:val="18"/>
          <w:szCs w:val="18"/>
        </w:rPr>
        <w:t>s</w:t>
      </w:r>
      <w:r w:rsidRPr="00906782" w:rsidR="00906782">
        <w:rPr>
          <w:rFonts w:ascii="Verdana" w:hAnsi="Verdana"/>
          <w:sz w:val="18"/>
          <w:szCs w:val="18"/>
        </w:rPr>
        <w:t>voorschriften (</w:t>
      </w:r>
      <w:proofErr w:type="spellStart"/>
      <w:r w:rsidRPr="00906782" w:rsidR="00906782">
        <w:rPr>
          <w:rFonts w:ascii="Verdana" w:hAnsi="Verdana"/>
          <w:sz w:val="18"/>
          <w:szCs w:val="18"/>
        </w:rPr>
        <w:t>Rbv</w:t>
      </w:r>
      <w:proofErr w:type="spellEnd"/>
      <w:r w:rsidRPr="00906782" w:rsidR="00906782">
        <w:rPr>
          <w:rFonts w:ascii="Verdana" w:hAnsi="Verdana"/>
          <w:sz w:val="18"/>
          <w:szCs w:val="18"/>
        </w:rPr>
        <w:t xml:space="preserve">) voorgeschreven sjablonen en richtlijnen. </w:t>
      </w:r>
    </w:p>
    <w:p w:rsidRPr="008B7AD7" w:rsidR="00AE25CB" w:rsidP="00654798" w:rsidRDefault="51825749" w14:paraId="314CFE88" w14:textId="77777777">
      <w:pPr>
        <w:spacing w:line="240" w:lineRule="atLeast"/>
        <w:outlineLvl w:val="0"/>
        <w:rPr>
          <w:rFonts w:ascii="Verdana" w:hAnsi="Verdana"/>
          <w:b/>
          <w:bCs/>
          <w:i/>
          <w:iCs/>
          <w:sz w:val="18"/>
          <w:szCs w:val="18"/>
        </w:rPr>
      </w:pPr>
      <w:r w:rsidRPr="51825749">
        <w:rPr>
          <w:rFonts w:ascii="Verdana" w:hAnsi="Verdana"/>
          <w:b/>
          <w:bCs/>
          <w:i/>
          <w:iCs/>
          <w:sz w:val="18"/>
          <w:szCs w:val="18"/>
        </w:rPr>
        <w:t>b. Financiële uitgangspunten</w:t>
      </w:r>
    </w:p>
    <w:p w:rsidRPr="00AE4428" w:rsidR="00AE25CB" w:rsidP="00654798" w:rsidRDefault="6A329A42" w14:paraId="71CD812B" w14:textId="29BBCCCA">
      <w:pPr>
        <w:spacing w:line="240" w:lineRule="atLeast"/>
        <w:rPr>
          <w:rFonts w:ascii="Verdana" w:hAnsi="Verdana"/>
          <w:sz w:val="18"/>
          <w:szCs w:val="18"/>
        </w:rPr>
      </w:pPr>
      <w:r w:rsidRPr="00AE4428">
        <w:rPr>
          <w:rFonts w:ascii="Verdana" w:hAnsi="Verdana"/>
          <w:sz w:val="18"/>
          <w:szCs w:val="18"/>
        </w:rPr>
        <w:t xml:space="preserve">Het </w:t>
      </w:r>
      <w:r w:rsidR="00B25B5E">
        <w:rPr>
          <w:rFonts w:ascii="Verdana" w:hAnsi="Verdana"/>
          <w:sz w:val="18"/>
          <w:szCs w:val="18"/>
        </w:rPr>
        <w:t>uitgangspunt voor de Raming 202</w:t>
      </w:r>
      <w:r w:rsidR="00CC3D1D">
        <w:rPr>
          <w:rFonts w:ascii="Verdana" w:hAnsi="Verdana"/>
          <w:sz w:val="18"/>
          <w:szCs w:val="18"/>
        </w:rPr>
        <w:t>6</w:t>
      </w:r>
      <w:r w:rsidRPr="00AE4428">
        <w:rPr>
          <w:rFonts w:ascii="Verdana" w:hAnsi="Verdana"/>
          <w:sz w:val="18"/>
          <w:szCs w:val="18"/>
        </w:rPr>
        <w:t xml:space="preserve"> is het </w:t>
      </w:r>
      <w:proofErr w:type="spellStart"/>
      <w:r w:rsidRPr="00AE4428">
        <w:rPr>
          <w:rFonts w:ascii="Verdana" w:hAnsi="Verdana"/>
          <w:sz w:val="18"/>
          <w:szCs w:val="18"/>
        </w:rPr>
        <w:t>meerjarencijfer</w:t>
      </w:r>
      <w:proofErr w:type="spellEnd"/>
      <w:r w:rsidRPr="00AE4428">
        <w:rPr>
          <w:rFonts w:ascii="Verdana" w:hAnsi="Verdana"/>
          <w:sz w:val="18"/>
          <w:szCs w:val="18"/>
        </w:rPr>
        <w:t xml:space="preserve"> voor dat jaar zoals opgenomen in hoofdstuk IIA</w:t>
      </w:r>
      <w:r w:rsidR="00B25B5E">
        <w:rPr>
          <w:rFonts w:ascii="Verdana" w:hAnsi="Verdana"/>
          <w:sz w:val="18"/>
          <w:szCs w:val="18"/>
        </w:rPr>
        <w:t xml:space="preserve"> van de Rijksbegroting voor 202</w:t>
      </w:r>
      <w:r w:rsidR="00CC3D1D">
        <w:rPr>
          <w:rFonts w:ascii="Verdana" w:hAnsi="Verdana"/>
          <w:sz w:val="18"/>
          <w:szCs w:val="18"/>
        </w:rPr>
        <w:t>5</w:t>
      </w:r>
      <w:r w:rsidRPr="00AE4428">
        <w:rPr>
          <w:rFonts w:ascii="Verdana" w:hAnsi="Verdana"/>
          <w:sz w:val="18"/>
          <w:szCs w:val="18"/>
        </w:rPr>
        <w:t xml:space="preserve"> </w:t>
      </w:r>
      <w:r w:rsidRPr="00C81E4A">
        <w:rPr>
          <w:rFonts w:ascii="Verdana" w:hAnsi="Verdana"/>
          <w:sz w:val="18"/>
          <w:szCs w:val="18"/>
        </w:rPr>
        <w:t xml:space="preserve">(Kamerstuk </w:t>
      </w:r>
      <w:r w:rsidR="002B2597">
        <w:rPr>
          <w:rFonts w:ascii="Verdana" w:hAnsi="Verdana"/>
          <w:sz w:val="18"/>
          <w:szCs w:val="18"/>
        </w:rPr>
        <w:t>36</w:t>
      </w:r>
      <w:r w:rsidR="00707887">
        <w:rPr>
          <w:rFonts w:ascii="Verdana" w:hAnsi="Verdana"/>
          <w:sz w:val="18"/>
          <w:szCs w:val="18"/>
        </w:rPr>
        <w:t xml:space="preserve"> </w:t>
      </w:r>
      <w:r w:rsidR="002B2597">
        <w:rPr>
          <w:rFonts w:ascii="Verdana" w:hAnsi="Verdana"/>
          <w:sz w:val="18"/>
          <w:szCs w:val="18"/>
        </w:rPr>
        <w:t>600</w:t>
      </w:r>
      <w:r w:rsidRPr="000C71C6" w:rsidR="00C81E4A">
        <w:rPr>
          <w:rFonts w:ascii="Verdana" w:hAnsi="Verdana"/>
          <w:sz w:val="18"/>
          <w:szCs w:val="18"/>
        </w:rPr>
        <w:t>-IIA</w:t>
      </w:r>
      <w:r w:rsidRPr="000C71C6">
        <w:rPr>
          <w:rFonts w:ascii="Verdana" w:hAnsi="Verdana"/>
          <w:sz w:val="18"/>
          <w:szCs w:val="18"/>
        </w:rPr>
        <w:t>)</w:t>
      </w:r>
      <w:r w:rsidRPr="000C71C6" w:rsidR="00AE4428">
        <w:rPr>
          <w:rFonts w:ascii="Verdana" w:hAnsi="Verdana"/>
          <w:sz w:val="18"/>
          <w:szCs w:val="18"/>
        </w:rPr>
        <w:t>.</w:t>
      </w:r>
    </w:p>
    <w:p w:rsidRPr="00AE4428" w:rsidR="00AE25CB" w:rsidP="00654798" w:rsidRDefault="00AE25CB" w14:paraId="73E13FAF" w14:textId="77777777">
      <w:pPr>
        <w:spacing w:line="240" w:lineRule="atLeast"/>
        <w:rPr>
          <w:rFonts w:ascii="Verdana" w:hAnsi="Verdana"/>
          <w:sz w:val="18"/>
          <w:szCs w:val="18"/>
        </w:rPr>
      </w:pPr>
    </w:p>
    <w:p w:rsidRPr="00AE4428" w:rsidR="00AE25CB" w:rsidP="00654798" w:rsidRDefault="51825749" w14:paraId="23552086" w14:textId="64F19C09">
      <w:pPr>
        <w:spacing w:line="240" w:lineRule="atLeast"/>
        <w:rPr>
          <w:rFonts w:ascii="Verdana" w:hAnsi="Verdana"/>
          <w:sz w:val="18"/>
          <w:szCs w:val="18"/>
        </w:rPr>
      </w:pPr>
      <w:r w:rsidRPr="00AE4428">
        <w:rPr>
          <w:rFonts w:ascii="Verdana" w:hAnsi="Verdana"/>
          <w:sz w:val="18"/>
          <w:szCs w:val="18"/>
        </w:rPr>
        <w:t>De mutaties naar aanl</w:t>
      </w:r>
      <w:r w:rsidR="00B25B5E">
        <w:rPr>
          <w:rFonts w:ascii="Verdana" w:hAnsi="Verdana"/>
          <w:sz w:val="18"/>
          <w:szCs w:val="18"/>
        </w:rPr>
        <w:t>eiding van de Voorjaarsnota 202</w:t>
      </w:r>
      <w:r w:rsidR="00CC3D1D">
        <w:rPr>
          <w:rFonts w:ascii="Verdana" w:hAnsi="Verdana"/>
          <w:sz w:val="18"/>
          <w:szCs w:val="18"/>
        </w:rPr>
        <w:t>5</w:t>
      </w:r>
      <w:r w:rsidRPr="00AE4428">
        <w:rPr>
          <w:rFonts w:ascii="Verdana" w:hAnsi="Verdana"/>
          <w:sz w:val="18"/>
          <w:szCs w:val="18"/>
        </w:rPr>
        <w:t xml:space="preserve"> hebben betrekking op het jaar 202</w:t>
      </w:r>
      <w:r w:rsidR="00CC3D1D">
        <w:rPr>
          <w:rFonts w:ascii="Verdana" w:hAnsi="Verdana"/>
          <w:sz w:val="18"/>
          <w:szCs w:val="18"/>
        </w:rPr>
        <w:t>5</w:t>
      </w:r>
      <w:r w:rsidRPr="00AE4428">
        <w:rPr>
          <w:rFonts w:ascii="Verdana" w:hAnsi="Verdana"/>
          <w:sz w:val="18"/>
          <w:szCs w:val="18"/>
        </w:rPr>
        <w:t xml:space="preserve"> (en op de jaren na 202</w:t>
      </w:r>
      <w:r w:rsidR="00CC3D1D">
        <w:rPr>
          <w:rFonts w:ascii="Verdana" w:hAnsi="Verdana"/>
          <w:sz w:val="18"/>
          <w:szCs w:val="18"/>
        </w:rPr>
        <w:t>5</w:t>
      </w:r>
      <w:r w:rsidRPr="00AE4428">
        <w:rPr>
          <w:rFonts w:ascii="Verdana" w:hAnsi="Verdana"/>
          <w:sz w:val="18"/>
          <w:szCs w:val="18"/>
        </w:rPr>
        <w:t xml:space="preserve">). </w:t>
      </w:r>
    </w:p>
    <w:p w:rsidRPr="00AE4428" w:rsidR="00AE25CB" w:rsidP="00654798" w:rsidRDefault="00AE25CB" w14:paraId="13CD8994" w14:textId="77777777">
      <w:pPr>
        <w:spacing w:line="240" w:lineRule="atLeast"/>
        <w:rPr>
          <w:rFonts w:ascii="Verdana" w:hAnsi="Verdana"/>
          <w:sz w:val="18"/>
          <w:szCs w:val="18"/>
        </w:rPr>
      </w:pPr>
    </w:p>
    <w:p w:rsidRPr="00AE4428" w:rsidR="00AE25CB" w:rsidP="00654798" w:rsidRDefault="51825749" w14:paraId="4F239E86" w14:textId="77777777">
      <w:pPr>
        <w:spacing w:line="240" w:lineRule="atLeast"/>
        <w:rPr>
          <w:rFonts w:ascii="Verdana" w:hAnsi="Verdana"/>
          <w:sz w:val="18"/>
          <w:szCs w:val="18"/>
        </w:rPr>
      </w:pPr>
      <w:r w:rsidRPr="00AE4428">
        <w:rPr>
          <w:rFonts w:ascii="Verdana" w:hAnsi="Verdana"/>
          <w:sz w:val="18"/>
          <w:szCs w:val="18"/>
        </w:rPr>
        <w:t>De afronding van de Rijksbegroting is later dan de behandeling van de Raming in de Kamer. Uit deze afronding kunnen nog generieke mutaties voor de Raming voortvloeien, die vanzelfsprekend nog niet zijn verwerkt.</w:t>
      </w:r>
    </w:p>
    <w:p w:rsidRPr="00397084" w:rsidR="00AE25CB" w:rsidP="00654798" w:rsidRDefault="00AE25CB" w14:paraId="24855785" w14:textId="77777777">
      <w:pPr>
        <w:tabs>
          <w:tab w:val="left" w:pos="-1440"/>
          <w:tab w:val="left" w:pos="-720"/>
        </w:tabs>
        <w:spacing w:line="240" w:lineRule="atLeast"/>
        <w:rPr>
          <w:rFonts w:ascii="Verdana" w:hAnsi="Verdana"/>
          <w:bCs/>
          <w:sz w:val="18"/>
          <w:szCs w:val="18"/>
        </w:rPr>
      </w:pPr>
      <w:r w:rsidRPr="00397084">
        <w:rPr>
          <w:rFonts w:ascii="Verdana" w:hAnsi="Verdana"/>
          <w:bCs/>
          <w:sz w:val="18"/>
          <w:szCs w:val="18"/>
        </w:rPr>
        <w:tab/>
      </w:r>
      <w:r w:rsidRPr="00397084">
        <w:rPr>
          <w:rFonts w:ascii="Verdana" w:hAnsi="Verdana"/>
          <w:bCs/>
          <w:sz w:val="18"/>
          <w:szCs w:val="18"/>
        </w:rPr>
        <w:tab/>
      </w:r>
    </w:p>
    <w:p w:rsidR="00AE25CB" w:rsidP="00654798" w:rsidRDefault="51825749" w14:paraId="2A7B3ED1" w14:textId="710391B0">
      <w:pPr>
        <w:tabs>
          <w:tab w:val="left" w:pos="-1440"/>
          <w:tab w:val="left" w:pos="-720"/>
        </w:tabs>
        <w:spacing w:line="240" w:lineRule="atLeast"/>
        <w:ind w:left="284" w:hanging="284"/>
        <w:rPr>
          <w:rFonts w:ascii="Verdana" w:hAnsi="Verdana"/>
          <w:b/>
          <w:bCs/>
          <w:i/>
          <w:iCs/>
          <w:sz w:val="18"/>
          <w:szCs w:val="18"/>
        </w:rPr>
      </w:pPr>
      <w:r w:rsidRPr="51825749">
        <w:rPr>
          <w:rFonts w:ascii="Verdana" w:hAnsi="Verdana"/>
          <w:b/>
          <w:bCs/>
          <w:i/>
          <w:iCs/>
          <w:sz w:val="18"/>
          <w:szCs w:val="18"/>
        </w:rPr>
        <w:t>c. Opbouw</w:t>
      </w:r>
    </w:p>
    <w:p w:rsidRPr="00A30881" w:rsidR="00AE4428" w:rsidP="00654798" w:rsidRDefault="51825749" w14:paraId="76CA948D" w14:textId="77777777">
      <w:pPr>
        <w:spacing w:line="240" w:lineRule="atLeast"/>
      </w:pPr>
      <w:r w:rsidRPr="00A30881">
        <w:t>Deze begroting is opgebouwd uit de volgende beleidsartikelen:</w:t>
      </w:r>
    </w:p>
    <w:p w:rsidRPr="00A30881" w:rsidR="00AE4428" w:rsidP="00654798" w:rsidRDefault="51825749" w14:paraId="29019FA9" w14:textId="5E6DFF9E">
      <w:pPr>
        <w:pStyle w:val="Lijstalinea"/>
        <w:numPr>
          <w:ilvl w:val="0"/>
          <w:numId w:val="19"/>
        </w:numPr>
        <w:spacing w:line="240" w:lineRule="atLeast"/>
      </w:pPr>
      <w:r w:rsidRPr="00A30881">
        <w:t>Artikel 2. Uitgaven ten behoeve van leden en oud-leden Tweede Kamer</w:t>
      </w:r>
      <w:r w:rsidRPr="00A30881" w:rsidR="00906782">
        <w:t>;</w:t>
      </w:r>
    </w:p>
    <w:p w:rsidRPr="00A30881" w:rsidR="00E151E9" w:rsidP="00654798" w:rsidRDefault="51825749" w14:paraId="5E61E0EC" w14:textId="561121AB">
      <w:pPr>
        <w:pStyle w:val="Lijstalinea"/>
        <w:numPr>
          <w:ilvl w:val="0"/>
          <w:numId w:val="19"/>
        </w:numPr>
        <w:spacing w:line="240" w:lineRule="atLeast"/>
      </w:pPr>
      <w:r w:rsidRPr="00A30881">
        <w:t>Artikel 3. Wetgeving en controle Tweede Kamer</w:t>
      </w:r>
      <w:r w:rsidRPr="00A30881" w:rsidR="00906782">
        <w:t>;</w:t>
      </w:r>
    </w:p>
    <w:p w:rsidRPr="00A30881" w:rsidR="00E151E9" w:rsidP="00654798" w:rsidRDefault="51825749" w14:paraId="6BFE9D44" w14:textId="4274EF97">
      <w:pPr>
        <w:pStyle w:val="Lijstalinea"/>
        <w:numPr>
          <w:ilvl w:val="0"/>
          <w:numId w:val="19"/>
        </w:numPr>
        <w:spacing w:line="240" w:lineRule="atLeast"/>
      </w:pPr>
      <w:r w:rsidRPr="00A30881">
        <w:t>Artikel 4. Wetgeving en controle Eerste en Tweede Kamer</w:t>
      </w:r>
      <w:r w:rsidRPr="00A30881" w:rsidR="00906782">
        <w:t>.</w:t>
      </w:r>
    </w:p>
    <w:p w:rsidR="00AE25CB" w:rsidP="00654798" w:rsidRDefault="00AE25CB" w14:paraId="7EB918C5" w14:textId="62D9C884">
      <w:pPr>
        <w:spacing w:line="240" w:lineRule="atLeast"/>
        <w:ind w:left="284" w:hanging="284"/>
        <w:rPr>
          <w:rFonts w:ascii="Verdana" w:hAnsi="Verdana"/>
          <w:b/>
          <w:sz w:val="18"/>
          <w:szCs w:val="18"/>
        </w:rPr>
      </w:pPr>
    </w:p>
    <w:p w:rsidRPr="002F736E" w:rsidR="00E3467E" w:rsidP="00654798" w:rsidRDefault="00E3467E" w14:paraId="57EE51BC" w14:textId="316D191F">
      <w:pPr>
        <w:spacing w:line="240" w:lineRule="atLeast"/>
        <w:ind w:left="284" w:hanging="284"/>
        <w:rPr>
          <w:rFonts w:ascii="Verdana" w:hAnsi="Verdana"/>
          <w:b/>
          <w:i/>
          <w:sz w:val="18"/>
          <w:szCs w:val="18"/>
        </w:rPr>
      </w:pPr>
      <w:r w:rsidRPr="002F736E">
        <w:rPr>
          <w:rFonts w:ascii="Verdana" w:hAnsi="Verdana"/>
          <w:b/>
          <w:i/>
          <w:sz w:val="18"/>
          <w:szCs w:val="18"/>
        </w:rPr>
        <w:t>d. Algemeen begrotingsbeeld</w:t>
      </w:r>
    </w:p>
    <w:p w:rsidRPr="00080AF6" w:rsidR="001A3CEC" w:rsidP="00654798" w:rsidRDefault="00C77781" w14:paraId="7F093236" w14:textId="35039F5E">
      <w:pPr>
        <w:spacing w:line="240" w:lineRule="atLeast"/>
        <w:rPr>
          <w:rFonts w:ascii="Verdana" w:hAnsi="Verdana"/>
          <w:sz w:val="18"/>
          <w:szCs w:val="18"/>
        </w:rPr>
      </w:pPr>
      <w:bookmarkStart w:name="_Hlk188961083" w:id="0"/>
      <w:r w:rsidRPr="00861141">
        <w:rPr>
          <w:rFonts w:ascii="Verdana" w:hAnsi="Verdana"/>
          <w:sz w:val="18"/>
          <w:szCs w:val="18"/>
        </w:rPr>
        <w:t xml:space="preserve">De begroting van de Tweede </w:t>
      </w:r>
      <w:r w:rsidRPr="00861141" w:rsidR="00861141">
        <w:rPr>
          <w:rFonts w:ascii="Verdana" w:hAnsi="Verdana"/>
          <w:sz w:val="18"/>
          <w:szCs w:val="18"/>
        </w:rPr>
        <w:t>Kamer stijgt in</w:t>
      </w:r>
      <w:r w:rsidRPr="00861141">
        <w:rPr>
          <w:rFonts w:ascii="Verdana" w:hAnsi="Verdana"/>
          <w:sz w:val="18"/>
          <w:szCs w:val="18"/>
        </w:rPr>
        <w:t xml:space="preserve"> 202</w:t>
      </w:r>
      <w:r w:rsidR="00CC3D1D">
        <w:rPr>
          <w:rFonts w:ascii="Verdana" w:hAnsi="Verdana"/>
          <w:sz w:val="18"/>
          <w:szCs w:val="18"/>
        </w:rPr>
        <w:t>5</w:t>
      </w:r>
      <w:r w:rsidRPr="00861141">
        <w:rPr>
          <w:rFonts w:ascii="Verdana" w:hAnsi="Verdana"/>
          <w:sz w:val="18"/>
          <w:szCs w:val="18"/>
        </w:rPr>
        <w:t xml:space="preserve"> </w:t>
      </w:r>
      <w:r w:rsidRPr="00080AF6" w:rsidR="00861141">
        <w:rPr>
          <w:rFonts w:ascii="Verdana" w:hAnsi="Verdana"/>
          <w:sz w:val="18"/>
          <w:szCs w:val="18"/>
        </w:rPr>
        <w:t>met</w:t>
      </w:r>
      <w:r w:rsidRPr="00080AF6" w:rsidR="004C105A">
        <w:rPr>
          <w:rFonts w:ascii="Verdana" w:hAnsi="Verdana"/>
          <w:sz w:val="18"/>
          <w:szCs w:val="18"/>
        </w:rPr>
        <w:t xml:space="preserve"> €</w:t>
      </w:r>
      <w:r w:rsidRPr="00080AF6" w:rsidR="00861141">
        <w:rPr>
          <w:rFonts w:ascii="Verdana" w:hAnsi="Verdana"/>
          <w:sz w:val="18"/>
          <w:szCs w:val="18"/>
        </w:rPr>
        <w:t xml:space="preserve"> </w:t>
      </w:r>
      <w:r w:rsidRPr="00080AF6" w:rsidR="001D76C8">
        <w:rPr>
          <w:rFonts w:ascii="Verdana" w:hAnsi="Verdana"/>
          <w:sz w:val="18"/>
          <w:szCs w:val="18"/>
        </w:rPr>
        <w:t>12,2</w:t>
      </w:r>
      <w:r w:rsidRPr="00080AF6" w:rsidR="00E46C1A">
        <w:rPr>
          <w:rFonts w:ascii="Verdana" w:hAnsi="Verdana"/>
          <w:sz w:val="18"/>
          <w:szCs w:val="18"/>
        </w:rPr>
        <w:t xml:space="preserve"> </w:t>
      </w:r>
      <w:r w:rsidRPr="00080AF6" w:rsidR="00861141">
        <w:rPr>
          <w:rFonts w:ascii="Verdana" w:hAnsi="Verdana"/>
          <w:sz w:val="18"/>
          <w:szCs w:val="18"/>
        </w:rPr>
        <w:t xml:space="preserve">mln., bestaande uit circa </w:t>
      </w:r>
    </w:p>
    <w:p w:rsidR="00DD0AC9" w:rsidP="00654798" w:rsidRDefault="0060712C" w14:paraId="511175D5" w14:textId="2D48AB07">
      <w:pPr>
        <w:spacing w:line="240" w:lineRule="atLeast"/>
        <w:rPr>
          <w:rFonts w:ascii="Verdana" w:hAnsi="Verdana"/>
          <w:sz w:val="18"/>
          <w:szCs w:val="18"/>
        </w:rPr>
      </w:pPr>
      <w:r w:rsidRPr="00080AF6">
        <w:rPr>
          <w:rFonts w:ascii="Verdana" w:hAnsi="Verdana"/>
          <w:sz w:val="18"/>
          <w:szCs w:val="18"/>
        </w:rPr>
        <w:t xml:space="preserve">€ </w:t>
      </w:r>
      <w:r w:rsidR="00471FDA">
        <w:rPr>
          <w:rFonts w:ascii="Verdana" w:hAnsi="Verdana"/>
          <w:sz w:val="18"/>
          <w:szCs w:val="18"/>
        </w:rPr>
        <w:t>1</w:t>
      </w:r>
      <w:r w:rsidRPr="00080AF6" w:rsidR="001D76C8">
        <w:rPr>
          <w:rFonts w:ascii="Verdana" w:hAnsi="Verdana"/>
          <w:sz w:val="18"/>
          <w:szCs w:val="18"/>
        </w:rPr>
        <w:t>,</w:t>
      </w:r>
      <w:r w:rsidR="00471FDA">
        <w:rPr>
          <w:rFonts w:ascii="Verdana" w:hAnsi="Verdana"/>
          <w:sz w:val="18"/>
          <w:szCs w:val="18"/>
        </w:rPr>
        <w:t>6</w:t>
      </w:r>
      <w:r w:rsidRPr="00080AF6" w:rsidDel="00471FDA" w:rsidR="00C77781">
        <w:rPr>
          <w:rFonts w:ascii="Verdana" w:hAnsi="Verdana"/>
          <w:sz w:val="18"/>
          <w:szCs w:val="18"/>
        </w:rPr>
        <w:t xml:space="preserve"> </w:t>
      </w:r>
      <w:r w:rsidRPr="00080AF6" w:rsidR="00C77781">
        <w:rPr>
          <w:rFonts w:ascii="Verdana" w:hAnsi="Verdana"/>
          <w:sz w:val="18"/>
          <w:szCs w:val="18"/>
        </w:rPr>
        <w:t>mln.</w:t>
      </w:r>
      <w:r w:rsidRPr="00080AF6" w:rsidR="00861141">
        <w:rPr>
          <w:rFonts w:ascii="Verdana" w:hAnsi="Verdana"/>
          <w:sz w:val="18"/>
          <w:szCs w:val="18"/>
        </w:rPr>
        <w:t xml:space="preserve"> voor de politieke artikelen en </w:t>
      </w:r>
      <w:r w:rsidRPr="00080AF6" w:rsidR="00BC41C8">
        <w:rPr>
          <w:rFonts w:ascii="Verdana" w:hAnsi="Verdana"/>
          <w:sz w:val="18"/>
          <w:szCs w:val="18"/>
        </w:rPr>
        <w:t>circa</w:t>
      </w:r>
      <w:r w:rsidRPr="00080AF6" w:rsidR="00861141">
        <w:rPr>
          <w:rFonts w:ascii="Verdana" w:hAnsi="Verdana"/>
          <w:sz w:val="18"/>
          <w:szCs w:val="18"/>
        </w:rPr>
        <w:t xml:space="preserve"> </w:t>
      </w:r>
      <w:r w:rsidRPr="00080AF6" w:rsidR="00E23AF8">
        <w:rPr>
          <w:rFonts w:ascii="Verdana" w:hAnsi="Verdana"/>
          <w:sz w:val="18"/>
          <w:szCs w:val="18"/>
        </w:rPr>
        <w:t xml:space="preserve">€ </w:t>
      </w:r>
      <w:r w:rsidRPr="00080AF6" w:rsidR="001A3CEC">
        <w:rPr>
          <w:rFonts w:ascii="Verdana" w:hAnsi="Verdana"/>
          <w:sz w:val="18"/>
          <w:szCs w:val="18"/>
        </w:rPr>
        <w:t>1</w:t>
      </w:r>
      <w:r w:rsidR="00471FDA">
        <w:rPr>
          <w:rFonts w:ascii="Verdana" w:hAnsi="Verdana"/>
          <w:sz w:val="18"/>
          <w:szCs w:val="18"/>
        </w:rPr>
        <w:t>0,6</w:t>
      </w:r>
      <w:r w:rsidRPr="00080AF6" w:rsidR="00E46C1A">
        <w:rPr>
          <w:rFonts w:ascii="Verdana" w:hAnsi="Verdana"/>
          <w:sz w:val="18"/>
          <w:szCs w:val="18"/>
        </w:rPr>
        <w:t xml:space="preserve"> </w:t>
      </w:r>
      <w:r w:rsidRPr="00080AF6" w:rsidR="00861141">
        <w:rPr>
          <w:rFonts w:ascii="Verdana" w:hAnsi="Verdana"/>
          <w:sz w:val="18"/>
          <w:szCs w:val="18"/>
        </w:rPr>
        <w:t>mln. voor de ambtelijke artikelen</w:t>
      </w:r>
      <w:r w:rsidRPr="00861141" w:rsidR="00861141">
        <w:rPr>
          <w:rFonts w:ascii="Verdana" w:hAnsi="Verdana"/>
          <w:sz w:val="18"/>
          <w:szCs w:val="18"/>
        </w:rPr>
        <w:t>.</w:t>
      </w:r>
      <w:r w:rsidR="00861141">
        <w:rPr>
          <w:rFonts w:ascii="Verdana" w:hAnsi="Verdana"/>
          <w:sz w:val="18"/>
          <w:szCs w:val="18"/>
        </w:rPr>
        <w:t xml:space="preserve"> </w:t>
      </w:r>
      <w:r w:rsidRPr="008B429B" w:rsidR="008B429B">
        <w:rPr>
          <w:rFonts w:ascii="Verdana" w:hAnsi="Verdana"/>
          <w:sz w:val="18"/>
          <w:szCs w:val="18"/>
        </w:rPr>
        <w:t>Dit ten opzichte van de huidige meerjarenbegroting van de Tweede Kamer (zie tabel 0).</w:t>
      </w:r>
    </w:p>
    <w:p w:rsidR="00DD0AC9" w:rsidP="00654798" w:rsidRDefault="00DD0AC9" w14:paraId="2D26CB7C" w14:textId="76875A49">
      <w:pPr>
        <w:spacing w:line="240" w:lineRule="atLeast"/>
        <w:rPr>
          <w:rFonts w:ascii="Verdana" w:hAnsi="Verdana"/>
          <w:sz w:val="18"/>
          <w:szCs w:val="18"/>
        </w:rPr>
      </w:pPr>
    </w:p>
    <w:p w:rsidR="00080AF6" w:rsidP="00654798" w:rsidRDefault="00861141" w14:paraId="154B13C6" w14:textId="4B01579E">
      <w:pPr>
        <w:spacing w:line="240" w:lineRule="atLeast"/>
        <w:rPr>
          <w:rFonts w:ascii="Verdana" w:hAnsi="Verdana"/>
          <w:sz w:val="18"/>
          <w:szCs w:val="18"/>
        </w:rPr>
      </w:pPr>
      <w:r w:rsidRPr="00080AF6">
        <w:rPr>
          <w:rFonts w:ascii="Verdana" w:hAnsi="Verdana"/>
          <w:sz w:val="18"/>
          <w:szCs w:val="18"/>
        </w:rPr>
        <w:t>De</w:t>
      </w:r>
      <w:r w:rsidR="00080AF6">
        <w:rPr>
          <w:rFonts w:ascii="Verdana" w:hAnsi="Verdana"/>
          <w:sz w:val="18"/>
          <w:szCs w:val="18"/>
        </w:rPr>
        <w:t xml:space="preserve"> lichte</w:t>
      </w:r>
      <w:r w:rsidRPr="00080AF6">
        <w:rPr>
          <w:rFonts w:ascii="Verdana" w:hAnsi="Verdana"/>
          <w:sz w:val="18"/>
          <w:szCs w:val="18"/>
        </w:rPr>
        <w:t xml:space="preserve"> stijging op de politieke artikelen is</w:t>
      </w:r>
      <w:r>
        <w:rPr>
          <w:rFonts w:ascii="Verdana" w:hAnsi="Verdana"/>
          <w:sz w:val="18"/>
          <w:szCs w:val="18"/>
        </w:rPr>
        <w:t xml:space="preserve"> </w:t>
      </w:r>
      <w:r w:rsidR="009F5708">
        <w:rPr>
          <w:rFonts w:ascii="Verdana" w:hAnsi="Verdana"/>
          <w:sz w:val="18"/>
          <w:szCs w:val="18"/>
        </w:rPr>
        <w:t>in 2025</w:t>
      </w:r>
      <w:r w:rsidRPr="00080AF6">
        <w:rPr>
          <w:rFonts w:ascii="Verdana" w:hAnsi="Verdana"/>
          <w:sz w:val="18"/>
          <w:szCs w:val="18"/>
        </w:rPr>
        <w:t xml:space="preserve"> </w:t>
      </w:r>
      <w:r w:rsidR="00080AF6">
        <w:rPr>
          <w:rFonts w:ascii="Verdana" w:hAnsi="Verdana"/>
          <w:sz w:val="18"/>
          <w:szCs w:val="18"/>
        </w:rPr>
        <w:t xml:space="preserve">een gesaldeerde stijging en </w:t>
      </w:r>
      <w:r w:rsidR="00416304">
        <w:rPr>
          <w:rFonts w:ascii="Verdana" w:hAnsi="Verdana"/>
          <w:sz w:val="18"/>
          <w:szCs w:val="18"/>
        </w:rPr>
        <w:t xml:space="preserve">zowel structureel als </w:t>
      </w:r>
      <w:r w:rsidRPr="00080AF6" w:rsidR="0060712C">
        <w:rPr>
          <w:rFonts w:ascii="Verdana" w:hAnsi="Verdana"/>
          <w:sz w:val="18"/>
          <w:szCs w:val="18"/>
        </w:rPr>
        <w:t>incidenteel van aard</w:t>
      </w:r>
      <w:r w:rsidR="000226AA">
        <w:rPr>
          <w:rFonts w:ascii="Verdana" w:hAnsi="Verdana"/>
          <w:sz w:val="18"/>
          <w:szCs w:val="18"/>
        </w:rPr>
        <w:t xml:space="preserve">. </w:t>
      </w:r>
      <w:r w:rsidRPr="00080AF6" w:rsidR="00E23AF8">
        <w:rPr>
          <w:rFonts w:ascii="Verdana" w:hAnsi="Verdana"/>
          <w:sz w:val="18"/>
          <w:szCs w:val="18"/>
        </w:rPr>
        <w:t>Het budget voor de wachtgeldregeling wordt</w:t>
      </w:r>
      <w:r w:rsidR="00E23AF8">
        <w:rPr>
          <w:rFonts w:ascii="Verdana" w:hAnsi="Verdana"/>
          <w:sz w:val="18"/>
          <w:szCs w:val="18"/>
        </w:rPr>
        <w:t xml:space="preserve"> </w:t>
      </w:r>
      <w:r w:rsidR="00080AF6">
        <w:rPr>
          <w:rFonts w:ascii="Verdana" w:hAnsi="Verdana"/>
          <w:sz w:val="18"/>
          <w:szCs w:val="18"/>
        </w:rPr>
        <w:t>minder</w:t>
      </w:r>
      <w:r w:rsidR="00E23AF8">
        <w:rPr>
          <w:rFonts w:ascii="Verdana" w:hAnsi="Verdana"/>
          <w:sz w:val="18"/>
          <w:szCs w:val="18"/>
        </w:rPr>
        <w:t xml:space="preserve"> sterk </w:t>
      </w:r>
      <w:r w:rsidRPr="00080AF6" w:rsidR="00E23AF8">
        <w:rPr>
          <w:rFonts w:ascii="Verdana" w:hAnsi="Verdana"/>
          <w:sz w:val="18"/>
          <w:szCs w:val="18"/>
        </w:rPr>
        <w:t xml:space="preserve">aangesproken door </w:t>
      </w:r>
      <w:r w:rsidR="00080AF6">
        <w:rPr>
          <w:rFonts w:ascii="Verdana" w:hAnsi="Verdana"/>
          <w:sz w:val="18"/>
          <w:szCs w:val="18"/>
        </w:rPr>
        <w:t xml:space="preserve">voormalige </w:t>
      </w:r>
      <w:r w:rsidRPr="00080AF6" w:rsidR="00E23AF8">
        <w:rPr>
          <w:rFonts w:ascii="Verdana" w:hAnsi="Verdana"/>
          <w:sz w:val="18"/>
          <w:szCs w:val="18"/>
        </w:rPr>
        <w:t xml:space="preserve">Kamerleden </w:t>
      </w:r>
      <w:r w:rsidR="00080AF6">
        <w:rPr>
          <w:rFonts w:ascii="Verdana" w:hAnsi="Verdana"/>
          <w:sz w:val="18"/>
          <w:szCs w:val="18"/>
        </w:rPr>
        <w:t>dan aanvankelijk was ingeschat</w:t>
      </w:r>
      <w:r w:rsidRPr="00080AF6" w:rsidR="006A492F">
        <w:rPr>
          <w:rFonts w:ascii="Verdana" w:hAnsi="Verdana"/>
          <w:sz w:val="18"/>
          <w:szCs w:val="18"/>
        </w:rPr>
        <w:t xml:space="preserve">. </w:t>
      </w:r>
      <w:r w:rsidR="00416304">
        <w:rPr>
          <w:rFonts w:ascii="Verdana" w:hAnsi="Verdana"/>
          <w:sz w:val="18"/>
          <w:szCs w:val="18"/>
        </w:rPr>
        <w:t xml:space="preserve">Vandaar dat de raming voor de wachtgelden in </w:t>
      </w:r>
      <w:r w:rsidR="00416304">
        <w:rPr>
          <w:rFonts w:ascii="Verdana" w:hAnsi="Verdana"/>
          <w:sz w:val="18"/>
          <w:szCs w:val="18"/>
        </w:rPr>
        <w:lastRenderedPageBreak/>
        <w:t xml:space="preserve">2025 met € 1,8 mln. incidenteel </w:t>
      </w:r>
      <w:r w:rsidR="00CF7B3E">
        <w:rPr>
          <w:rFonts w:ascii="Verdana" w:hAnsi="Verdana"/>
          <w:sz w:val="18"/>
          <w:szCs w:val="18"/>
        </w:rPr>
        <w:t>kan worden</w:t>
      </w:r>
      <w:r w:rsidR="00171BDC">
        <w:rPr>
          <w:rFonts w:ascii="Verdana" w:hAnsi="Verdana"/>
          <w:sz w:val="18"/>
          <w:szCs w:val="18"/>
        </w:rPr>
        <w:t xml:space="preserve"> verlaagd</w:t>
      </w:r>
      <w:r w:rsidR="00416304">
        <w:rPr>
          <w:rFonts w:ascii="Verdana" w:hAnsi="Verdana"/>
          <w:sz w:val="18"/>
          <w:szCs w:val="18"/>
        </w:rPr>
        <w:t>. In de jaren daarna is al rekening gehouden met een afname van het budget</w:t>
      </w:r>
      <w:r w:rsidR="008B429B">
        <w:rPr>
          <w:rFonts w:ascii="Verdana" w:hAnsi="Verdana"/>
          <w:sz w:val="18"/>
          <w:szCs w:val="18"/>
        </w:rPr>
        <w:t xml:space="preserve"> (zie tabel 1)</w:t>
      </w:r>
      <w:r w:rsidR="00416304">
        <w:rPr>
          <w:rFonts w:ascii="Verdana" w:hAnsi="Verdana"/>
          <w:sz w:val="18"/>
          <w:szCs w:val="18"/>
        </w:rPr>
        <w:t xml:space="preserve">. </w:t>
      </w:r>
    </w:p>
    <w:p w:rsidR="00080AF6" w:rsidP="00654798" w:rsidRDefault="00080AF6" w14:paraId="17E9BA8E" w14:textId="77777777">
      <w:pPr>
        <w:spacing w:line="240" w:lineRule="atLeast"/>
        <w:rPr>
          <w:rFonts w:ascii="Verdana" w:hAnsi="Verdana"/>
          <w:sz w:val="18"/>
          <w:szCs w:val="18"/>
        </w:rPr>
      </w:pPr>
    </w:p>
    <w:p w:rsidR="006E26B8" w:rsidP="00E746B4" w:rsidRDefault="00416304" w14:paraId="2A290ED8" w14:textId="70BCDB5F">
      <w:pPr>
        <w:spacing w:line="240" w:lineRule="atLeast"/>
        <w:rPr>
          <w:rFonts w:ascii="Verdana" w:hAnsi="Verdana"/>
          <w:sz w:val="18"/>
          <w:szCs w:val="18"/>
        </w:rPr>
      </w:pPr>
      <w:r>
        <w:rPr>
          <w:rFonts w:ascii="Verdana" w:hAnsi="Verdana"/>
          <w:sz w:val="18"/>
          <w:szCs w:val="18"/>
        </w:rPr>
        <w:t>H</w:t>
      </w:r>
      <w:r w:rsidRPr="00080AF6" w:rsidR="00DD0AC9">
        <w:rPr>
          <w:rFonts w:ascii="Verdana" w:hAnsi="Verdana"/>
          <w:sz w:val="18"/>
          <w:szCs w:val="18"/>
        </w:rPr>
        <w:t>et budget voor de scha</w:t>
      </w:r>
      <w:r w:rsidRPr="00080AF6" w:rsidR="0076523C">
        <w:rPr>
          <w:rFonts w:ascii="Verdana" w:hAnsi="Verdana"/>
          <w:sz w:val="18"/>
          <w:szCs w:val="18"/>
        </w:rPr>
        <w:t>deloosstelling</w:t>
      </w:r>
      <w:r w:rsidR="0076523C">
        <w:rPr>
          <w:rFonts w:ascii="Verdana" w:hAnsi="Verdana"/>
          <w:sz w:val="18"/>
          <w:szCs w:val="18"/>
        </w:rPr>
        <w:t xml:space="preserve"> </w:t>
      </w:r>
      <w:r>
        <w:rPr>
          <w:rFonts w:ascii="Verdana" w:hAnsi="Verdana"/>
          <w:sz w:val="18"/>
          <w:szCs w:val="18"/>
        </w:rPr>
        <w:t>dient wel</w:t>
      </w:r>
      <w:r w:rsidRPr="00080AF6" w:rsidR="0076523C">
        <w:rPr>
          <w:rFonts w:ascii="Verdana" w:hAnsi="Verdana"/>
          <w:sz w:val="18"/>
          <w:szCs w:val="18"/>
        </w:rPr>
        <w:t xml:space="preserve"> </w:t>
      </w:r>
      <w:r w:rsidRPr="00080AF6" w:rsidR="00DD0AC9">
        <w:rPr>
          <w:rFonts w:ascii="Verdana" w:hAnsi="Verdana"/>
          <w:sz w:val="18"/>
          <w:szCs w:val="18"/>
        </w:rPr>
        <w:t xml:space="preserve">structureel </w:t>
      </w:r>
      <w:r w:rsidRPr="00080AF6" w:rsidR="0076523C">
        <w:rPr>
          <w:rFonts w:ascii="Verdana" w:hAnsi="Verdana"/>
          <w:sz w:val="18"/>
          <w:szCs w:val="18"/>
        </w:rPr>
        <w:t>te worden opgehoogd</w:t>
      </w:r>
      <w:r w:rsidRPr="00080AF6" w:rsidR="00DD0AC9">
        <w:rPr>
          <w:rFonts w:ascii="Verdana" w:hAnsi="Verdana"/>
          <w:sz w:val="18"/>
          <w:szCs w:val="18"/>
        </w:rPr>
        <w:t xml:space="preserve"> </w:t>
      </w:r>
      <w:r>
        <w:rPr>
          <w:rFonts w:ascii="Verdana" w:hAnsi="Verdana"/>
          <w:sz w:val="18"/>
          <w:szCs w:val="18"/>
        </w:rPr>
        <w:t>met € 2,0 mln.</w:t>
      </w:r>
      <w:r w:rsidR="006D7616">
        <w:rPr>
          <w:rFonts w:ascii="Verdana" w:hAnsi="Verdana"/>
          <w:sz w:val="18"/>
          <w:szCs w:val="18"/>
        </w:rPr>
        <w:t xml:space="preserve">, want de </w:t>
      </w:r>
      <w:r w:rsidRPr="006D7616" w:rsidR="006D7616">
        <w:rPr>
          <w:rFonts w:ascii="Verdana" w:hAnsi="Verdana"/>
          <w:sz w:val="18"/>
          <w:szCs w:val="18"/>
        </w:rPr>
        <w:t xml:space="preserve">bezoldigingen en vergoedingen </w:t>
      </w:r>
      <w:r w:rsidR="006D7616">
        <w:rPr>
          <w:rFonts w:ascii="Verdana" w:hAnsi="Verdana"/>
          <w:sz w:val="18"/>
          <w:szCs w:val="18"/>
        </w:rPr>
        <w:t xml:space="preserve">van </w:t>
      </w:r>
      <w:r w:rsidRPr="006D7616" w:rsidR="006D7616">
        <w:rPr>
          <w:rFonts w:ascii="Verdana" w:hAnsi="Verdana"/>
          <w:sz w:val="18"/>
          <w:szCs w:val="18"/>
        </w:rPr>
        <w:t xml:space="preserve">politieke ambtsdragers </w:t>
      </w:r>
      <w:r w:rsidR="006D7616">
        <w:rPr>
          <w:rFonts w:ascii="Verdana" w:hAnsi="Verdana"/>
          <w:sz w:val="18"/>
          <w:szCs w:val="18"/>
        </w:rPr>
        <w:t>zijn in juli 2024 aangepast naar</w:t>
      </w:r>
      <w:r w:rsidRPr="006D7616" w:rsidR="006D7616">
        <w:rPr>
          <w:rFonts w:ascii="Verdana" w:hAnsi="Verdana"/>
          <w:sz w:val="18"/>
          <w:szCs w:val="18"/>
        </w:rPr>
        <w:t xml:space="preserve"> CAO Rijk 2024–2025</w:t>
      </w:r>
      <w:r w:rsidRPr="00080AF6" w:rsidR="00DD0AC9">
        <w:rPr>
          <w:rFonts w:ascii="Verdana" w:hAnsi="Verdana"/>
          <w:sz w:val="18"/>
          <w:szCs w:val="18"/>
        </w:rPr>
        <w:t xml:space="preserve"> </w:t>
      </w:r>
      <w:r w:rsidR="006D7616">
        <w:rPr>
          <w:rFonts w:ascii="Verdana" w:hAnsi="Verdana"/>
          <w:sz w:val="18"/>
          <w:szCs w:val="18"/>
        </w:rPr>
        <w:t>(</w:t>
      </w:r>
      <w:r w:rsidRPr="006D7616" w:rsidR="006D7616">
        <w:rPr>
          <w:rFonts w:ascii="Verdana" w:hAnsi="Verdana"/>
          <w:sz w:val="18"/>
          <w:szCs w:val="18"/>
        </w:rPr>
        <w:t>St</w:t>
      </w:r>
      <w:r w:rsidR="006D7616">
        <w:rPr>
          <w:rFonts w:ascii="Verdana" w:hAnsi="Verdana"/>
          <w:sz w:val="18"/>
          <w:szCs w:val="18"/>
        </w:rPr>
        <w:t>aats</w:t>
      </w:r>
      <w:r w:rsidRPr="006D7616" w:rsidR="006D7616">
        <w:rPr>
          <w:rFonts w:ascii="Verdana" w:hAnsi="Verdana"/>
          <w:sz w:val="18"/>
          <w:szCs w:val="18"/>
        </w:rPr>
        <w:t>c</w:t>
      </w:r>
      <w:r w:rsidR="006D7616">
        <w:rPr>
          <w:rFonts w:ascii="Verdana" w:hAnsi="Verdana"/>
          <w:sz w:val="18"/>
          <w:szCs w:val="18"/>
        </w:rPr>
        <w:t>ou</w:t>
      </w:r>
      <w:r w:rsidRPr="006D7616" w:rsidR="006D7616">
        <w:rPr>
          <w:rFonts w:ascii="Verdana" w:hAnsi="Verdana"/>
          <w:sz w:val="18"/>
          <w:szCs w:val="18"/>
        </w:rPr>
        <w:t>r</w:t>
      </w:r>
      <w:r w:rsidR="006D7616">
        <w:rPr>
          <w:rFonts w:ascii="Verdana" w:hAnsi="Verdana"/>
          <w:sz w:val="18"/>
          <w:szCs w:val="18"/>
        </w:rPr>
        <w:t>an</w:t>
      </w:r>
      <w:r w:rsidRPr="006D7616" w:rsidR="006D7616">
        <w:rPr>
          <w:rFonts w:ascii="Verdana" w:hAnsi="Verdana"/>
          <w:sz w:val="18"/>
          <w:szCs w:val="18"/>
        </w:rPr>
        <w:t>t. 2024, 17611</w:t>
      </w:r>
      <w:r w:rsidR="006D7616">
        <w:rPr>
          <w:rFonts w:ascii="Verdana" w:hAnsi="Verdana"/>
          <w:sz w:val="18"/>
          <w:szCs w:val="18"/>
        </w:rPr>
        <w:t xml:space="preserve">) en deze aanpassingen </w:t>
      </w:r>
      <w:r w:rsidR="009F5708">
        <w:rPr>
          <w:rFonts w:ascii="Verdana" w:hAnsi="Verdana"/>
          <w:sz w:val="18"/>
          <w:szCs w:val="18"/>
        </w:rPr>
        <w:t xml:space="preserve">zorgen voor extra kosten, </w:t>
      </w:r>
      <w:r w:rsidR="006D7616">
        <w:rPr>
          <w:rFonts w:ascii="Verdana" w:hAnsi="Verdana"/>
          <w:sz w:val="18"/>
          <w:szCs w:val="18"/>
        </w:rPr>
        <w:t>namelijk</w:t>
      </w:r>
      <w:r w:rsidDel="009B170A" w:rsidR="006D7616">
        <w:rPr>
          <w:rFonts w:ascii="Verdana" w:hAnsi="Verdana"/>
          <w:sz w:val="18"/>
          <w:szCs w:val="18"/>
        </w:rPr>
        <w:t xml:space="preserve"> </w:t>
      </w:r>
      <w:r w:rsidDel="009B170A" w:rsidR="009F5708">
        <w:rPr>
          <w:rFonts w:ascii="Verdana" w:hAnsi="Verdana"/>
          <w:sz w:val="18"/>
          <w:szCs w:val="18"/>
        </w:rPr>
        <w:t xml:space="preserve"> </w:t>
      </w:r>
      <w:r w:rsidR="009F5708">
        <w:rPr>
          <w:rFonts w:ascii="Verdana" w:hAnsi="Verdana"/>
          <w:sz w:val="18"/>
          <w:szCs w:val="18"/>
        </w:rPr>
        <w:t xml:space="preserve">     </w:t>
      </w:r>
      <w:r w:rsidR="006D7616">
        <w:rPr>
          <w:rFonts w:ascii="Verdana" w:hAnsi="Verdana"/>
          <w:sz w:val="18"/>
          <w:szCs w:val="18"/>
        </w:rPr>
        <w:t>€ 1</w:t>
      </w:r>
      <w:r w:rsidR="009F5708">
        <w:rPr>
          <w:rFonts w:ascii="Verdana" w:hAnsi="Verdana"/>
          <w:sz w:val="18"/>
          <w:szCs w:val="18"/>
        </w:rPr>
        <w:t>,</w:t>
      </w:r>
      <w:r w:rsidR="006D7616">
        <w:rPr>
          <w:rFonts w:ascii="Verdana" w:hAnsi="Verdana"/>
          <w:sz w:val="18"/>
          <w:szCs w:val="18"/>
        </w:rPr>
        <w:t>5 mln. meer</w:t>
      </w:r>
      <w:r w:rsidR="009F5708">
        <w:rPr>
          <w:rFonts w:ascii="Verdana" w:hAnsi="Verdana"/>
          <w:sz w:val="18"/>
          <w:szCs w:val="18"/>
        </w:rPr>
        <w:t xml:space="preserve"> dan nu is begroot</w:t>
      </w:r>
      <w:r w:rsidR="006D7616">
        <w:rPr>
          <w:rFonts w:ascii="Verdana" w:hAnsi="Verdana"/>
          <w:sz w:val="18"/>
          <w:szCs w:val="18"/>
        </w:rPr>
        <w:t xml:space="preserve">. </w:t>
      </w:r>
      <w:r w:rsidR="009B170A">
        <w:rPr>
          <w:rFonts w:ascii="Verdana" w:hAnsi="Verdana"/>
          <w:sz w:val="18"/>
          <w:szCs w:val="18"/>
        </w:rPr>
        <w:t>Hierbij is</w:t>
      </w:r>
      <w:r w:rsidR="006D7616">
        <w:rPr>
          <w:rFonts w:ascii="Verdana" w:hAnsi="Verdana"/>
          <w:sz w:val="18"/>
          <w:szCs w:val="18"/>
        </w:rPr>
        <w:t xml:space="preserve"> ook rekening </w:t>
      </w:r>
      <w:r w:rsidR="009B170A">
        <w:rPr>
          <w:rFonts w:ascii="Verdana" w:hAnsi="Verdana"/>
          <w:sz w:val="18"/>
          <w:szCs w:val="18"/>
        </w:rPr>
        <w:t xml:space="preserve">gehouden </w:t>
      </w:r>
      <w:r w:rsidR="006D7616">
        <w:rPr>
          <w:rFonts w:ascii="Verdana" w:hAnsi="Verdana"/>
          <w:sz w:val="18"/>
          <w:szCs w:val="18"/>
        </w:rPr>
        <w:t>met een hogere</w:t>
      </w:r>
      <w:r w:rsidRPr="00080AF6" w:rsidR="00DD0AC9">
        <w:rPr>
          <w:rFonts w:ascii="Verdana" w:hAnsi="Verdana"/>
          <w:sz w:val="18"/>
          <w:szCs w:val="18"/>
        </w:rPr>
        <w:t xml:space="preserve"> </w:t>
      </w:r>
      <w:r w:rsidRPr="00080AF6" w:rsidR="0088081A">
        <w:rPr>
          <w:rFonts w:ascii="Verdana" w:hAnsi="Verdana"/>
          <w:sz w:val="18"/>
          <w:szCs w:val="18"/>
        </w:rPr>
        <w:t>eindheffing</w:t>
      </w:r>
      <w:r w:rsidRPr="00080AF6" w:rsidR="00DD0AC9">
        <w:rPr>
          <w:rFonts w:ascii="Verdana" w:hAnsi="Verdana"/>
          <w:sz w:val="18"/>
          <w:szCs w:val="18"/>
        </w:rPr>
        <w:t xml:space="preserve"> van</w:t>
      </w:r>
      <w:r w:rsidR="006D7616">
        <w:rPr>
          <w:rFonts w:ascii="Verdana" w:hAnsi="Verdana"/>
          <w:sz w:val="18"/>
          <w:szCs w:val="18"/>
        </w:rPr>
        <w:t>uit</w:t>
      </w:r>
      <w:r w:rsidR="00DD0AC9">
        <w:rPr>
          <w:rFonts w:ascii="Verdana" w:hAnsi="Verdana"/>
          <w:sz w:val="18"/>
          <w:szCs w:val="18"/>
        </w:rPr>
        <w:t xml:space="preserve"> </w:t>
      </w:r>
      <w:r w:rsidRPr="00080AF6" w:rsidR="00DD0AC9">
        <w:rPr>
          <w:rFonts w:ascii="Verdana" w:hAnsi="Verdana"/>
          <w:sz w:val="18"/>
          <w:szCs w:val="18"/>
        </w:rPr>
        <w:t>de Werkkostenregeling</w:t>
      </w:r>
      <w:r w:rsidR="00DD0AC9">
        <w:rPr>
          <w:rFonts w:ascii="Verdana" w:hAnsi="Verdana"/>
          <w:sz w:val="18"/>
          <w:szCs w:val="18"/>
        </w:rPr>
        <w:t xml:space="preserve">. </w:t>
      </w:r>
      <w:r w:rsidR="009B170A">
        <w:rPr>
          <w:rFonts w:ascii="Verdana" w:hAnsi="Verdana"/>
          <w:sz w:val="18"/>
          <w:szCs w:val="18"/>
        </w:rPr>
        <w:t xml:space="preserve">De </w:t>
      </w:r>
      <w:r w:rsidR="009F5708">
        <w:rPr>
          <w:rFonts w:ascii="Verdana" w:hAnsi="Verdana"/>
          <w:sz w:val="18"/>
          <w:szCs w:val="18"/>
        </w:rPr>
        <w:t>verwacht</w:t>
      </w:r>
      <w:r w:rsidR="009B170A">
        <w:rPr>
          <w:rFonts w:ascii="Verdana" w:hAnsi="Verdana"/>
          <w:sz w:val="18"/>
          <w:szCs w:val="18"/>
        </w:rPr>
        <w:t xml:space="preserve">ing is dat </w:t>
      </w:r>
      <w:r w:rsidR="009F5708">
        <w:rPr>
          <w:rFonts w:ascii="Verdana" w:hAnsi="Verdana"/>
          <w:sz w:val="18"/>
          <w:szCs w:val="18"/>
        </w:rPr>
        <w:t xml:space="preserve">€ 0,5 mln. meer budget benodigd </w:t>
      </w:r>
      <w:r w:rsidR="009B170A">
        <w:rPr>
          <w:rFonts w:ascii="Verdana" w:hAnsi="Verdana"/>
          <w:sz w:val="18"/>
          <w:szCs w:val="18"/>
        </w:rPr>
        <w:t>is</w:t>
      </w:r>
      <w:r w:rsidR="009F5708">
        <w:rPr>
          <w:rFonts w:ascii="Verdana" w:hAnsi="Verdana"/>
          <w:sz w:val="18"/>
          <w:szCs w:val="18"/>
        </w:rPr>
        <w:t xml:space="preserve"> dan nu is geraamd voor deze eindheffing</w:t>
      </w:r>
      <w:r w:rsidRPr="006E6B98" w:rsidR="009F5708">
        <w:rPr>
          <w:rFonts w:ascii="Verdana" w:hAnsi="Verdana"/>
          <w:sz w:val="18"/>
          <w:szCs w:val="18"/>
        </w:rPr>
        <w:t xml:space="preserve">. </w:t>
      </w:r>
      <w:r w:rsidRPr="006E6B98" w:rsidR="004565E0">
        <w:rPr>
          <w:rFonts w:ascii="Verdana" w:hAnsi="Verdana"/>
          <w:sz w:val="18"/>
          <w:szCs w:val="18"/>
        </w:rPr>
        <w:t>In 2025 betreft</w:t>
      </w:r>
      <w:r w:rsidRPr="006E6B98" w:rsidDel="009B170A" w:rsidR="009F5708">
        <w:rPr>
          <w:rFonts w:ascii="Verdana" w:hAnsi="Verdana"/>
          <w:sz w:val="18"/>
          <w:szCs w:val="18"/>
        </w:rPr>
        <w:t xml:space="preserve"> dit </w:t>
      </w:r>
      <w:r w:rsidRPr="006E6B98" w:rsidR="004565E0">
        <w:rPr>
          <w:rFonts w:ascii="Verdana" w:hAnsi="Verdana"/>
          <w:sz w:val="18"/>
          <w:szCs w:val="18"/>
        </w:rPr>
        <w:t>gesaldeerd</w:t>
      </w:r>
      <w:r w:rsidRPr="006E6B98" w:rsidDel="009B170A" w:rsidR="009F5708">
        <w:rPr>
          <w:rFonts w:ascii="Verdana" w:hAnsi="Verdana"/>
          <w:sz w:val="18"/>
          <w:szCs w:val="18"/>
        </w:rPr>
        <w:t xml:space="preserve"> een </w:t>
      </w:r>
      <w:r w:rsidRPr="006E6B98" w:rsidR="004565E0">
        <w:rPr>
          <w:rFonts w:ascii="Verdana" w:hAnsi="Verdana"/>
          <w:sz w:val="18"/>
          <w:szCs w:val="18"/>
        </w:rPr>
        <w:t>bijstelling</w:t>
      </w:r>
      <w:r w:rsidRPr="006E6B98" w:rsidDel="009B170A" w:rsidR="009F5708">
        <w:rPr>
          <w:rFonts w:ascii="Verdana" w:hAnsi="Verdana"/>
          <w:sz w:val="18"/>
          <w:szCs w:val="18"/>
        </w:rPr>
        <w:t xml:space="preserve"> van € 0,2 mln.</w:t>
      </w:r>
      <w:r w:rsidR="008B429B">
        <w:rPr>
          <w:rFonts w:ascii="Verdana" w:hAnsi="Verdana"/>
          <w:sz w:val="18"/>
          <w:szCs w:val="18"/>
        </w:rPr>
        <w:t xml:space="preserve"> (zie tabel 1).</w:t>
      </w:r>
    </w:p>
    <w:p w:rsidR="006E26B8" w:rsidP="00E746B4" w:rsidRDefault="006E26B8" w14:paraId="0AE3EFD5" w14:textId="77777777">
      <w:pPr>
        <w:spacing w:line="240" w:lineRule="atLeast"/>
        <w:rPr>
          <w:rFonts w:ascii="Verdana" w:hAnsi="Verdana"/>
          <w:sz w:val="18"/>
          <w:szCs w:val="18"/>
        </w:rPr>
      </w:pPr>
    </w:p>
    <w:p w:rsidR="009E61AA" w:rsidP="009E61AA" w:rsidRDefault="009E61AA" w14:paraId="2EF7C066" w14:textId="766307E8">
      <w:pPr>
        <w:spacing w:line="240" w:lineRule="atLeast"/>
        <w:rPr>
          <w:rFonts w:ascii="Verdana" w:hAnsi="Verdana"/>
          <w:sz w:val="18"/>
          <w:szCs w:val="18"/>
        </w:rPr>
      </w:pPr>
      <w:r w:rsidRPr="00F94854">
        <w:rPr>
          <w:rFonts w:ascii="Verdana" w:hAnsi="Verdana"/>
          <w:sz w:val="18"/>
          <w:szCs w:val="18"/>
        </w:rPr>
        <w:t xml:space="preserve">De Staten-Generaal organiseert </w:t>
      </w:r>
      <w:r>
        <w:rPr>
          <w:rFonts w:ascii="Verdana" w:hAnsi="Verdana"/>
          <w:sz w:val="18"/>
          <w:szCs w:val="18"/>
        </w:rPr>
        <w:t>in juli 2026 de jaarlijkse vergadering (“</w:t>
      </w:r>
      <w:proofErr w:type="spellStart"/>
      <w:r>
        <w:rPr>
          <w:rFonts w:ascii="Verdana" w:hAnsi="Verdana"/>
          <w:sz w:val="18"/>
          <w:szCs w:val="18"/>
        </w:rPr>
        <w:t>Annual</w:t>
      </w:r>
      <w:proofErr w:type="spellEnd"/>
      <w:r>
        <w:rPr>
          <w:rFonts w:ascii="Verdana" w:hAnsi="Verdana"/>
          <w:sz w:val="18"/>
          <w:szCs w:val="18"/>
        </w:rPr>
        <w:t xml:space="preserve"> </w:t>
      </w:r>
      <w:proofErr w:type="spellStart"/>
      <w:r>
        <w:rPr>
          <w:rFonts w:ascii="Verdana" w:hAnsi="Verdana"/>
          <w:sz w:val="18"/>
          <w:szCs w:val="18"/>
        </w:rPr>
        <w:t>Session</w:t>
      </w:r>
      <w:proofErr w:type="spellEnd"/>
      <w:r>
        <w:rPr>
          <w:rFonts w:ascii="Verdana" w:hAnsi="Verdana"/>
          <w:sz w:val="18"/>
          <w:szCs w:val="18"/>
        </w:rPr>
        <w:t>”) in Nederland van de</w:t>
      </w:r>
      <w:r w:rsidRPr="00F94854">
        <w:rPr>
          <w:rFonts w:ascii="Verdana" w:hAnsi="Verdana"/>
          <w:sz w:val="18"/>
          <w:szCs w:val="18"/>
        </w:rPr>
        <w:t xml:space="preserve"> </w:t>
      </w:r>
      <w:r>
        <w:rPr>
          <w:rFonts w:ascii="Verdana" w:hAnsi="Verdana"/>
          <w:sz w:val="18"/>
          <w:szCs w:val="18"/>
        </w:rPr>
        <w:t>OVSE (</w:t>
      </w:r>
      <w:r w:rsidRPr="00F94854">
        <w:rPr>
          <w:rFonts w:ascii="Verdana" w:hAnsi="Verdana"/>
          <w:sz w:val="18"/>
          <w:szCs w:val="18"/>
        </w:rPr>
        <w:t>Organisatie voor Veiligheid en Samenwerking in Europa</w:t>
      </w:r>
      <w:r>
        <w:rPr>
          <w:rFonts w:ascii="Verdana" w:hAnsi="Verdana"/>
          <w:sz w:val="18"/>
          <w:szCs w:val="18"/>
        </w:rPr>
        <w:t xml:space="preserve">) Parlementaire </w:t>
      </w:r>
      <w:r w:rsidRPr="00F94854">
        <w:rPr>
          <w:rFonts w:ascii="Verdana" w:hAnsi="Verdana"/>
          <w:sz w:val="18"/>
          <w:szCs w:val="18"/>
        </w:rPr>
        <w:t>Assemblee</w:t>
      </w:r>
      <w:r>
        <w:rPr>
          <w:rFonts w:ascii="Verdana" w:hAnsi="Verdana"/>
          <w:sz w:val="18"/>
          <w:szCs w:val="18"/>
        </w:rPr>
        <w:t xml:space="preserve">. </w:t>
      </w:r>
      <w:r w:rsidRPr="00F94854">
        <w:rPr>
          <w:rFonts w:ascii="Verdana" w:hAnsi="Verdana"/>
          <w:sz w:val="18"/>
          <w:szCs w:val="18"/>
        </w:rPr>
        <w:t>Het betreft een vijfdaags vergadercongres voor ongeveer 700 deelnemers. Hiervoor zijn incidenteel middelen nodig. In 2025 is € 1,4 mln. hiervoor geraamd en in 2026 bedraagt dit ca € 3 mln.</w:t>
      </w:r>
      <w:r w:rsidRPr="009B170A">
        <w:rPr>
          <w:rFonts w:ascii="Verdana" w:hAnsi="Verdana"/>
          <w:sz w:val="18"/>
          <w:szCs w:val="18"/>
        </w:rPr>
        <w:t xml:space="preserve"> </w:t>
      </w:r>
      <w:r w:rsidR="008B429B">
        <w:rPr>
          <w:rFonts w:ascii="Verdana" w:hAnsi="Verdana"/>
          <w:sz w:val="18"/>
          <w:szCs w:val="18"/>
        </w:rPr>
        <w:t>(zie tabel 5).</w:t>
      </w:r>
    </w:p>
    <w:p w:rsidRPr="00080AF6" w:rsidR="00861141" w:rsidP="00654798" w:rsidRDefault="00861141" w14:paraId="1FA51051" w14:textId="77777777">
      <w:pPr>
        <w:spacing w:line="240" w:lineRule="atLeast"/>
        <w:rPr>
          <w:rFonts w:ascii="Verdana" w:hAnsi="Verdana"/>
          <w:sz w:val="18"/>
          <w:szCs w:val="18"/>
        </w:rPr>
      </w:pPr>
    </w:p>
    <w:p w:rsidRPr="00080AF6" w:rsidR="00FB6A8E" w:rsidP="00654798" w:rsidRDefault="00FB6A8E" w14:paraId="4F68279B" w14:textId="5FEE5550">
      <w:pPr>
        <w:spacing w:line="240" w:lineRule="atLeast"/>
        <w:rPr>
          <w:rFonts w:ascii="Verdana" w:hAnsi="Verdana"/>
          <w:sz w:val="18"/>
          <w:szCs w:val="18"/>
        </w:rPr>
      </w:pPr>
      <w:r w:rsidRPr="00080AF6">
        <w:rPr>
          <w:rFonts w:ascii="Verdana" w:hAnsi="Verdana"/>
          <w:sz w:val="18"/>
          <w:szCs w:val="18"/>
        </w:rPr>
        <w:t>Op de ambtelijke artikelen is in 202</w:t>
      </w:r>
      <w:r w:rsidR="009F5708">
        <w:rPr>
          <w:rFonts w:ascii="Verdana" w:hAnsi="Verdana"/>
          <w:sz w:val="18"/>
          <w:szCs w:val="18"/>
        </w:rPr>
        <w:t>5</w:t>
      </w:r>
      <w:r w:rsidRPr="00080AF6">
        <w:rPr>
          <w:rFonts w:ascii="Verdana" w:hAnsi="Verdana"/>
          <w:sz w:val="18"/>
          <w:szCs w:val="18"/>
        </w:rPr>
        <w:t xml:space="preserve"> € </w:t>
      </w:r>
      <w:r w:rsidR="0035081D">
        <w:rPr>
          <w:rFonts w:ascii="Verdana" w:hAnsi="Verdana"/>
          <w:sz w:val="18"/>
          <w:szCs w:val="18"/>
        </w:rPr>
        <w:t>10</w:t>
      </w:r>
      <w:r w:rsidRPr="00080AF6" w:rsidR="001A3CEC">
        <w:rPr>
          <w:rFonts w:ascii="Verdana" w:hAnsi="Verdana"/>
          <w:sz w:val="18"/>
          <w:szCs w:val="18"/>
        </w:rPr>
        <w:t>,</w:t>
      </w:r>
      <w:r w:rsidR="0035081D">
        <w:rPr>
          <w:rFonts w:ascii="Verdana" w:hAnsi="Verdana"/>
          <w:sz w:val="18"/>
          <w:szCs w:val="18"/>
        </w:rPr>
        <w:t>6</w:t>
      </w:r>
      <w:r w:rsidR="009F5708">
        <w:rPr>
          <w:rFonts w:ascii="Verdana" w:hAnsi="Verdana"/>
          <w:sz w:val="18"/>
          <w:szCs w:val="18"/>
        </w:rPr>
        <w:t>0</w:t>
      </w:r>
      <w:r w:rsidRPr="00080AF6" w:rsidR="00E46C1A">
        <w:rPr>
          <w:rFonts w:ascii="Verdana" w:hAnsi="Verdana"/>
          <w:sz w:val="18"/>
          <w:szCs w:val="18"/>
        </w:rPr>
        <w:t xml:space="preserve"> </w:t>
      </w:r>
      <w:r w:rsidRPr="00080AF6">
        <w:rPr>
          <w:rFonts w:ascii="Verdana" w:hAnsi="Verdana"/>
          <w:sz w:val="18"/>
          <w:szCs w:val="18"/>
        </w:rPr>
        <w:t>mln. aanvullend budget nodig voor</w:t>
      </w:r>
      <w:r w:rsidRPr="00080AF6" w:rsidR="00EF0275">
        <w:rPr>
          <w:rFonts w:ascii="Verdana" w:hAnsi="Verdana"/>
          <w:sz w:val="18"/>
          <w:szCs w:val="18"/>
        </w:rPr>
        <w:t xml:space="preserve"> </w:t>
      </w:r>
      <w:r w:rsidR="00806AC0">
        <w:rPr>
          <w:rFonts w:ascii="Verdana" w:hAnsi="Verdana"/>
          <w:sz w:val="18"/>
          <w:szCs w:val="18"/>
        </w:rPr>
        <w:t>het effect van het h</w:t>
      </w:r>
      <w:r w:rsidRPr="00806AC0" w:rsidR="00806AC0">
        <w:rPr>
          <w:rFonts w:ascii="Verdana" w:hAnsi="Verdana"/>
          <w:sz w:val="18"/>
          <w:szCs w:val="18"/>
        </w:rPr>
        <w:t>oofdlijnenakkoord</w:t>
      </w:r>
      <w:r w:rsidR="00806AC0">
        <w:rPr>
          <w:rFonts w:ascii="Verdana" w:hAnsi="Verdana"/>
          <w:sz w:val="18"/>
          <w:szCs w:val="18"/>
        </w:rPr>
        <w:t>, v</w:t>
      </w:r>
      <w:r w:rsidRPr="00080AF6" w:rsidR="00EF0275">
        <w:rPr>
          <w:rFonts w:ascii="Verdana" w:hAnsi="Verdana"/>
          <w:sz w:val="18"/>
          <w:szCs w:val="18"/>
        </w:rPr>
        <w:t>eiligheid</w:t>
      </w:r>
      <w:r w:rsidR="00806AC0">
        <w:rPr>
          <w:rFonts w:ascii="Verdana" w:hAnsi="Verdana"/>
          <w:sz w:val="18"/>
          <w:szCs w:val="18"/>
        </w:rPr>
        <w:t xml:space="preserve"> en de benodigde modernisering</w:t>
      </w:r>
      <w:r w:rsidR="004A3F8C">
        <w:rPr>
          <w:rFonts w:ascii="Verdana" w:hAnsi="Verdana"/>
          <w:sz w:val="18"/>
          <w:szCs w:val="18"/>
        </w:rPr>
        <w:t>sslag</w:t>
      </w:r>
      <w:r w:rsidR="00806AC0">
        <w:rPr>
          <w:rFonts w:ascii="Verdana" w:hAnsi="Verdana"/>
          <w:sz w:val="18"/>
          <w:szCs w:val="18"/>
        </w:rPr>
        <w:t xml:space="preserve"> van onze</w:t>
      </w:r>
      <w:r w:rsidRPr="00080AF6" w:rsidR="00EF0275">
        <w:rPr>
          <w:rFonts w:ascii="Verdana" w:hAnsi="Verdana"/>
          <w:sz w:val="18"/>
          <w:szCs w:val="18"/>
        </w:rPr>
        <w:t xml:space="preserve"> automatisering</w:t>
      </w:r>
      <w:r w:rsidR="00806AC0">
        <w:rPr>
          <w:rFonts w:ascii="Verdana" w:hAnsi="Verdana"/>
          <w:sz w:val="18"/>
          <w:szCs w:val="18"/>
        </w:rPr>
        <w:t>somgeving</w:t>
      </w:r>
      <w:r w:rsidRPr="00080AF6" w:rsidR="00EF0275">
        <w:rPr>
          <w:rFonts w:ascii="Verdana" w:hAnsi="Verdana"/>
          <w:sz w:val="18"/>
          <w:szCs w:val="18"/>
        </w:rPr>
        <w:t xml:space="preserve">. </w:t>
      </w:r>
      <w:r w:rsidR="00806AC0">
        <w:rPr>
          <w:rFonts w:ascii="Verdana" w:hAnsi="Verdana"/>
          <w:sz w:val="18"/>
          <w:szCs w:val="18"/>
        </w:rPr>
        <w:t xml:space="preserve">Het merendeel van de € </w:t>
      </w:r>
      <w:r w:rsidR="0035081D">
        <w:rPr>
          <w:rFonts w:ascii="Verdana" w:hAnsi="Verdana"/>
          <w:sz w:val="18"/>
          <w:szCs w:val="18"/>
        </w:rPr>
        <w:t>10</w:t>
      </w:r>
      <w:r w:rsidR="00806AC0">
        <w:rPr>
          <w:rFonts w:ascii="Verdana" w:hAnsi="Verdana"/>
          <w:sz w:val="18"/>
          <w:szCs w:val="18"/>
        </w:rPr>
        <w:t>,</w:t>
      </w:r>
      <w:r w:rsidR="0035081D">
        <w:rPr>
          <w:rFonts w:ascii="Verdana" w:hAnsi="Verdana"/>
          <w:sz w:val="18"/>
          <w:szCs w:val="18"/>
        </w:rPr>
        <w:t>6</w:t>
      </w:r>
      <w:r w:rsidR="00806AC0">
        <w:rPr>
          <w:rFonts w:ascii="Verdana" w:hAnsi="Verdana"/>
          <w:sz w:val="18"/>
          <w:szCs w:val="18"/>
        </w:rPr>
        <w:t xml:space="preserve"> mln. bestaat dan ook uit incidentele uitgaves (investeringen) </w:t>
      </w:r>
      <w:r w:rsidRPr="00806AC0" w:rsidR="00806AC0">
        <w:rPr>
          <w:rFonts w:ascii="Verdana" w:hAnsi="Verdana"/>
          <w:sz w:val="18"/>
          <w:szCs w:val="18"/>
        </w:rPr>
        <w:t>voor de uitvoering van beveiligingsmaatregelen</w:t>
      </w:r>
      <w:r w:rsidR="00806AC0">
        <w:rPr>
          <w:rFonts w:ascii="Verdana" w:hAnsi="Verdana"/>
          <w:sz w:val="18"/>
          <w:szCs w:val="18"/>
        </w:rPr>
        <w:t xml:space="preserve"> en </w:t>
      </w:r>
      <w:r w:rsidRPr="00806AC0" w:rsidR="00806AC0">
        <w:rPr>
          <w:rFonts w:ascii="Verdana" w:hAnsi="Verdana"/>
          <w:sz w:val="18"/>
          <w:szCs w:val="18"/>
        </w:rPr>
        <w:t xml:space="preserve">beheercontracten </w:t>
      </w:r>
      <w:r w:rsidR="00806AC0">
        <w:rPr>
          <w:rFonts w:ascii="Verdana" w:hAnsi="Verdana"/>
          <w:sz w:val="18"/>
          <w:szCs w:val="18"/>
        </w:rPr>
        <w:t>van nieuwe</w:t>
      </w:r>
      <w:r w:rsidRPr="00806AC0" w:rsidR="00806AC0">
        <w:rPr>
          <w:rFonts w:ascii="Verdana" w:hAnsi="Verdana"/>
          <w:sz w:val="18"/>
          <w:szCs w:val="18"/>
        </w:rPr>
        <w:t xml:space="preserve"> werkplekken</w:t>
      </w:r>
      <w:r w:rsidR="00806AC0">
        <w:rPr>
          <w:rFonts w:ascii="Verdana" w:hAnsi="Verdana"/>
          <w:sz w:val="18"/>
          <w:szCs w:val="18"/>
        </w:rPr>
        <w:t xml:space="preserve">. Een beperkt deel werkt structureel door in de toekomstige jaren en dat heeft meer betrekking op de extra formatie die nodig is voor </w:t>
      </w:r>
      <w:r w:rsidR="004A3F8C">
        <w:rPr>
          <w:rFonts w:ascii="Verdana" w:hAnsi="Verdana"/>
          <w:sz w:val="18"/>
          <w:szCs w:val="18"/>
        </w:rPr>
        <w:t xml:space="preserve">het bieden van ondersteuning aan de </w:t>
      </w:r>
      <w:r w:rsidR="00806AC0">
        <w:rPr>
          <w:rFonts w:ascii="Verdana" w:hAnsi="Verdana"/>
          <w:sz w:val="18"/>
          <w:szCs w:val="18"/>
        </w:rPr>
        <w:t>vier nieuwe commissies, waarvan drie voor vast en één tijdelijke commissie</w:t>
      </w:r>
      <w:r w:rsidR="008B429B">
        <w:rPr>
          <w:rFonts w:ascii="Verdana" w:hAnsi="Verdana"/>
          <w:sz w:val="18"/>
          <w:szCs w:val="18"/>
        </w:rPr>
        <w:t xml:space="preserve"> (zie tabel 4)</w:t>
      </w:r>
      <w:r w:rsidR="00806AC0">
        <w:rPr>
          <w:rFonts w:ascii="Verdana" w:hAnsi="Verdana"/>
          <w:sz w:val="18"/>
          <w:szCs w:val="18"/>
        </w:rPr>
        <w:t xml:space="preserve">. </w:t>
      </w:r>
    </w:p>
    <w:bookmarkEnd w:id="0"/>
    <w:p w:rsidRPr="00080AF6" w:rsidR="00FB6A8E" w:rsidP="00654798" w:rsidRDefault="00FB6A8E" w14:paraId="175A8886" w14:textId="77777777">
      <w:pPr>
        <w:spacing w:line="240" w:lineRule="atLeast"/>
        <w:rPr>
          <w:rFonts w:ascii="Verdana" w:hAnsi="Verdana"/>
          <w:sz w:val="18"/>
          <w:szCs w:val="18"/>
        </w:rPr>
      </w:pPr>
    </w:p>
    <w:p w:rsidR="00C77781" w:rsidP="00654798" w:rsidRDefault="00C77781" w14:paraId="4BBE8461" w14:textId="336D86CC">
      <w:pPr>
        <w:spacing w:line="240" w:lineRule="atLeast"/>
        <w:rPr>
          <w:rFonts w:ascii="Verdana" w:hAnsi="Verdana"/>
          <w:sz w:val="18"/>
          <w:szCs w:val="18"/>
        </w:rPr>
      </w:pPr>
      <w:r w:rsidRPr="00080AF6">
        <w:rPr>
          <w:rFonts w:ascii="Verdana" w:hAnsi="Verdana"/>
          <w:sz w:val="18"/>
          <w:szCs w:val="18"/>
        </w:rPr>
        <w:t>De fluctuaties in de meerj</w:t>
      </w:r>
      <w:r w:rsidRPr="00080AF6" w:rsidR="00805332">
        <w:rPr>
          <w:rFonts w:ascii="Verdana" w:hAnsi="Verdana"/>
          <w:sz w:val="18"/>
          <w:szCs w:val="18"/>
        </w:rPr>
        <w:t>arenbegroting in de periode</w:t>
      </w:r>
      <w:r w:rsidRPr="00080AF6" w:rsidR="006B44E4">
        <w:rPr>
          <w:rFonts w:ascii="Verdana" w:hAnsi="Verdana"/>
          <w:sz w:val="18"/>
          <w:szCs w:val="18"/>
        </w:rPr>
        <w:t xml:space="preserve"> na </w:t>
      </w:r>
      <w:r w:rsidRPr="00080AF6" w:rsidR="00805332">
        <w:rPr>
          <w:rFonts w:ascii="Verdana" w:hAnsi="Verdana"/>
          <w:sz w:val="18"/>
          <w:szCs w:val="18"/>
        </w:rPr>
        <w:t>202</w:t>
      </w:r>
      <w:r w:rsidR="00805332">
        <w:rPr>
          <w:rFonts w:ascii="Verdana" w:hAnsi="Verdana"/>
          <w:sz w:val="18"/>
          <w:szCs w:val="18"/>
        </w:rPr>
        <w:t>5</w:t>
      </w:r>
      <w:r w:rsidRPr="00080AF6" w:rsidR="006B44E4">
        <w:rPr>
          <w:rFonts w:ascii="Verdana" w:hAnsi="Verdana"/>
          <w:sz w:val="18"/>
          <w:szCs w:val="18"/>
        </w:rPr>
        <w:t xml:space="preserve"> (</w:t>
      </w:r>
      <w:r w:rsidRPr="00080AF6" w:rsidR="00805332">
        <w:rPr>
          <w:rFonts w:ascii="Verdana" w:hAnsi="Verdana"/>
          <w:sz w:val="18"/>
          <w:szCs w:val="18"/>
        </w:rPr>
        <w:t>202</w:t>
      </w:r>
      <w:r w:rsidR="004A3F8C">
        <w:rPr>
          <w:rFonts w:ascii="Verdana" w:hAnsi="Verdana"/>
          <w:sz w:val="18"/>
          <w:szCs w:val="18"/>
        </w:rPr>
        <w:t>6</w:t>
      </w:r>
      <w:r w:rsidRPr="00080AF6" w:rsidR="00805332">
        <w:rPr>
          <w:rFonts w:ascii="Verdana" w:hAnsi="Verdana"/>
          <w:sz w:val="18"/>
          <w:szCs w:val="18"/>
        </w:rPr>
        <w:t>-20</w:t>
      </w:r>
      <w:r w:rsidR="004A3F8C">
        <w:rPr>
          <w:rFonts w:ascii="Verdana" w:hAnsi="Verdana"/>
          <w:sz w:val="18"/>
          <w:szCs w:val="18"/>
        </w:rPr>
        <w:t>30</w:t>
      </w:r>
      <w:r w:rsidRPr="00080AF6" w:rsidR="006B44E4">
        <w:rPr>
          <w:rFonts w:ascii="Verdana" w:hAnsi="Verdana"/>
          <w:sz w:val="18"/>
          <w:szCs w:val="18"/>
        </w:rPr>
        <w:t>)</w:t>
      </w:r>
      <w:r w:rsidRPr="00080AF6">
        <w:rPr>
          <w:rFonts w:ascii="Verdana" w:hAnsi="Verdana"/>
          <w:sz w:val="18"/>
          <w:szCs w:val="18"/>
        </w:rPr>
        <w:t xml:space="preserve"> worden verklaard door </w:t>
      </w:r>
      <w:r w:rsidRPr="00080AF6" w:rsidR="00805332">
        <w:rPr>
          <w:rFonts w:ascii="Verdana" w:hAnsi="Verdana"/>
          <w:sz w:val="18"/>
          <w:szCs w:val="18"/>
        </w:rPr>
        <w:t xml:space="preserve">structurele en </w:t>
      </w:r>
      <w:r w:rsidRPr="00080AF6">
        <w:rPr>
          <w:rFonts w:ascii="Verdana" w:hAnsi="Verdana"/>
          <w:sz w:val="18"/>
          <w:szCs w:val="18"/>
        </w:rPr>
        <w:t>incidentele uitgaven. In onderstaande tabel is het cijfermatig</w:t>
      </w:r>
      <w:r w:rsidRPr="00080AF6" w:rsidR="006E2B2F">
        <w:rPr>
          <w:rFonts w:ascii="Verdana" w:hAnsi="Verdana"/>
          <w:sz w:val="18"/>
          <w:szCs w:val="18"/>
        </w:rPr>
        <w:t>e</w:t>
      </w:r>
      <w:r w:rsidRPr="00080AF6">
        <w:rPr>
          <w:rFonts w:ascii="Verdana" w:hAnsi="Verdana"/>
          <w:sz w:val="18"/>
          <w:szCs w:val="18"/>
        </w:rPr>
        <w:t xml:space="preserve"> be</w:t>
      </w:r>
      <w:r w:rsidRPr="00080AF6" w:rsidR="006B44E4">
        <w:rPr>
          <w:rFonts w:ascii="Verdana" w:hAnsi="Verdana"/>
          <w:sz w:val="18"/>
          <w:szCs w:val="18"/>
        </w:rPr>
        <w:t>eld opgenomen en vervolgens wordt dit</w:t>
      </w:r>
      <w:r w:rsidRPr="00080AF6">
        <w:rPr>
          <w:rFonts w:ascii="Verdana" w:hAnsi="Verdana"/>
          <w:sz w:val="18"/>
          <w:szCs w:val="18"/>
        </w:rPr>
        <w:t xml:space="preserve"> per artikel (</w:t>
      </w:r>
      <w:r w:rsidRPr="00080AF6" w:rsidR="00E22E90">
        <w:rPr>
          <w:rFonts w:ascii="Verdana" w:hAnsi="Verdana"/>
          <w:sz w:val="18"/>
          <w:szCs w:val="18"/>
        </w:rPr>
        <w:t>-</w:t>
      </w:r>
      <w:r w:rsidRPr="00080AF6" w:rsidR="006B44E4">
        <w:rPr>
          <w:rFonts w:ascii="Verdana" w:hAnsi="Verdana"/>
          <w:sz w:val="18"/>
          <w:szCs w:val="18"/>
        </w:rPr>
        <w:t>onderdeel) toegelicht</w:t>
      </w:r>
      <w:r w:rsidRPr="00080AF6">
        <w:rPr>
          <w:rFonts w:ascii="Verdana" w:hAnsi="Verdana"/>
          <w:sz w:val="18"/>
          <w:szCs w:val="18"/>
        </w:rPr>
        <w:t>.</w:t>
      </w:r>
      <w:r w:rsidRPr="008B429B" w:rsidR="008B429B">
        <w:rPr>
          <w:color w:val="000000"/>
          <w:sz w:val="27"/>
          <w:szCs w:val="27"/>
        </w:rPr>
        <w:t xml:space="preserve"> </w:t>
      </w:r>
      <w:r w:rsidRPr="008B429B" w:rsidR="008B429B">
        <w:rPr>
          <w:rFonts w:ascii="Verdana" w:hAnsi="Verdana"/>
          <w:sz w:val="18"/>
          <w:szCs w:val="18"/>
        </w:rPr>
        <w:t xml:space="preserve">Het gewijzigde en nieuwe </w:t>
      </w:r>
      <w:proofErr w:type="spellStart"/>
      <w:r w:rsidRPr="008B429B" w:rsidR="008B429B">
        <w:rPr>
          <w:rFonts w:ascii="Verdana" w:hAnsi="Verdana"/>
          <w:sz w:val="18"/>
          <w:szCs w:val="18"/>
        </w:rPr>
        <w:t>meerjarenbeeld</w:t>
      </w:r>
      <w:proofErr w:type="spellEnd"/>
      <w:r w:rsidRPr="008B429B" w:rsidR="008B429B">
        <w:rPr>
          <w:rFonts w:ascii="Verdana" w:hAnsi="Verdana"/>
          <w:sz w:val="18"/>
          <w:szCs w:val="18"/>
        </w:rPr>
        <w:t xml:space="preserve"> is opgenomen onder de bijlage Dwarsstaat (stuknummer 2).</w:t>
      </w:r>
    </w:p>
    <w:p w:rsidR="0019566D" w:rsidP="00654798" w:rsidRDefault="0019566D" w14:paraId="5A3EB4D5" w14:textId="5B18746D">
      <w:pPr>
        <w:spacing w:line="240" w:lineRule="atLeast"/>
        <w:rPr>
          <w:rFonts w:ascii="Verdana" w:hAnsi="Verdana"/>
          <w:sz w:val="18"/>
          <w:szCs w:val="18"/>
        </w:rPr>
      </w:pPr>
    </w:p>
    <w:p w:rsidRPr="006E6B98" w:rsidR="0019566D" w:rsidP="00654798" w:rsidRDefault="0019566D" w14:paraId="450B7122" w14:textId="1D82A31D">
      <w:pPr>
        <w:spacing w:line="240" w:lineRule="atLeast"/>
        <w:rPr>
          <w:rFonts w:ascii="Verdana" w:hAnsi="Verdana"/>
          <w:sz w:val="18"/>
          <w:szCs w:val="18"/>
        </w:rPr>
      </w:pPr>
      <w:r w:rsidRPr="006E6B98">
        <w:rPr>
          <w:rFonts w:ascii="Verdana" w:hAnsi="Verdana" w:cs="Calibri"/>
          <w:i/>
          <w:color w:val="000000"/>
          <w:sz w:val="18"/>
          <w:szCs w:val="18"/>
        </w:rPr>
        <w:t>Tabel 0 Algemeen begrotingsbeeld</w:t>
      </w:r>
    </w:p>
    <w:tbl>
      <w:tblPr>
        <w:tblW w:w="10116" w:type="dxa"/>
        <w:tblCellMar>
          <w:left w:w="70" w:type="dxa"/>
          <w:right w:w="70" w:type="dxa"/>
        </w:tblCellMar>
        <w:tblLook w:val="04A0" w:firstRow="1" w:lastRow="0" w:firstColumn="1" w:lastColumn="0" w:noHBand="0" w:noVBand="1"/>
      </w:tblPr>
      <w:tblGrid>
        <w:gridCol w:w="4524"/>
        <w:gridCol w:w="973"/>
        <w:gridCol w:w="973"/>
        <w:gridCol w:w="973"/>
        <w:gridCol w:w="973"/>
        <w:gridCol w:w="973"/>
        <w:gridCol w:w="973"/>
      </w:tblGrid>
      <w:tr w:rsidRPr="00171BDC" w:rsidR="00171BDC" w:rsidTr="00171BDC" w14:paraId="0B0E3996" w14:textId="77777777">
        <w:trPr>
          <w:trHeight w:val="329"/>
        </w:trPr>
        <w:tc>
          <w:tcPr>
            <w:tcW w:w="4524" w:type="dxa"/>
            <w:tcBorders>
              <w:top w:val="nil"/>
              <w:left w:val="nil"/>
              <w:bottom w:val="nil"/>
              <w:right w:val="nil"/>
            </w:tcBorders>
            <w:shd w:val="clear" w:color="000000" w:fill="002060"/>
            <w:noWrap/>
            <w:vAlign w:val="center"/>
            <w:hideMark/>
          </w:tcPr>
          <w:p w:rsidRPr="00171BDC" w:rsidR="00171BDC" w:rsidP="00171BDC" w:rsidRDefault="00171BDC" w14:paraId="0C32CA5B" w14:textId="77777777">
            <w:pPr>
              <w:rPr>
                <w:rFonts w:ascii="Verdana" w:hAnsi="Verdana" w:cs="Calibri"/>
                <w:b/>
                <w:bCs/>
                <w:color w:val="FFFFFF"/>
                <w:sz w:val="18"/>
                <w:szCs w:val="18"/>
              </w:rPr>
            </w:pPr>
            <w:r w:rsidRPr="00171BDC">
              <w:rPr>
                <w:rFonts w:ascii="Verdana" w:hAnsi="Verdana" w:cs="Calibri"/>
                <w:b/>
                <w:bCs/>
                <w:color w:val="FFFFFF"/>
                <w:sz w:val="18"/>
                <w:szCs w:val="18"/>
              </w:rPr>
              <w:t>Begroting uitgaven</w:t>
            </w:r>
          </w:p>
        </w:tc>
        <w:tc>
          <w:tcPr>
            <w:tcW w:w="930" w:type="dxa"/>
            <w:vMerge w:val="restart"/>
            <w:tcBorders>
              <w:top w:val="nil"/>
              <w:left w:val="nil"/>
              <w:bottom w:val="nil"/>
              <w:right w:val="nil"/>
            </w:tcBorders>
            <w:shd w:val="clear" w:color="000000" w:fill="002060"/>
            <w:noWrap/>
            <w:vAlign w:val="center"/>
            <w:hideMark/>
          </w:tcPr>
          <w:p w:rsidRPr="00171BDC" w:rsidR="00171BDC" w:rsidP="00171BDC" w:rsidRDefault="00171BDC" w14:paraId="1389C619" w14:textId="77777777">
            <w:pPr>
              <w:jc w:val="center"/>
              <w:rPr>
                <w:rFonts w:ascii="Verdana" w:hAnsi="Verdana" w:cs="Calibri"/>
                <w:b/>
                <w:bCs/>
                <w:color w:val="FFFFFF"/>
                <w:sz w:val="18"/>
                <w:szCs w:val="18"/>
              </w:rPr>
            </w:pPr>
            <w:r w:rsidRPr="00171BDC">
              <w:rPr>
                <w:rFonts w:ascii="Verdana" w:hAnsi="Verdana" w:cs="Calibri"/>
                <w:b/>
                <w:bCs/>
                <w:color w:val="FFFFFF"/>
                <w:sz w:val="18"/>
                <w:szCs w:val="18"/>
              </w:rPr>
              <w:t>2025</w:t>
            </w:r>
          </w:p>
        </w:tc>
        <w:tc>
          <w:tcPr>
            <w:tcW w:w="930" w:type="dxa"/>
            <w:vMerge w:val="restart"/>
            <w:tcBorders>
              <w:top w:val="nil"/>
              <w:left w:val="nil"/>
              <w:bottom w:val="nil"/>
              <w:right w:val="nil"/>
            </w:tcBorders>
            <w:shd w:val="clear" w:color="000000" w:fill="002060"/>
            <w:noWrap/>
            <w:vAlign w:val="center"/>
            <w:hideMark/>
          </w:tcPr>
          <w:p w:rsidRPr="00171BDC" w:rsidR="00171BDC" w:rsidP="00171BDC" w:rsidRDefault="00171BDC" w14:paraId="27817A09" w14:textId="77777777">
            <w:pPr>
              <w:jc w:val="center"/>
              <w:rPr>
                <w:rFonts w:ascii="Verdana" w:hAnsi="Verdana" w:cs="Calibri"/>
                <w:b/>
                <w:bCs/>
                <w:color w:val="FFFFFF"/>
                <w:sz w:val="18"/>
                <w:szCs w:val="18"/>
              </w:rPr>
            </w:pPr>
            <w:r w:rsidRPr="00171BDC">
              <w:rPr>
                <w:rFonts w:ascii="Verdana" w:hAnsi="Verdana" w:cs="Calibri"/>
                <w:b/>
                <w:bCs/>
                <w:color w:val="FFFFFF"/>
                <w:sz w:val="18"/>
                <w:szCs w:val="18"/>
              </w:rPr>
              <w:t>2026</w:t>
            </w:r>
          </w:p>
        </w:tc>
        <w:tc>
          <w:tcPr>
            <w:tcW w:w="930" w:type="dxa"/>
            <w:vMerge w:val="restart"/>
            <w:tcBorders>
              <w:top w:val="nil"/>
              <w:left w:val="nil"/>
              <w:bottom w:val="nil"/>
              <w:right w:val="nil"/>
            </w:tcBorders>
            <w:shd w:val="clear" w:color="000000" w:fill="002060"/>
            <w:noWrap/>
            <w:vAlign w:val="center"/>
            <w:hideMark/>
          </w:tcPr>
          <w:p w:rsidRPr="00171BDC" w:rsidR="00171BDC" w:rsidP="00171BDC" w:rsidRDefault="00171BDC" w14:paraId="2D3373A7" w14:textId="77777777">
            <w:pPr>
              <w:jc w:val="center"/>
              <w:rPr>
                <w:rFonts w:ascii="Verdana" w:hAnsi="Verdana" w:cs="Calibri"/>
                <w:b/>
                <w:bCs/>
                <w:color w:val="FFFFFF"/>
                <w:sz w:val="18"/>
                <w:szCs w:val="18"/>
              </w:rPr>
            </w:pPr>
            <w:r w:rsidRPr="00171BDC">
              <w:rPr>
                <w:rFonts w:ascii="Verdana" w:hAnsi="Verdana" w:cs="Calibri"/>
                <w:b/>
                <w:bCs/>
                <w:color w:val="FFFFFF"/>
                <w:sz w:val="18"/>
                <w:szCs w:val="18"/>
              </w:rPr>
              <w:t>2027</w:t>
            </w:r>
          </w:p>
        </w:tc>
        <w:tc>
          <w:tcPr>
            <w:tcW w:w="930" w:type="dxa"/>
            <w:vMerge w:val="restart"/>
            <w:tcBorders>
              <w:top w:val="nil"/>
              <w:left w:val="nil"/>
              <w:bottom w:val="nil"/>
              <w:right w:val="nil"/>
            </w:tcBorders>
            <w:shd w:val="clear" w:color="000000" w:fill="002060"/>
            <w:noWrap/>
            <w:vAlign w:val="center"/>
            <w:hideMark/>
          </w:tcPr>
          <w:p w:rsidRPr="00171BDC" w:rsidR="00171BDC" w:rsidP="00171BDC" w:rsidRDefault="00171BDC" w14:paraId="29E892FA" w14:textId="77777777">
            <w:pPr>
              <w:jc w:val="center"/>
              <w:rPr>
                <w:rFonts w:ascii="Verdana" w:hAnsi="Verdana" w:cs="Calibri"/>
                <w:b/>
                <w:bCs/>
                <w:color w:val="FFFFFF"/>
                <w:sz w:val="18"/>
                <w:szCs w:val="18"/>
              </w:rPr>
            </w:pPr>
            <w:r w:rsidRPr="00171BDC">
              <w:rPr>
                <w:rFonts w:ascii="Verdana" w:hAnsi="Verdana" w:cs="Calibri"/>
                <w:b/>
                <w:bCs/>
                <w:color w:val="FFFFFF"/>
                <w:sz w:val="18"/>
                <w:szCs w:val="18"/>
              </w:rPr>
              <w:t>2028</w:t>
            </w:r>
          </w:p>
        </w:tc>
        <w:tc>
          <w:tcPr>
            <w:tcW w:w="930" w:type="dxa"/>
            <w:vMerge w:val="restart"/>
            <w:tcBorders>
              <w:top w:val="nil"/>
              <w:left w:val="nil"/>
              <w:bottom w:val="nil"/>
              <w:right w:val="nil"/>
            </w:tcBorders>
            <w:shd w:val="clear" w:color="000000" w:fill="002060"/>
            <w:noWrap/>
            <w:vAlign w:val="center"/>
            <w:hideMark/>
          </w:tcPr>
          <w:p w:rsidRPr="00171BDC" w:rsidR="00171BDC" w:rsidP="00171BDC" w:rsidRDefault="00171BDC" w14:paraId="5A5B5B55" w14:textId="77777777">
            <w:pPr>
              <w:jc w:val="center"/>
              <w:rPr>
                <w:rFonts w:ascii="Verdana" w:hAnsi="Verdana" w:cs="Calibri"/>
                <w:b/>
                <w:bCs/>
                <w:color w:val="FFFFFF"/>
                <w:sz w:val="18"/>
                <w:szCs w:val="18"/>
              </w:rPr>
            </w:pPr>
            <w:r w:rsidRPr="00171BDC">
              <w:rPr>
                <w:rFonts w:ascii="Verdana" w:hAnsi="Verdana" w:cs="Calibri"/>
                <w:b/>
                <w:bCs/>
                <w:color w:val="FFFFFF"/>
                <w:sz w:val="18"/>
                <w:szCs w:val="18"/>
              </w:rPr>
              <w:t>2029</w:t>
            </w:r>
          </w:p>
        </w:tc>
        <w:tc>
          <w:tcPr>
            <w:tcW w:w="942" w:type="dxa"/>
            <w:vMerge w:val="restart"/>
            <w:tcBorders>
              <w:top w:val="nil"/>
              <w:left w:val="nil"/>
              <w:bottom w:val="nil"/>
              <w:right w:val="nil"/>
            </w:tcBorders>
            <w:shd w:val="clear" w:color="000000" w:fill="002060"/>
            <w:noWrap/>
            <w:vAlign w:val="center"/>
            <w:hideMark/>
          </w:tcPr>
          <w:p w:rsidRPr="00171BDC" w:rsidR="00171BDC" w:rsidP="00171BDC" w:rsidRDefault="00171BDC" w14:paraId="7DCBB5E6" w14:textId="77777777">
            <w:pPr>
              <w:jc w:val="center"/>
              <w:rPr>
                <w:rFonts w:ascii="Verdana" w:hAnsi="Verdana" w:cs="Calibri"/>
                <w:b/>
                <w:bCs/>
                <w:color w:val="FFFFFF"/>
                <w:sz w:val="18"/>
                <w:szCs w:val="18"/>
              </w:rPr>
            </w:pPr>
            <w:r w:rsidRPr="00171BDC">
              <w:rPr>
                <w:rFonts w:ascii="Verdana" w:hAnsi="Verdana" w:cs="Calibri"/>
                <w:b/>
                <w:bCs/>
                <w:color w:val="FFFFFF"/>
                <w:sz w:val="18"/>
                <w:szCs w:val="18"/>
              </w:rPr>
              <w:t>2030</w:t>
            </w:r>
          </w:p>
        </w:tc>
      </w:tr>
      <w:tr w:rsidRPr="00171BDC" w:rsidR="00171BDC" w:rsidTr="00171BDC" w14:paraId="3D6F600E" w14:textId="77777777">
        <w:trPr>
          <w:trHeight w:val="329"/>
        </w:trPr>
        <w:tc>
          <w:tcPr>
            <w:tcW w:w="4524" w:type="dxa"/>
            <w:tcBorders>
              <w:top w:val="nil"/>
              <w:left w:val="nil"/>
              <w:bottom w:val="nil"/>
              <w:right w:val="nil"/>
            </w:tcBorders>
            <w:shd w:val="clear" w:color="000000" w:fill="002060"/>
            <w:noWrap/>
            <w:vAlign w:val="center"/>
            <w:hideMark/>
          </w:tcPr>
          <w:p w:rsidRPr="00171BDC" w:rsidR="00171BDC" w:rsidP="00171BDC" w:rsidRDefault="00171BDC" w14:paraId="3BC3DAE0" w14:textId="77777777">
            <w:pPr>
              <w:rPr>
                <w:rFonts w:ascii="Verdana" w:hAnsi="Verdana" w:cs="Calibri"/>
                <w:b/>
                <w:bCs/>
                <w:color w:val="FFFFFF"/>
                <w:sz w:val="18"/>
                <w:szCs w:val="18"/>
              </w:rPr>
            </w:pPr>
            <w:r w:rsidRPr="00171BDC">
              <w:rPr>
                <w:rFonts w:ascii="Verdana" w:hAnsi="Verdana" w:cs="Calibri"/>
                <w:b/>
                <w:bCs/>
                <w:color w:val="FFFFFF"/>
                <w:sz w:val="18"/>
                <w:szCs w:val="18"/>
              </w:rPr>
              <w:t>artikelen 2, 3 en 4 (in €1.000)</w:t>
            </w:r>
          </w:p>
        </w:tc>
        <w:tc>
          <w:tcPr>
            <w:tcW w:w="930" w:type="dxa"/>
            <w:vMerge/>
            <w:tcBorders>
              <w:top w:val="nil"/>
              <w:left w:val="nil"/>
              <w:bottom w:val="nil"/>
              <w:right w:val="nil"/>
            </w:tcBorders>
            <w:vAlign w:val="center"/>
            <w:hideMark/>
          </w:tcPr>
          <w:p w:rsidRPr="00171BDC" w:rsidR="00171BDC" w:rsidP="00171BDC" w:rsidRDefault="00171BDC" w14:paraId="63B0A3BB" w14:textId="77777777">
            <w:pPr>
              <w:rPr>
                <w:rFonts w:ascii="Verdana" w:hAnsi="Verdana" w:cs="Calibri"/>
                <w:b/>
                <w:bCs/>
                <w:color w:val="FFFFFF"/>
                <w:sz w:val="18"/>
                <w:szCs w:val="18"/>
              </w:rPr>
            </w:pPr>
          </w:p>
        </w:tc>
        <w:tc>
          <w:tcPr>
            <w:tcW w:w="930" w:type="dxa"/>
            <w:vMerge/>
            <w:tcBorders>
              <w:top w:val="nil"/>
              <w:left w:val="nil"/>
              <w:bottom w:val="nil"/>
              <w:right w:val="nil"/>
            </w:tcBorders>
            <w:vAlign w:val="center"/>
            <w:hideMark/>
          </w:tcPr>
          <w:p w:rsidRPr="00171BDC" w:rsidR="00171BDC" w:rsidP="00171BDC" w:rsidRDefault="00171BDC" w14:paraId="0A862D68" w14:textId="77777777">
            <w:pPr>
              <w:rPr>
                <w:rFonts w:ascii="Verdana" w:hAnsi="Verdana" w:cs="Calibri"/>
                <w:b/>
                <w:bCs/>
                <w:color w:val="FFFFFF"/>
                <w:sz w:val="18"/>
                <w:szCs w:val="18"/>
              </w:rPr>
            </w:pPr>
          </w:p>
        </w:tc>
        <w:tc>
          <w:tcPr>
            <w:tcW w:w="930" w:type="dxa"/>
            <w:vMerge/>
            <w:tcBorders>
              <w:top w:val="nil"/>
              <w:left w:val="nil"/>
              <w:bottom w:val="nil"/>
              <w:right w:val="nil"/>
            </w:tcBorders>
            <w:vAlign w:val="center"/>
            <w:hideMark/>
          </w:tcPr>
          <w:p w:rsidRPr="00171BDC" w:rsidR="00171BDC" w:rsidP="00171BDC" w:rsidRDefault="00171BDC" w14:paraId="5888948B" w14:textId="77777777">
            <w:pPr>
              <w:rPr>
                <w:rFonts w:ascii="Verdana" w:hAnsi="Verdana" w:cs="Calibri"/>
                <w:b/>
                <w:bCs/>
                <w:color w:val="FFFFFF"/>
                <w:sz w:val="18"/>
                <w:szCs w:val="18"/>
              </w:rPr>
            </w:pPr>
          </w:p>
        </w:tc>
        <w:tc>
          <w:tcPr>
            <w:tcW w:w="930" w:type="dxa"/>
            <w:vMerge/>
            <w:tcBorders>
              <w:top w:val="nil"/>
              <w:left w:val="nil"/>
              <w:bottom w:val="nil"/>
              <w:right w:val="nil"/>
            </w:tcBorders>
            <w:vAlign w:val="center"/>
            <w:hideMark/>
          </w:tcPr>
          <w:p w:rsidRPr="00171BDC" w:rsidR="00171BDC" w:rsidP="00171BDC" w:rsidRDefault="00171BDC" w14:paraId="0AB78752" w14:textId="77777777">
            <w:pPr>
              <w:rPr>
                <w:rFonts w:ascii="Verdana" w:hAnsi="Verdana" w:cs="Calibri"/>
                <w:b/>
                <w:bCs/>
                <w:color w:val="FFFFFF"/>
                <w:sz w:val="18"/>
                <w:szCs w:val="18"/>
              </w:rPr>
            </w:pPr>
          </w:p>
        </w:tc>
        <w:tc>
          <w:tcPr>
            <w:tcW w:w="930" w:type="dxa"/>
            <w:vMerge/>
            <w:tcBorders>
              <w:top w:val="nil"/>
              <w:left w:val="nil"/>
              <w:bottom w:val="nil"/>
              <w:right w:val="nil"/>
            </w:tcBorders>
            <w:vAlign w:val="center"/>
            <w:hideMark/>
          </w:tcPr>
          <w:p w:rsidRPr="00171BDC" w:rsidR="00171BDC" w:rsidP="00171BDC" w:rsidRDefault="00171BDC" w14:paraId="3DCEFAB4" w14:textId="77777777">
            <w:pPr>
              <w:rPr>
                <w:rFonts w:ascii="Verdana" w:hAnsi="Verdana" w:cs="Calibri"/>
                <w:b/>
                <w:bCs/>
                <w:color w:val="FFFFFF"/>
                <w:sz w:val="18"/>
                <w:szCs w:val="18"/>
              </w:rPr>
            </w:pPr>
          </w:p>
        </w:tc>
        <w:tc>
          <w:tcPr>
            <w:tcW w:w="942" w:type="dxa"/>
            <w:vMerge/>
            <w:tcBorders>
              <w:top w:val="nil"/>
              <w:left w:val="nil"/>
              <w:bottom w:val="nil"/>
              <w:right w:val="nil"/>
            </w:tcBorders>
            <w:vAlign w:val="center"/>
            <w:hideMark/>
          </w:tcPr>
          <w:p w:rsidRPr="00171BDC" w:rsidR="00171BDC" w:rsidP="00171BDC" w:rsidRDefault="00171BDC" w14:paraId="4874A1C8" w14:textId="77777777">
            <w:pPr>
              <w:rPr>
                <w:rFonts w:ascii="Verdana" w:hAnsi="Verdana" w:cs="Calibri"/>
                <w:b/>
                <w:bCs/>
                <w:color w:val="FFFFFF"/>
                <w:sz w:val="18"/>
                <w:szCs w:val="18"/>
              </w:rPr>
            </w:pPr>
          </w:p>
        </w:tc>
      </w:tr>
      <w:tr w:rsidRPr="00171BDC" w:rsidR="00171BDC" w:rsidTr="00171BDC" w14:paraId="1944D26E"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74C4D03A" w14:textId="77777777">
            <w:pPr>
              <w:rPr>
                <w:rFonts w:ascii="Verdana" w:hAnsi="Verdana" w:cs="Calibri"/>
                <w:color w:val="000000"/>
                <w:sz w:val="18"/>
                <w:szCs w:val="18"/>
              </w:rPr>
            </w:pPr>
            <w:r w:rsidRPr="00171BDC">
              <w:rPr>
                <w:rFonts w:ascii="Verdana" w:hAnsi="Verdana" w:cs="Calibri"/>
                <w:color w:val="000000"/>
                <w:sz w:val="18"/>
                <w:szCs w:val="18"/>
              </w:rPr>
              <w:t>Huidige meerjarenbegroting</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3D75246D" w14:textId="77777777">
            <w:pPr>
              <w:jc w:val="right"/>
              <w:rPr>
                <w:rFonts w:ascii="Verdana" w:hAnsi="Verdana" w:cs="Calibri"/>
                <w:color w:val="000000"/>
                <w:sz w:val="18"/>
                <w:szCs w:val="18"/>
              </w:rPr>
            </w:pPr>
            <w:r w:rsidRPr="00171BDC">
              <w:rPr>
                <w:rFonts w:ascii="Verdana" w:hAnsi="Verdana" w:cs="Calibri"/>
                <w:color w:val="000000"/>
                <w:sz w:val="18"/>
                <w:szCs w:val="18"/>
              </w:rPr>
              <w:t>241.105</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2033E0B" w14:textId="77777777">
            <w:pPr>
              <w:jc w:val="right"/>
              <w:rPr>
                <w:rFonts w:ascii="Verdana" w:hAnsi="Verdana" w:cs="Calibri"/>
                <w:color w:val="000000"/>
                <w:sz w:val="18"/>
                <w:szCs w:val="18"/>
              </w:rPr>
            </w:pPr>
            <w:r w:rsidRPr="00171BDC">
              <w:rPr>
                <w:rFonts w:ascii="Verdana" w:hAnsi="Verdana" w:cs="Calibri"/>
                <w:color w:val="000000"/>
                <w:sz w:val="18"/>
                <w:szCs w:val="18"/>
              </w:rPr>
              <w:t>235.075</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616FFAAB" w14:textId="77777777">
            <w:pPr>
              <w:jc w:val="right"/>
              <w:rPr>
                <w:rFonts w:ascii="Verdana" w:hAnsi="Verdana" w:cs="Calibri"/>
                <w:color w:val="000000"/>
                <w:sz w:val="18"/>
                <w:szCs w:val="18"/>
              </w:rPr>
            </w:pPr>
            <w:r w:rsidRPr="00171BDC">
              <w:rPr>
                <w:rFonts w:ascii="Verdana" w:hAnsi="Verdana" w:cs="Calibri"/>
                <w:color w:val="000000"/>
                <w:sz w:val="18"/>
                <w:szCs w:val="18"/>
              </w:rPr>
              <w:t>228.350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1FF067B0" w14:textId="77777777">
            <w:pPr>
              <w:jc w:val="right"/>
              <w:rPr>
                <w:rFonts w:ascii="Verdana" w:hAnsi="Verdana" w:cs="Calibri"/>
                <w:color w:val="000000"/>
                <w:sz w:val="18"/>
                <w:szCs w:val="18"/>
              </w:rPr>
            </w:pPr>
            <w:r w:rsidRPr="00171BDC">
              <w:rPr>
                <w:rFonts w:ascii="Verdana" w:hAnsi="Verdana" w:cs="Calibri"/>
                <w:color w:val="000000"/>
                <w:sz w:val="18"/>
                <w:szCs w:val="18"/>
              </w:rPr>
              <w:t>241.116</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64C67E30" w14:textId="77777777">
            <w:pPr>
              <w:jc w:val="right"/>
              <w:rPr>
                <w:rFonts w:ascii="Verdana" w:hAnsi="Verdana" w:cs="Calibri"/>
                <w:color w:val="000000"/>
                <w:sz w:val="18"/>
                <w:szCs w:val="18"/>
              </w:rPr>
            </w:pPr>
            <w:r w:rsidRPr="00171BDC">
              <w:rPr>
                <w:rFonts w:ascii="Verdana" w:hAnsi="Verdana" w:cs="Calibri"/>
                <w:color w:val="000000"/>
                <w:sz w:val="18"/>
                <w:szCs w:val="18"/>
              </w:rPr>
              <w:t>226.399</w:t>
            </w:r>
          </w:p>
        </w:tc>
        <w:tc>
          <w:tcPr>
            <w:tcW w:w="942" w:type="dxa"/>
            <w:tcBorders>
              <w:top w:val="nil"/>
              <w:left w:val="nil"/>
              <w:bottom w:val="nil"/>
              <w:right w:val="nil"/>
            </w:tcBorders>
            <w:shd w:val="clear" w:color="auto" w:fill="auto"/>
            <w:noWrap/>
            <w:vAlign w:val="center"/>
            <w:hideMark/>
          </w:tcPr>
          <w:p w:rsidRPr="00171BDC" w:rsidR="00171BDC" w:rsidP="00171BDC" w:rsidRDefault="00171BDC" w14:paraId="2DE3DA92" w14:textId="77777777">
            <w:pPr>
              <w:jc w:val="right"/>
              <w:rPr>
                <w:rFonts w:ascii="Verdana" w:hAnsi="Verdana" w:cs="Calibri"/>
                <w:color w:val="000000"/>
                <w:sz w:val="18"/>
                <w:szCs w:val="18"/>
              </w:rPr>
            </w:pPr>
            <w:r w:rsidRPr="00171BDC">
              <w:rPr>
                <w:rFonts w:ascii="Verdana" w:hAnsi="Verdana" w:cs="Calibri"/>
                <w:color w:val="000000"/>
                <w:sz w:val="18"/>
                <w:szCs w:val="18"/>
              </w:rPr>
              <w:t>224.899</w:t>
            </w:r>
          </w:p>
        </w:tc>
      </w:tr>
      <w:tr w:rsidRPr="00171BDC" w:rsidR="00171BDC" w:rsidTr="00171BDC" w14:paraId="68E24896" w14:textId="77777777">
        <w:trPr>
          <w:trHeight w:val="329"/>
        </w:trPr>
        <w:tc>
          <w:tcPr>
            <w:tcW w:w="4524" w:type="dxa"/>
            <w:tcBorders>
              <w:top w:val="nil"/>
              <w:left w:val="nil"/>
              <w:bottom w:val="nil"/>
              <w:right w:val="nil"/>
            </w:tcBorders>
            <w:shd w:val="clear" w:color="auto" w:fill="auto"/>
            <w:vAlign w:val="center"/>
            <w:hideMark/>
          </w:tcPr>
          <w:p w:rsidRPr="00171BDC" w:rsidR="00171BDC" w:rsidP="00171BDC" w:rsidRDefault="00171BDC" w14:paraId="00499311" w14:textId="77777777">
            <w:pPr>
              <w:rPr>
                <w:rFonts w:ascii="Verdana" w:hAnsi="Verdana" w:cs="Calibri"/>
                <w:i/>
                <w:iCs/>
                <w:color w:val="000000"/>
                <w:sz w:val="18"/>
                <w:szCs w:val="18"/>
              </w:rPr>
            </w:pPr>
            <w:r w:rsidRPr="00171BDC">
              <w:rPr>
                <w:rFonts w:ascii="Verdana" w:hAnsi="Verdana" w:cs="Calibri"/>
                <w:i/>
                <w:iCs/>
                <w:color w:val="000000"/>
                <w:sz w:val="18"/>
                <w:szCs w:val="18"/>
              </w:rPr>
              <w:t>Mutaties Voorjaarsnota 2025</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219BA322" w14:textId="77777777">
            <w:pPr>
              <w:rPr>
                <w:rFonts w:ascii="Verdana" w:hAnsi="Verdana" w:cs="Calibri"/>
                <w:i/>
                <w:iCs/>
                <w:color w:val="000000"/>
                <w:sz w:val="18"/>
                <w:szCs w:val="18"/>
              </w:rPr>
            </w:pPr>
          </w:p>
        </w:tc>
        <w:tc>
          <w:tcPr>
            <w:tcW w:w="930" w:type="dxa"/>
            <w:tcBorders>
              <w:top w:val="nil"/>
              <w:left w:val="nil"/>
              <w:bottom w:val="nil"/>
              <w:right w:val="nil"/>
            </w:tcBorders>
            <w:shd w:val="clear" w:color="auto" w:fill="auto"/>
            <w:noWrap/>
            <w:vAlign w:val="center"/>
            <w:hideMark/>
          </w:tcPr>
          <w:p w:rsidRPr="00171BDC" w:rsidR="00171BDC" w:rsidP="00171BDC" w:rsidRDefault="00171BDC" w14:paraId="6ACE0C6B" w14:textId="77777777">
            <w:pPr>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rsidRPr="00171BDC" w:rsidR="00171BDC" w:rsidP="00171BDC" w:rsidRDefault="00171BDC" w14:paraId="7DBF4E84" w14:textId="77777777">
            <w:pPr>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rsidRPr="00171BDC" w:rsidR="00171BDC" w:rsidP="00171BDC" w:rsidRDefault="00171BDC" w14:paraId="2F3422A7" w14:textId="77777777">
            <w:pPr>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rsidRPr="00171BDC" w:rsidR="00171BDC" w:rsidP="00171BDC" w:rsidRDefault="00171BDC" w14:paraId="7E222E84" w14:textId="77777777">
            <w:pPr>
              <w:jc w:val="right"/>
              <w:rPr>
                <w:rFonts w:ascii="Times New Roman" w:hAnsi="Times New Roman"/>
              </w:rPr>
            </w:pPr>
          </w:p>
        </w:tc>
        <w:tc>
          <w:tcPr>
            <w:tcW w:w="942" w:type="dxa"/>
            <w:tcBorders>
              <w:top w:val="nil"/>
              <w:left w:val="nil"/>
              <w:bottom w:val="nil"/>
              <w:right w:val="nil"/>
            </w:tcBorders>
            <w:shd w:val="clear" w:color="auto" w:fill="auto"/>
            <w:noWrap/>
            <w:vAlign w:val="center"/>
            <w:hideMark/>
          </w:tcPr>
          <w:p w:rsidRPr="00171BDC" w:rsidR="00171BDC" w:rsidP="00171BDC" w:rsidRDefault="00171BDC" w14:paraId="005F7398" w14:textId="77777777">
            <w:pPr>
              <w:jc w:val="right"/>
              <w:rPr>
                <w:rFonts w:ascii="Times New Roman" w:hAnsi="Times New Roman"/>
              </w:rPr>
            </w:pPr>
          </w:p>
        </w:tc>
      </w:tr>
      <w:tr w:rsidRPr="00171BDC" w:rsidR="00171BDC" w:rsidTr="00171BDC" w14:paraId="419BD85F"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4C078F70" w14:textId="77777777">
            <w:pPr>
              <w:rPr>
                <w:rFonts w:ascii="Verdana" w:hAnsi="Verdana" w:cs="Calibri"/>
                <w:color w:val="000000"/>
                <w:sz w:val="18"/>
                <w:szCs w:val="18"/>
              </w:rPr>
            </w:pPr>
            <w:r w:rsidRPr="00171BDC">
              <w:rPr>
                <w:rFonts w:ascii="Verdana" w:hAnsi="Verdana" w:cs="Calibri"/>
                <w:color w:val="000000"/>
                <w:sz w:val="18"/>
                <w:szCs w:val="18"/>
              </w:rPr>
              <w:t>Artikelonderdeel 2.1 Schadeloosstelling</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916A7F5" w14:textId="77777777">
            <w:pPr>
              <w:jc w:val="right"/>
              <w:rPr>
                <w:rFonts w:ascii="Verdana" w:hAnsi="Verdana" w:cs="Calibri"/>
                <w:i/>
                <w:iCs/>
                <w:color w:val="000000"/>
                <w:sz w:val="18"/>
                <w:szCs w:val="18"/>
              </w:rPr>
            </w:pPr>
            <w:r w:rsidRPr="00171BDC">
              <w:rPr>
                <w:rFonts w:ascii="Verdana" w:hAnsi="Verdana" w:cs="Calibri"/>
                <w:i/>
                <w:iCs/>
                <w:color w:val="000000"/>
                <w:sz w:val="18"/>
                <w:szCs w:val="18"/>
              </w:rPr>
              <w:t>2.000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5364DE6" w14:textId="77777777">
            <w:pPr>
              <w:jc w:val="right"/>
              <w:rPr>
                <w:rFonts w:ascii="Verdana" w:hAnsi="Verdana" w:cs="Calibri"/>
                <w:i/>
                <w:iCs/>
                <w:color w:val="000000"/>
                <w:sz w:val="18"/>
                <w:szCs w:val="18"/>
              </w:rPr>
            </w:pPr>
            <w:r w:rsidRPr="00171BDC">
              <w:rPr>
                <w:rFonts w:ascii="Verdana" w:hAnsi="Verdana" w:cs="Calibri"/>
                <w:i/>
                <w:iCs/>
                <w:color w:val="000000"/>
                <w:sz w:val="18"/>
                <w:szCs w:val="18"/>
              </w:rPr>
              <w:t>2.000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1F575FFA" w14:textId="77777777">
            <w:pPr>
              <w:jc w:val="right"/>
              <w:rPr>
                <w:rFonts w:ascii="Verdana" w:hAnsi="Verdana" w:cs="Calibri"/>
                <w:i/>
                <w:iCs/>
                <w:color w:val="000000"/>
                <w:sz w:val="18"/>
                <w:szCs w:val="18"/>
              </w:rPr>
            </w:pPr>
            <w:r w:rsidRPr="00171BDC">
              <w:rPr>
                <w:rFonts w:ascii="Verdana" w:hAnsi="Verdana" w:cs="Calibri"/>
                <w:i/>
                <w:iCs/>
                <w:color w:val="000000"/>
                <w:sz w:val="18"/>
                <w:szCs w:val="18"/>
              </w:rPr>
              <w:t>2.000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7609B11D" w14:textId="77777777">
            <w:pPr>
              <w:jc w:val="right"/>
              <w:rPr>
                <w:rFonts w:ascii="Verdana" w:hAnsi="Verdana" w:cs="Calibri"/>
                <w:i/>
                <w:iCs/>
                <w:color w:val="000000"/>
                <w:sz w:val="18"/>
                <w:szCs w:val="18"/>
              </w:rPr>
            </w:pPr>
            <w:r w:rsidRPr="00171BDC">
              <w:rPr>
                <w:rFonts w:ascii="Verdana" w:hAnsi="Verdana" w:cs="Calibri"/>
                <w:i/>
                <w:iCs/>
                <w:color w:val="000000"/>
                <w:sz w:val="18"/>
                <w:szCs w:val="18"/>
              </w:rPr>
              <w:t>2.000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6CDCA7AF" w14:textId="77777777">
            <w:pPr>
              <w:jc w:val="right"/>
              <w:rPr>
                <w:rFonts w:ascii="Verdana" w:hAnsi="Verdana" w:cs="Calibri"/>
                <w:i/>
                <w:iCs/>
                <w:color w:val="000000"/>
                <w:sz w:val="18"/>
                <w:szCs w:val="18"/>
              </w:rPr>
            </w:pPr>
            <w:r w:rsidRPr="00171BDC">
              <w:rPr>
                <w:rFonts w:ascii="Verdana" w:hAnsi="Verdana" w:cs="Calibri"/>
                <w:i/>
                <w:iCs/>
                <w:color w:val="000000"/>
                <w:sz w:val="18"/>
                <w:szCs w:val="18"/>
              </w:rPr>
              <w:t>2.000</w:t>
            </w:r>
          </w:p>
        </w:tc>
        <w:tc>
          <w:tcPr>
            <w:tcW w:w="942" w:type="dxa"/>
            <w:tcBorders>
              <w:top w:val="nil"/>
              <w:left w:val="nil"/>
              <w:bottom w:val="nil"/>
              <w:right w:val="nil"/>
            </w:tcBorders>
            <w:shd w:val="clear" w:color="auto" w:fill="auto"/>
            <w:noWrap/>
            <w:vAlign w:val="center"/>
            <w:hideMark/>
          </w:tcPr>
          <w:p w:rsidRPr="00171BDC" w:rsidR="00171BDC" w:rsidP="00171BDC" w:rsidRDefault="00171BDC" w14:paraId="6819D20B" w14:textId="77777777">
            <w:pPr>
              <w:jc w:val="right"/>
              <w:rPr>
                <w:rFonts w:ascii="Verdana" w:hAnsi="Verdana" w:cs="Calibri"/>
                <w:i/>
                <w:iCs/>
                <w:color w:val="000000"/>
                <w:sz w:val="18"/>
                <w:szCs w:val="18"/>
              </w:rPr>
            </w:pPr>
            <w:r w:rsidRPr="00171BDC">
              <w:rPr>
                <w:rFonts w:ascii="Verdana" w:hAnsi="Verdana" w:cs="Calibri"/>
                <w:i/>
                <w:iCs/>
                <w:color w:val="000000"/>
                <w:sz w:val="18"/>
                <w:szCs w:val="18"/>
              </w:rPr>
              <w:t>2.000</w:t>
            </w:r>
          </w:p>
        </w:tc>
      </w:tr>
      <w:tr w:rsidRPr="00171BDC" w:rsidR="00171BDC" w:rsidTr="00171BDC" w14:paraId="2F1D68CA"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12C88F54" w14:textId="77777777">
            <w:pPr>
              <w:rPr>
                <w:rFonts w:ascii="Verdana" w:hAnsi="Verdana" w:cs="Calibri"/>
                <w:color w:val="000000"/>
                <w:sz w:val="18"/>
                <w:szCs w:val="18"/>
              </w:rPr>
            </w:pPr>
            <w:r w:rsidRPr="00171BDC">
              <w:rPr>
                <w:rFonts w:ascii="Verdana" w:hAnsi="Verdana" w:cs="Calibri"/>
                <w:color w:val="000000"/>
                <w:sz w:val="18"/>
                <w:szCs w:val="18"/>
              </w:rPr>
              <w:t>Artikelonderdeel 2.2 Pensioenen en wachtgelden</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332F42B0" w14:textId="77777777">
            <w:pPr>
              <w:jc w:val="right"/>
              <w:rPr>
                <w:rFonts w:ascii="Verdana" w:hAnsi="Verdana" w:cs="Calibri"/>
                <w:i/>
                <w:iCs/>
                <w:color w:val="000000"/>
                <w:sz w:val="18"/>
                <w:szCs w:val="18"/>
              </w:rPr>
            </w:pPr>
            <w:r w:rsidRPr="00171BDC">
              <w:rPr>
                <w:rFonts w:ascii="Verdana" w:hAnsi="Verdana" w:cs="Calibri"/>
                <w:i/>
                <w:iCs/>
                <w:color w:val="000000"/>
                <w:sz w:val="18"/>
                <w:szCs w:val="18"/>
              </w:rPr>
              <w:t>-1.798</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371E241E"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1A5C65FF"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65C1ABF8"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1EF3C1C"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42" w:type="dxa"/>
            <w:tcBorders>
              <w:top w:val="nil"/>
              <w:left w:val="nil"/>
              <w:bottom w:val="nil"/>
              <w:right w:val="nil"/>
            </w:tcBorders>
            <w:shd w:val="clear" w:color="auto" w:fill="auto"/>
            <w:noWrap/>
            <w:vAlign w:val="center"/>
            <w:hideMark/>
          </w:tcPr>
          <w:p w:rsidRPr="00171BDC" w:rsidR="00171BDC" w:rsidP="00171BDC" w:rsidRDefault="00171BDC" w14:paraId="61E1D10A"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r>
      <w:tr w:rsidRPr="00171BDC" w:rsidR="00171BDC" w:rsidTr="00171BDC" w14:paraId="002E4DEF"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1649E667" w14:textId="77777777">
            <w:pPr>
              <w:rPr>
                <w:rFonts w:ascii="Verdana" w:hAnsi="Verdana" w:cs="Calibri"/>
                <w:color w:val="000000"/>
                <w:sz w:val="18"/>
                <w:szCs w:val="18"/>
              </w:rPr>
            </w:pPr>
            <w:r w:rsidRPr="00171BDC">
              <w:rPr>
                <w:rFonts w:ascii="Verdana" w:hAnsi="Verdana" w:cs="Calibri"/>
                <w:color w:val="000000"/>
                <w:sz w:val="18"/>
                <w:szCs w:val="18"/>
              </w:rPr>
              <w:t>Artikelonderdeel 3.1 Apparaatsuitgaven</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2C18A8CE" w14:textId="77777777">
            <w:pPr>
              <w:jc w:val="right"/>
              <w:rPr>
                <w:rFonts w:ascii="Verdana" w:hAnsi="Verdana" w:cs="Calibri"/>
                <w:i/>
                <w:iCs/>
                <w:color w:val="000000"/>
                <w:sz w:val="18"/>
                <w:szCs w:val="18"/>
              </w:rPr>
            </w:pPr>
            <w:r w:rsidRPr="00171BDC">
              <w:rPr>
                <w:rFonts w:ascii="Verdana" w:hAnsi="Verdana" w:cs="Calibri"/>
                <w:i/>
                <w:iCs/>
                <w:color w:val="000000"/>
                <w:sz w:val="18"/>
                <w:szCs w:val="18"/>
              </w:rPr>
              <w:t>10.594</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4910A0D5" w14:textId="77777777">
            <w:pPr>
              <w:jc w:val="right"/>
              <w:rPr>
                <w:rFonts w:ascii="Verdana" w:hAnsi="Verdana" w:cs="Calibri"/>
                <w:i/>
                <w:iCs/>
                <w:color w:val="000000"/>
                <w:sz w:val="18"/>
                <w:szCs w:val="18"/>
              </w:rPr>
            </w:pPr>
            <w:r w:rsidRPr="00171BDC">
              <w:rPr>
                <w:rFonts w:ascii="Verdana" w:hAnsi="Verdana" w:cs="Calibri"/>
                <w:i/>
                <w:iCs/>
                <w:color w:val="000000"/>
                <w:sz w:val="18"/>
                <w:szCs w:val="18"/>
              </w:rPr>
              <w:t>7.604</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1DF6D57C" w14:textId="77777777">
            <w:pPr>
              <w:jc w:val="right"/>
              <w:rPr>
                <w:rFonts w:ascii="Verdana" w:hAnsi="Verdana" w:cs="Calibri"/>
                <w:i/>
                <w:iCs/>
                <w:color w:val="000000"/>
                <w:sz w:val="18"/>
                <w:szCs w:val="18"/>
              </w:rPr>
            </w:pPr>
            <w:r w:rsidRPr="00171BDC">
              <w:rPr>
                <w:rFonts w:ascii="Verdana" w:hAnsi="Verdana" w:cs="Calibri"/>
                <w:i/>
                <w:iCs/>
                <w:color w:val="000000"/>
                <w:sz w:val="18"/>
                <w:szCs w:val="18"/>
              </w:rPr>
              <w:t>6.819</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2168C22D" w14:textId="77777777">
            <w:pPr>
              <w:jc w:val="right"/>
              <w:rPr>
                <w:rFonts w:ascii="Verdana" w:hAnsi="Verdana" w:cs="Calibri"/>
                <w:i/>
                <w:iCs/>
                <w:color w:val="000000"/>
                <w:sz w:val="18"/>
                <w:szCs w:val="18"/>
              </w:rPr>
            </w:pPr>
            <w:r w:rsidRPr="00171BDC">
              <w:rPr>
                <w:rFonts w:ascii="Verdana" w:hAnsi="Verdana" w:cs="Calibri"/>
                <w:i/>
                <w:iCs/>
                <w:color w:val="000000"/>
                <w:sz w:val="18"/>
                <w:szCs w:val="18"/>
              </w:rPr>
              <w:t>5.619</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4AEE00CE" w14:textId="77777777">
            <w:pPr>
              <w:jc w:val="right"/>
              <w:rPr>
                <w:rFonts w:ascii="Verdana" w:hAnsi="Verdana" w:cs="Calibri"/>
                <w:i/>
                <w:iCs/>
                <w:color w:val="000000"/>
                <w:sz w:val="18"/>
                <w:szCs w:val="18"/>
              </w:rPr>
            </w:pPr>
            <w:r w:rsidRPr="00171BDC">
              <w:rPr>
                <w:rFonts w:ascii="Verdana" w:hAnsi="Verdana" w:cs="Calibri"/>
                <w:i/>
                <w:iCs/>
                <w:color w:val="000000"/>
                <w:sz w:val="18"/>
                <w:szCs w:val="18"/>
              </w:rPr>
              <w:t>3.184</w:t>
            </w:r>
          </w:p>
        </w:tc>
        <w:tc>
          <w:tcPr>
            <w:tcW w:w="942" w:type="dxa"/>
            <w:tcBorders>
              <w:top w:val="nil"/>
              <w:left w:val="nil"/>
              <w:bottom w:val="nil"/>
              <w:right w:val="nil"/>
            </w:tcBorders>
            <w:shd w:val="clear" w:color="auto" w:fill="auto"/>
            <w:noWrap/>
            <w:vAlign w:val="center"/>
            <w:hideMark/>
          </w:tcPr>
          <w:p w:rsidRPr="00171BDC" w:rsidR="00171BDC" w:rsidP="00171BDC" w:rsidRDefault="00171BDC" w14:paraId="27A1AB1D" w14:textId="77777777">
            <w:pPr>
              <w:jc w:val="right"/>
              <w:rPr>
                <w:rFonts w:ascii="Verdana" w:hAnsi="Verdana" w:cs="Calibri"/>
                <w:i/>
                <w:iCs/>
                <w:color w:val="000000"/>
                <w:sz w:val="18"/>
                <w:szCs w:val="18"/>
              </w:rPr>
            </w:pPr>
            <w:r w:rsidRPr="00171BDC">
              <w:rPr>
                <w:rFonts w:ascii="Verdana" w:hAnsi="Verdana" w:cs="Calibri"/>
                <w:i/>
                <w:iCs/>
                <w:color w:val="000000"/>
                <w:sz w:val="18"/>
                <w:szCs w:val="18"/>
              </w:rPr>
              <w:t>3.184</w:t>
            </w:r>
          </w:p>
        </w:tc>
      </w:tr>
      <w:tr w:rsidRPr="00171BDC" w:rsidR="00171BDC" w:rsidTr="00171BDC" w14:paraId="572858E6"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0B706780" w14:textId="77777777">
            <w:pPr>
              <w:rPr>
                <w:rFonts w:ascii="Verdana" w:hAnsi="Verdana" w:cs="Calibri"/>
                <w:color w:val="000000"/>
                <w:sz w:val="18"/>
                <w:szCs w:val="18"/>
              </w:rPr>
            </w:pPr>
            <w:r w:rsidRPr="00171BDC">
              <w:rPr>
                <w:rFonts w:ascii="Verdana" w:hAnsi="Verdana" w:cs="Calibri"/>
                <w:color w:val="000000"/>
                <w:sz w:val="18"/>
                <w:szCs w:val="18"/>
              </w:rPr>
              <w:t>Artikelonderdeel 3.4 Fractiekosten</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723F4A47" w14:textId="77777777">
            <w:pPr>
              <w:rPr>
                <w:rFonts w:ascii="Verdana" w:hAnsi="Verdana" w:cs="Calibri"/>
                <w:color w:val="000000"/>
                <w:sz w:val="18"/>
                <w:szCs w:val="18"/>
              </w:rPr>
            </w:pPr>
          </w:p>
        </w:tc>
        <w:tc>
          <w:tcPr>
            <w:tcW w:w="930" w:type="dxa"/>
            <w:tcBorders>
              <w:top w:val="nil"/>
              <w:left w:val="nil"/>
              <w:bottom w:val="nil"/>
              <w:right w:val="nil"/>
            </w:tcBorders>
            <w:shd w:val="clear" w:color="auto" w:fill="auto"/>
            <w:noWrap/>
            <w:vAlign w:val="center"/>
            <w:hideMark/>
          </w:tcPr>
          <w:p w:rsidRPr="00171BDC" w:rsidR="00171BDC" w:rsidP="00171BDC" w:rsidRDefault="00171BDC" w14:paraId="01117787" w14:textId="77777777">
            <w:pPr>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rsidRPr="00171BDC" w:rsidR="00171BDC" w:rsidP="00171BDC" w:rsidRDefault="00171BDC" w14:paraId="16233669" w14:textId="77777777">
            <w:pPr>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FEB0EBE" w14:textId="77777777">
            <w:pPr>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7A187FE" w14:textId="77777777">
            <w:pPr>
              <w:jc w:val="right"/>
              <w:rPr>
                <w:rFonts w:ascii="Times New Roman" w:hAnsi="Times New Roman"/>
              </w:rPr>
            </w:pPr>
          </w:p>
        </w:tc>
        <w:tc>
          <w:tcPr>
            <w:tcW w:w="942" w:type="dxa"/>
            <w:tcBorders>
              <w:top w:val="nil"/>
              <w:left w:val="nil"/>
              <w:bottom w:val="nil"/>
              <w:right w:val="nil"/>
            </w:tcBorders>
            <w:shd w:val="clear" w:color="auto" w:fill="auto"/>
            <w:noWrap/>
            <w:vAlign w:val="center"/>
            <w:hideMark/>
          </w:tcPr>
          <w:p w:rsidRPr="00171BDC" w:rsidR="00171BDC" w:rsidP="00171BDC" w:rsidRDefault="00171BDC" w14:paraId="6AEB1242" w14:textId="77777777">
            <w:pPr>
              <w:jc w:val="right"/>
              <w:rPr>
                <w:rFonts w:ascii="Verdana" w:hAnsi="Verdana" w:cs="Calibri"/>
                <w:i/>
                <w:iCs/>
                <w:color w:val="000000"/>
                <w:sz w:val="18"/>
                <w:szCs w:val="18"/>
              </w:rPr>
            </w:pPr>
            <w:r w:rsidRPr="00171BDC">
              <w:rPr>
                <w:rFonts w:ascii="Verdana" w:hAnsi="Verdana" w:cs="Calibri"/>
                <w:i/>
                <w:iCs/>
                <w:color w:val="000000"/>
                <w:sz w:val="18"/>
                <w:szCs w:val="18"/>
              </w:rPr>
              <w:t>1.000</w:t>
            </w:r>
          </w:p>
        </w:tc>
      </w:tr>
      <w:tr w:rsidRPr="00171BDC" w:rsidR="00171BDC" w:rsidTr="00171BDC" w14:paraId="7F6D9DB1"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41E75130" w14:textId="77777777">
            <w:pPr>
              <w:rPr>
                <w:rFonts w:ascii="Verdana" w:hAnsi="Verdana" w:cs="Calibri"/>
                <w:color w:val="000000"/>
                <w:sz w:val="18"/>
                <w:szCs w:val="18"/>
              </w:rPr>
            </w:pPr>
            <w:r w:rsidRPr="00171BDC">
              <w:rPr>
                <w:rFonts w:ascii="Verdana" w:hAnsi="Verdana" w:cs="Calibri"/>
                <w:color w:val="000000"/>
                <w:sz w:val="18"/>
                <w:szCs w:val="18"/>
              </w:rPr>
              <w:t>Artikelonderdeel 3.6 Parlementaire enquêtes</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62226BE9"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D92C2CD" w14:textId="77777777">
            <w:pPr>
              <w:jc w:val="right"/>
              <w:rPr>
                <w:rFonts w:ascii="Verdana" w:hAnsi="Verdana" w:cs="Calibri"/>
                <w:i/>
                <w:iCs/>
                <w:color w:val="000000"/>
                <w:sz w:val="18"/>
                <w:szCs w:val="18"/>
              </w:rPr>
            </w:pPr>
            <w:r w:rsidRPr="00171BDC">
              <w:rPr>
                <w:rFonts w:ascii="Verdana" w:hAnsi="Verdana" w:cs="Calibri"/>
                <w:i/>
                <w:iCs/>
                <w:color w:val="000000"/>
                <w:sz w:val="18"/>
                <w:szCs w:val="18"/>
              </w:rPr>
              <w:t>1.085</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624827A9"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05265B89"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2B9241C8"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42" w:type="dxa"/>
            <w:tcBorders>
              <w:top w:val="nil"/>
              <w:left w:val="nil"/>
              <w:bottom w:val="nil"/>
              <w:right w:val="nil"/>
            </w:tcBorders>
            <w:shd w:val="clear" w:color="auto" w:fill="auto"/>
            <w:noWrap/>
            <w:vAlign w:val="center"/>
            <w:hideMark/>
          </w:tcPr>
          <w:p w:rsidRPr="00171BDC" w:rsidR="00171BDC" w:rsidP="00171BDC" w:rsidRDefault="00171BDC" w14:paraId="24F2532D"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r>
      <w:tr w:rsidRPr="00171BDC" w:rsidR="00171BDC" w:rsidTr="00171BDC" w14:paraId="7131B0DF"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2B477FEB" w14:textId="77777777">
            <w:pPr>
              <w:rPr>
                <w:rFonts w:ascii="Verdana" w:hAnsi="Verdana" w:cs="Calibri"/>
                <w:color w:val="000000"/>
                <w:sz w:val="18"/>
                <w:szCs w:val="18"/>
              </w:rPr>
            </w:pPr>
            <w:r w:rsidRPr="00171BDC">
              <w:rPr>
                <w:rFonts w:ascii="Verdana" w:hAnsi="Verdana" w:cs="Calibri"/>
                <w:color w:val="000000"/>
                <w:sz w:val="18"/>
                <w:szCs w:val="18"/>
              </w:rPr>
              <w:t>Artikelonderdeel 4.1 Interparlementaire betrekkingen</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71033482" w14:textId="77777777">
            <w:pPr>
              <w:jc w:val="right"/>
              <w:rPr>
                <w:rFonts w:ascii="Verdana" w:hAnsi="Verdana" w:cs="Calibri"/>
                <w:i/>
                <w:iCs/>
                <w:color w:val="000000"/>
                <w:sz w:val="18"/>
                <w:szCs w:val="18"/>
              </w:rPr>
            </w:pPr>
            <w:r w:rsidRPr="00171BDC">
              <w:rPr>
                <w:rFonts w:ascii="Verdana" w:hAnsi="Verdana" w:cs="Calibri"/>
                <w:i/>
                <w:iCs/>
                <w:color w:val="000000"/>
                <w:sz w:val="18"/>
                <w:szCs w:val="18"/>
              </w:rPr>
              <w:t>1.415</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23024CC6" w14:textId="77777777">
            <w:pPr>
              <w:jc w:val="right"/>
              <w:rPr>
                <w:rFonts w:ascii="Verdana" w:hAnsi="Verdana" w:cs="Calibri"/>
                <w:i/>
                <w:iCs/>
                <w:color w:val="000000"/>
                <w:sz w:val="18"/>
                <w:szCs w:val="18"/>
              </w:rPr>
            </w:pPr>
            <w:r w:rsidRPr="00171BDC">
              <w:rPr>
                <w:rFonts w:ascii="Verdana" w:hAnsi="Verdana" w:cs="Calibri"/>
                <w:i/>
                <w:iCs/>
                <w:color w:val="000000"/>
                <w:sz w:val="18"/>
                <w:szCs w:val="18"/>
              </w:rPr>
              <w:t>3.020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2A4810FD"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29C07135"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6C3DA0A"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c>
          <w:tcPr>
            <w:tcW w:w="942" w:type="dxa"/>
            <w:tcBorders>
              <w:top w:val="nil"/>
              <w:left w:val="nil"/>
              <w:bottom w:val="nil"/>
              <w:right w:val="nil"/>
            </w:tcBorders>
            <w:shd w:val="clear" w:color="auto" w:fill="auto"/>
            <w:noWrap/>
            <w:vAlign w:val="center"/>
            <w:hideMark/>
          </w:tcPr>
          <w:p w:rsidRPr="00171BDC" w:rsidR="00171BDC" w:rsidP="00171BDC" w:rsidRDefault="00171BDC" w14:paraId="32909F07" w14:textId="77777777">
            <w:pPr>
              <w:jc w:val="right"/>
              <w:rPr>
                <w:rFonts w:ascii="Verdana" w:hAnsi="Verdana" w:cs="Calibri"/>
                <w:i/>
                <w:iCs/>
                <w:color w:val="000000"/>
                <w:sz w:val="18"/>
                <w:szCs w:val="18"/>
              </w:rPr>
            </w:pPr>
            <w:r w:rsidRPr="00171BDC">
              <w:rPr>
                <w:rFonts w:ascii="Verdana" w:hAnsi="Verdana" w:cs="Calibri"/>
                <w:i/>
                <w:iCs/>
                <w:color w:val="000000"/>
                <w:sz w:val="18"/>
                <w:szCs w:val="18"/>
              </w:rPr>
              <w:t>0</w:t>
            </w:r>
          </w:p>
        </w:tc>
      </w:tr>
      <w:tr w:rsidRPr="00171BDC" w:rsidR="00171BDC" w:rsidTr="00171BDC" w14:paraId="40B91F05"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1A5B5958" w14:textId="77777777">
            <w:pPr>
              <w:rPr>
                <w:rFonts w:ascii="Verdana" w:hAnsi="Verdana" w:cs="Calibri"/>
                <w:b/>
                <w:bCs/>
                <w:i/>
                <w:iCs/>
                <w:color w:val="000000"/>
                <w:sz w:val="18"/>
                <w:szCs w:val="18"/>
              </w:rPr>
            </w:pPr>
            <w:r w:rsidRPr="00171BDC">
              <w:rPr>
                <w:rFonts w:ascii="Verdana" w:hAnsi="Verdana" w:cs="Calibri"/>
                <w:b/>
                <w:bCs/>
                <w:i/>
                <w:iCs/>
                <w:color w:val="000000"/>
                <w:sz w:val="18"/>
                <w:szCs w:val="18"/>
              </w:rPr>
              <w:t>Totaal mutaties</w:t>
            </w:r>
            <w:r w:rsidRPr="00171BDC">
              <w:rPr>
                <w:rFonts w:ascii="Verdana" w:hAnsi="Verdana" w:cs="Calibri"/>
                <w:i/>
                <w:iCs/>
                <w:color w:val="000000"/>
                <w:sz w:val="18"/>
                <w:szCs w:val="18"/>
              </w:rPr>
              <w:t xml:space="preserve"> </w:t>
            </w:r>
            <w:r w:rsidRPr="00171BDC">
              <w:rPr>
                <w:rFonts w:ascii="Verdana" w:hAnsi="Verdana" w:cs="Calibri"/>
                <w:b/>
                <w:bCs/>
                <w:i/>
                <w:iCs/>
                <w:color w:val="000000"/>
                <w:sz w:val="18"/>
                <w:szCs w:val="18"/>
              </w:rPr>
              <w:t>Voorjaarsnota 2025</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3D7F4209" w14:textId="77777777">
            <w:pPr>
              <w:jc w:val="right"/>
              <w:rPr>
                <w:rFonts w:ascii="Verdana" w:hAnsi="Verdana" w:cs="Calibri"/>
                <w:b/>
                <w:bCs/>
                <w:i/>
                <w:iCs/>
                <w:color w:val="000000"/>
                <w:sz w:val="18"/>
                <w:szCs w:val="18"/>
              </w:rPr>
            </w:pPr>
            <w:r w:rsidRPr="00171BDC">
              <w:rPr>
                <w:rFonts w:ascii="Verdana" w:hAnsi="Verdana" w:cs="Calibri"/>
                <w:b/>
                <w:bCs/>
                <w:i/>
                <w:iCs/>
                <w:color w:val="000000"/>
                <w:sz w:val="18"/>
                <w:szCs w:val="18"/>
              </w:rPr>
              <w:t>12.211</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6152E88" w14:textId="77777777">
            <w:pPr>
              <w:jc w:val="right"/>
              <w:rPr>
                <w:rFonts w:ascii="Verdana" w:hAnsi="Verdana" w:cs="Calibri"/>
                <w:b/>
                <w:bCs/>
                <w:i/>
                <w:iCs/>
                <w:color w:val="000000"/>
                <w:sz w:val="18"/>
                <w:szCs w:val="18"/>
              </w:rPr>
            </w:pPr>
            <w:r w:rsidRPr="00171BDC">
              <w:rPr>
                <w:rFonts w:ascii="Verdana" w:hAnsi="Verdana" w:cs="Calibri"/>
                <w:b/>
                <w:bCs/>
                <w:i/>
                <w:iCs/>
                <w:color w:val="000000"/>
                <w:sz w:val="18"/>
                <w:szCs w:val="18"/>
              </w:rPr>
              <w:t>13.709</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05A6FA64" w14:textId="77777777">
            <w:pPr>
              <w:jc w:val="right"/>
              <w:rPr>
                <w:rFonts w:ascii="Verdana" w:hAnsi="Verdana" w:cs="Calibri"/>
                <w:b/>
                <w:bCs/>
                <w:i/>
                <w:iCs/>
                <w:color w:val="000000"/>
                <w:sz w:val="18"/>
                <w:szCs w:val="18"/>
              </w:rPr>
            </w:pPr>
            <w:r w:rsidRPr="00171BDC">
              <w:rPr>
                <w:rFonts w:ascii="Verdana" w:hAnsi="Verdana" w:cs="Calibri"/>
                <w:b/>
                <w:bCs/>
                <w:i/>
                <w:iCs/>
                <w:color w:val="000000"/>
                <w:sz w:val="18"/>
                <w:szCs w:val="18"/>
              </w:rPr>
              <w:t>8.819</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71E07FC7" w14:textId="77777777">
            <w:pPr>
              <w:jc w:val="right"/>
              <w:rPr>
                <w:rFonts w:ascii="Verdana" w:hAnsi="Verdana" w:cs="Calibri"/>
                <w:b/>
                <w:bCs/>
                <w:i/>
                <w:iCs/>
                <w:color w:val="000000"/>
                <w:sz w:val="18"/>
                <w:szCs w:val="18"/>
              </w:rPr>
            </w:pPr>
            <w:r w:rsidRPr="00171BDC">
              <w:rPr>
                <w:rFonts w:ascii="Verdana" w:hAnsi="Verdana" w:cs="Calibri"/>
                <w:b/>
                <w:bCs/>
                <w:i/>
                <w:iCs/>
                <w:color w:val="000000"/>
                <w:sz w:val="18"/>
                <w:szCs w:val="18"/>
              </w:rPr>
              <w:t>7.619</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4C92F100" w14:textId="77777777">
            <w:pPr>
              <w:jc w:val="right"/>
              <w:rPr>
                <w:rFonts w:ascii="Verdana" w:hAnsi="Verdana" w:cs="Calibri"/>
                <w:b/>
                <w:bCs/>
                <w:i/>
                <w:iCs/>
                <w:color w:val="000000"/>
                <w:sz w:val="18"/>
                <w:szCs w:val="18"/>
              </w:rPr>
            </w:pPr>
            <w:r w:rsidRPr="00171BDC">
              <w:rPr>
                <w:rFonts w:ascii="Verdana" w:hAnsi="Verdana" w:cs="Calibri"/>
                <w:b/>
                <w:bCs/>
                <w:i/>
                <w:iCs/>
                <w:color w:val="000000"/>
                <w:sz w:val="18"/>
                <w:szCs w:val="18"/>
              </w:rPr>
              <w:t>5.184</w:t>
            </w:r>
          </w:p>
        </w:tc>
        <w:tc>
          <w:tcPr>
            <w:tcW w:w="942" w:type="dxa"/>
            <w:tcBorders>
              <w:top w:val="nil"/>
              <w:left w:val="nil"/>
              <w:bottom w:val="nil"/>
              <w:right w:val="nil"/>
            </w:tcBorders>
            <w:shd w:val="clear" w:color="auto" w:fill="auto"/>
            <w:noWrap/>
            <w:vAlign w:val="center"/>
            <w:hideMark/>
          </w:tcPr>
          <w:p w:rsidRPr="00171BDC" w:rsidR="00171BDC" w:rsidP="00171BDC" w:rsidRDefault="00171BDC" w14:paraId="3C3462A5" w14:textId="77777777">
            <w:pPr>
              <w:jc w:val="right"/>
              <w:rPr>
                <w:rFonts w:ascii="Verdana" w:hAnsi="Verdana" w:cs="Calibri"/>
                <w:b/>
                <w:bCs/>
                <w:i/>
                <w:iCs/>
                <w:color w:val="000000"/>
                <w:sz w:val="18"/>
                <w:szCs w:val="18"/>
              </w:rPr>
            </w:pPr>
            <w:r w:rsidRPr="00171BDC">
              <w:rPr>
                <w:rFonts w:ascii="Verdana" w:hAnsi="Verdana" w:cs="Calibri"/>
                <w:b/>
                <w:bCs/>
                <w:i/>
                <w:iCs/>
                <w:color w:val="000000"/>
                <w:sz w:val="18"/>
                <w:szCs w:val="18"/>
              </w:rPr>
              <w:t>6.184</w:t>
            </w:r>
          </w:p>
        </w:tc>
      </w:tr>
      <w:tr w:rsidRPr="00171BDC" w:rsidR="00171BDC" w:rsidTr="00171BDC" w14:paraId="442C7909" w14:textId="77777777">
        <w:trPr>
          <w:trHeight w:val="329"/>
        </w:trPr>
        <w:tc>
          <w:tcPr>
            <w:tcW w:w="4524" w:type="dxa"/>
            <w:tcBorders>
              <w:top w:val="nil"/>
              <w:left w:val="nil"/>
              <w:bottom w:val="nil"/>
              <w:right w:val="nil"/>
            </w:tcBorders>
            <w:shd w:val="clear" w:color="auto" w:fill="auto"/>
            <w:noWrap/>
            <w:vAlign w:val="center"/>
            <w:hideMark/>
          </w:tcPr>
          <w:p w:rsidRPr="00171BDC" w:rsidR="00171BDC" w:rsidP="00171BDC" w:rsidRDefault="00171BDC" w14:paraId="18E7DCCF" w14:textId="77777777">
            <w:pPr>
              <w:rPr>
                <w:rFonts w:ascii="Verdana" w:hAnsi="Verdana" w:cs="Calibri"/>
                <w:b/>
                <w:bCs/>
                <w:color w:val="000000"/>
                <w:sz w:val="18"/>
                <w:szCs w:val="18"/>
              </w:rPr>
            </w:pPr>
            <w:r w:rsidRPr="00171BDC">
              <w:rPr>
                <w:rFonts w:ascii="Verdana" w:hAnsi="Verdana" w:cs="Calibri"/>
                <w:b/>
                <w:bCs/>
                <w:color w:val="000000"/>
                <w:sz w:val="18"/>
                <w:szCs w:val="18"/>
              </w:rPr>
              <w:t>Meerjarenbegroting inclusief mutaties</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120EAA73" w14:textId="77777777">
            <w:pPr>
              <w:jc w:val="right"/>
              <w:rPr>
                <w:rFonts w:ascii="Verdana" w:hAnsi="Verdana" w:cs="Calibri"/>
                <w:b/>
                <w:bCs/>
                <w:color w:val="000000"/>
                <w:sz w:val="18"/>
                <w:szCs w:val="18"/>
              </w:rPr>
            </w:pPr>
            <w:r w:rsidRPr="00171BDC">
              <w:rPr>
                <w:rFonts w:ascii="Verdana" w:hAnsi="Verdana" w:cs="Calibri"/>
                <w:b/>
                <w:bCs/>
                <w:color w:val="000000"/>
                <w:sz w:val="18"/>
                <w:szCs w:val="18"/>
              </w:rPr>
              <w:t>253.316</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57ADA88F" w14:textId="77777777">
            <w:pPr>
              <w:jc w:val="right"/>
              <w:rPr>
                <w:rFonts w:ascii="Verdana" w:hAnsi="Verdana" w:cs="Calibri"/>
                <w:b/>
                <w:bCs/>
                <w:color w:val="000000"/>
                <w:sz w:val="18"/>
                <w:szCs w:val="18"/>
              </w:rPr>
            </w:pPr>
            <w:r w:rsidRPr="00171BDC">
              <w:rPr>
                <w:rFonts w:ascii="Verdana" w:hAnsi="Verdana" w:cs="Calibri"/>
                <w:b/>
                <w:bCs/>
                <w:color w:val="000000"/>
                <w:sz w:val="18"/>
                <w:szCs w:val="18"/>
              </w:rPr>
              <w:t>248.784</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3C286B4A" w14:textId="77777777">
            <w:pPr>
              <w:jc w:val="right"/>
              <w:rPr>
                <w:rFonts w:ascii="Verdana" w:hAnsi="Verdana" w:cs="Calibri"/>
                <w:b/>
                <w:bCs/>
                <w:color w:val="000000"/>
                <w:sz w:val="18"/>
                <w:szCs w:val="18"/>
              </w:rPr>
            </w:pPr>
            <w:r w:rsidRPr="00171BDC">
              <w:rPr>
                <w:rFonts w:ascii="Verdana" w:hAnsi="Verdana" w:cs="Calibri"/>
                <w:b/>
                <w:bCs/>
                <w:color w:val="000000"/>
                <w:sz w:val="18"/>
                <w:szCs w:val="18"/>
              </w:rPr>
              <w:t>237.169</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75A8BA97" w14:textId="77777777">
            <w:pPr>
              <w:jc w:val="right"/>
              <w:rPr>
                <w:rFonts w:ascii="Verdana" w:hAnsi="Verdana" w:cs="Calibri"/>
                <w:b/>
                <w:bCs/>
                <w:color w:val="000000"/>
                <w:sz w:val="18"/>
                <w:szCs w:val="18"/>
              </w:rPr>
            </w:pPr>
            <w:r w:rsidRPr="00171BDC">
              <w:rPr>
                <w:rFonts w:ascii="Verdana" w:hAnsi="Verdana" w:cs="Calibri"/>
                <w:b/>
                <w:bCs/>
                <w:color w:val="000000"/>
                <w:sz w:val="18"/>
                <w:szCs w:val="18"/>
              </w:rPr>
              <w:t>248.735</w:t>
            </w:r>
          </w:p>
        </w:tc>
        <w:tc>
          <w:tcPr>
            <w:tcW w:w="930" w:type="dxa"/>
            <w:tcBorders>
              <w:top w:val="nil"/>
              <w:left w:val="nil"/>
              <w:bottom w:val="nil"/>
              <w:right w:val="nil"/>
            </w:tcBorders>
            <w:shd w:val="clear" w:color="auto" w:fill="auto"/>
            <w:noWrap/>
            <w:vAlign w:val="center"/>
            <w:hideMark/>
          </w:tcPr>
          <w:p w:rsidRPr="00171BDC" w:rsidR="00171BDC" w:rsidP="00171BDC" w:rsidRDefault="00171BDC" w14:paraId="650B2259" w14:textId="77777777">
            <w:pPr>
              <w:jc w:val="right"/>
              <w:rPr>
                <w:rFonts w:ascii="Verdana" w:hAnsi="Verdana" w:cs="Calibri"/>
                <w:b/>
                <w:bCs/>
                <w:color w:val="000000"/>
                <w:sz w:val="18"/>
                <w:szCs w:val="18"/>
              </w:rPr>
            </w:pPr>
            <w:r w:rsidRPr="00171BDC">
              <w:rPr>
                <w:rFonts w:ascii="Verdana" w:hAnsi="Verdana" w:cs="Calibri"/>
                <w:b/>
                <w:bCs/>
                <w:color w:val="000000"/>
                <w:sz w:val="18"/>
                <w:szCs w:val="18"/>
              </w:rPr>
              <w:t>231.583</w:t>
            </w:r>
          </w:p>
        </w:tc>
        <w:tc>
          <w:tcPr>
            <w:tcW w:w="942" w:type="dxa"/>
            <w:tcBorders>
              <w:top w:val="nil"/>
              <w:left w:val="nil"/>
              <w:bottom w:val="nil"/>
              <w:right w:val="nil"/>
            </w:tcBorders>
            <w:shd w:val="clear" w:color="auto" w:fill="auto"/>
            <w:noWrap/>
            <w:vAlign w:val="center"/>
            <w:hideMark/>
          </w:tcPr>
          <w:p w:rsidRPr="00171BDC" w:rsidR="00171BDC" w:rsidP="00171BDC" w:rsidRDefault="00171BDC" w14:paraId="773194F5" w14:textId="77777777">
            <w:pPr>
              <w:jc w:val="right"/>
              <w:rPr>
                <w:rFonts w:ascii="Verdana" w:hAnsi="Verdana" w:cs="Calibri"/>
                <w:b/>
                <w:bCs/>
                <w:color w:val="000000"/>
                <w:sz w:val="18"/>
                <w:szCs w:val="18"/>
              </w:rPr>
            </w:pPr>
            <w:r w:rsidRPr="00171BDC">
              <w:rPr>
                <w:rFonts w:ascii="Verdana" w:hAnsi="Verdana" w:cs="Calibri"/>
                <w:b/>
                <w:bCs/>
                <w:color w:val="000000"/>
                <w:sz w:val="18"/>
                <w:szCs w:val="18"/>
              </w:rPr>
              <w:t>231.083</w:t>
            </w:r>
          </w:p>
        </w:tc>
      </w:tr>
    </w:tbl>
    <w:p w:rsidR="00D85D17" w:rsidP="00654798" w:rsidRDefault="00D85D17" w14:paraId="5C5F861C" w14:textId="77777777">
      <w:pPr>
        <w:spacing w:line="240" w:lineRule="atLeast"/>
        <w:rPr>
          <w:rFonts w:ascii="Verdana" w:hAnsi="Verdana"/>
          <w:sz w:val="18"/>
          <w:szCs w:val="18"/>
        </w:rPr>
      </w:pPr>
    </w:p>
    <w:tbl>
      <w:tblPr>
        <w:tblW w:w="5437" w:type="pct"/>
        <w:tblCellMar>
          <w:left w:w="70" w:type="dxa"/>
          <w:right w:w="70" w:type="dxa"/>
        </w:tblCellMar>
        <w:tblLook w:val="04A0" w:firstRow="1" w:lastRow="0" w:firstColumn="1" w:lastColumn="0" w:noHBand="0" w:noVBand="1"/>
      </w:tblPr>
      <w:tblGrid>
        <w:gridCol w:w="4787"/>
        <w:gridCol w:w="924"/>
        <w:gridCol w:w="923"/>
        <w:gridCol w:w="923"/>
        <w:gridCol w:w="923"/>
        <w:gridCol w:w="923"/>
        <w:gridCol w:w="996"/>
      </w:tblGrid>
      <w:tr w:rsidRPr="002D73A5" w:rsidR="002D73A5" w:rsidTr="002D73A5" w14:paraId="425186EB" w14:textId="77777777">
        <w:trPr>
          <w:trHeight w:val="327"/>
        </w:trPr>
        <w:tc>
          <w:tcPr>
            <w:tcW w:w="2301" w:type="pct"/>
            <w:tcBorders>
              <w:top w:val="nil"/>
              <w:left w:val="nil"/>
              <w:bottom w:val="nil"/>
              <w:right w:val="nil"/>
            </w:tcBorders>
            <w:shd w:val="clear" w:color="000000" w:fill="002060"/>
            <w:noWrap/>
            <w:vAlign w:val="center"/>
            <w:hideMark/>
          </w:tcPr>
          <w:p w:rsidRPr="002D73A5" w:rsidR="002D73A5" w:rsidP="002D73A5" w:rsidRDefault="002D73A5" w14:paraId="498B1A09" w14:textId="77777777">
            <w:pPr>
              <w:rPr>
                <w:rFonts w:ascii="Verdana" w:hAnsi="Verdana" w:cs="Calibri"/>
                <w:b/>
                <w:bCs/>
                <w:color w:val="FFFFFF"/>
                <w:sz w:val="18"/>
                <w:szCs w:val="18"/>
              </w:rPr>
            </w:pPr>
            <w:r w:rsidRPr="002D73A5">
              <w:rPr>
                <w:rFonts w:ascii="Verdana" w:hAnsi="Verdana" w:cs="Calibri"/>
                <w:b/>
                <w:bCs/>
                <w:color w:val="FFFFFF"/>
                <w:sz w:val="18"/>
                <w:szCs w:val="18"/>
              </w:rPr>
              <w:t>Begroting ontvangsten</w:t>
            </w:r>
          </w:p>
        </w:tc>
        <w:tc>
          <w:tcPr>
            <w:tcW w:w="444" w:type="pct"/>
            <w:vMerge w:val="restart"/>
            <w:tcBorders>
              <w:top w:val="nil"/>
              <w:left w:val="nil"/>
              <w:bottom w:val="nil"/>
              <w:right w:val="nil"/>
            </w:tcBorders>
            <w:shd w:val="clear" w:color="000000" w:fill="002060"/>
            <w:noWrap/>
            <w:vAlign w:val="center"/>
            <w:hideMark/>
          </w:tcPr>
          <w:p w:rsidRPr="002D73A5" w:rsidR="002D73A5" w:rsidP="002D73A5" w:rsidRDefault="002D73A5" w14:paraId="7872A8C7" w14:textId="77777777">
            <w:pPr>
              <w:jc w:val="center"/>
              <w:rPr>
                <w:rFonts w:ascii="Verdana" w:hAnsi="Verdana" w:cs="Calibri"/>
                <w:b/>
                <w:bCs/>
                <w:color w:val="FFFFFF"/>
                <w:sz w:val="18"/>
                <w:szCs w:val="18"/>
              </w:rPr>
            </w:pPr>
            <w:r w:rsidRPr="002D73A5">
              <w:rPr>
                <w:rFonts w:ascii="Verdana" w:hAnsi="Verdana" w:cs="Calibri"/>
                <w:b/>
                <w:bCs/>
                <w:color w:val="FFFFFF"/>
                <w:sz w:val="18"/>
                <w:szCs w:val="18"/>
              </w:rPr>
              <w:t>2025</w:t>
            </w:r>
          </w:p>
        </w:tc>
        <w:tc>
          <w:tcPr>
            <w:tcW w:w="444" w:type="pct"/>
            <w:vMerge w:val="restart"/>
            <w:tcBorders>
              <w:top w:val="nil"/>
              <w:left w:val="nil"/>
              <w:bottom w:val="nil"/>
              <w:right w:val="nil"/>
            </w:tcBorders>
            <w:shd w:val="clear" w:color="000000" w:fill="002060"/>
            <w:noWrap/>
            <w:vAlign w:val="center"/>
            <w:hideMark/>
          </w:tcPr>
          <w:p w:rsidRPr="002D73A5" w:rsidR="002D73A5" w:rsidP="002D73A5" w:rsidRDefault="002D73A5" w14:paraId="61C1CE81" w14:textId="77777777">
            <w:pPr>
              <w:jc w:val="center"/>
              <w:rPr>
                <w:rFonts w:ascii="Verdana" w:hAnsi="Verdana" w:cs="Calibri"/>
                <w:b/>
                <w:bCs/>
                <w:color w:val="FFFFFF"/>
                <w:sz w:val="18"/>
                <w:szCs w:val="18"/>
              </w:rPr>
            </w:pPr>
            <w:r w:rsidRPr="002D73A5">
              <w:rPr>
                <w:rFonts w:ascii="Verdana" w:hAnsi="Verdana" w:cs="Calibri"/>
                <w:b/>
                <w:bCs/>
                <w:color w:val="FFFFFF"/>
                <w:sz w:val="18"/>
                <w:szCs w:val="18"/>
              </w:rPr>
              <w:t>2026</w:t>
            </w:r>
          </w:p>
        </w:tc>
        <w:tc>
          <w:tcPr>
            <w:tcW w:w="444" w:type="pct"/>
            <w:vMerge w:val="restart"/>
            <w:tcBorders>
              <w:top w:val="nil"/>
              <w:left w:val="nil"/>
              <w:bottom w:val="nil"/>
              <w:right w:val="nil"/>
            </w:tcBorders>
            <w:shd w:val="clear" w:color="000000" w:fill="002060"/>
            <w:noWrap/>
            <w:vAlign w:val="center"/>
            <w:hideMark/>
          </w:tcPr>
          <w:p w:rsidRPr="002D73A5" w:rsidR="002D73A5" w:rsidP="002D73A5" w:rsidRDefault="002D73A5" w14:paraId="631C2093" w14:textId="77777777">
            <w:pPr>
              <w:jc w:val="center"/>
              <w:rPr>
                <w:rFonts w:ascii="Verdana" w:hAnsi="Verdana" w:cs="Calibri"/>
                <w:b/>
                <w:bCs/>
                <w:color w:val="FFFFFF"/>
                <w:sz w:val="18"/>
                <w:szCs w:val="18"/>
              </w:rPr>
            </w:pPr>
            <w:r w:rsidRPr="002D73A5">
              <w:rPr>
                <w:rFonts w:ascii="Verdana" w:hAnsi="Verdana" w:cs="Calibri"/>
                <w:b/>
                <w:bCs/>
                <w:color w:val="FFFFFF"/>
                <w:sz w:val="18"/>
                <w:szCs w:val="18"/>
              </w:rPr>
              <w:t>2027</w:t>
            </w:r>
          </w:p>
        </w:tc>
        <w:tc>
          <w:tcPr>
            <w:tcW w:w="444" w:type="pct"/>
            <w:vMerge w:val="restart"/>
            <w:tcBorders>
              <w:top w:val="nil"/>
              <w:left w:val="nil"/>
              <w:bottom w:val="nil"/>
              <w:right w:val="nil"/>
            </w:tcBorders>
            <w:shd w:val="clear" w:color="000000" w:fill="002060"/>
            <w:noWrap/>
            <w:vAlign w:val="center"/>
            <w:hideMark/>
          </w:tcPr>
          <w:p w:rsidRPr="002D73A5" w:rsidR="002D73A5" w:rsidP="002D73A5" w:rsidRDefault="002D73A5" w14:paraId="491A8EF4" w14:textId="77777777">
            <w:pPr>
              <w:jc w:val="center"/>
              <w:rPr>
                <w:rFonts w:ascii="Verdana" w:hAnsi="Verdana" w:cs="Calibri"/>
                <w:b/>
                <w:bCs/>
                <w:color w:val="FFFFFF"/>
                <w:sz w:val="18"/>
                <w:szCs w:val="18"/>
              </w:rPr>
            </w:pPr>
            <w:r w:rsidRPr="002D73A5">
              <w:rPr>
                <w:rFonts w:ascii="Verdana" w:hAnsi="Verdana" w:cs="Calibri"/>
                <w:b/>
                <w:bCs/>
                <w:color w:val="FFFFFF"/>
                <w:sz w:val="18"/>
                <w:szCs w:val="18"/>
              </w:rPr>
              <w:t>2028</w:t>
            </w:r>
          </w:p>
        </w:tc>
        <w:tc>
          <w:tcPr>
            <w:tcW w:w="444" w:type="pct"/>
            <w:vMerge w:val="restart"/>
            <w:tcBorders>
              <w:top w:val="nil"/>
              <w:left w:val="nil"/>
              <w:bottom w:val="nil"/>
              <w:right w:val="nil"/>
            </w:tcBorders>
            <w:shd w:val="clear" w:color="000000" w:fill="002060"/>
            <w:noWrap/>
            <w:vAlign w:val="center"/>
            <w:hideMark/>
          </w:tcPr>
          <w:p w:rsidRPr="002D73A5" w:rsidR="002D73A5" w:rsidP="002D73A5" w:rsidRDefault="002D73A5" w14:paraId="1AEB0188" w14:textId="77777777">
            <w:pPr>
              <w:jc w:val="center"/>
              <w:rPr>
                <w:rFonts w:ascii="Verdana" w:hAnsi="Verdana" w:cs="Calibri"/>
                <w:b/>
                <w:bCs/>
                <w:color w:val="FFFFFF"/>
                <w:sz w:val="18"/>
                <w:szCs w:val="18"/>
              </w:rPr>
            </w:pPr>
            <w:r w:rsidRPr="002D73A5">
              <w:rPr>
                <w:rFonts w:ascii="Verdana" w:hAnsi="Verdana" w:cs="Calibri"/>
                <w:b/>
                <w:bCs/>
                <w:color w:val="FFFFFF"/>
                <w:sz w:val="18"/>
                <w:szCs w:val="18"/>
              </w:rPr>
              <w:t>2029</w:t>
            </w:r>
          </w:p>
        </w:tc>
        <w:tc>
          <w:tcPr>
            <w:tcW w:w="480" w:type="pct"/>
            <w:vMerge w:val="restart"/>
            <w:tcBorders>
              <w:top w:val="nil"/>
              <w:left w:val="nil"/>
              <w:bottom w:val="nil"/>
              <w:right w:val="nil"/>
            </w:tcBorders>
            <w:shd w:val="clear" w:color="000000" w:fill="002060"/>
            <w:noWrap/>
            <w:vAlign w:val="center"/>
            <w:hideMark/>
          </w:tcPr>
          <w:p w:rsidRPr="002D73A5" w:rsidR="002D73A5" w:rsidP="002D73A5" w:rsidRDefault="002D73A5" w14:paraId="44A67E8B" w14:textId="77777777">
            <w:pPr>
              <w:jc w:val="center"/>
              <w:rPr>
                <w:rFonts w:ascii="Verdana" w:hAnsi="Verdana" w:cs="Calibri"/>
                <w:b/>
                <w:bCs/>
                <w:color w:val="FFFFFF"/>
                <w:sz w:val="18"/>
                <w:szCs w:val="18"/>
              </w:rPr>
            </w:pPr>
            <w:r w:rsidRPr="002D73A5">
              <w:rPr>
                <w:rFonts w:ascii="Verdana" w:hAnsi="Verdana" w:cs="Calibri"/>
                <w:b/>
                <w:bCs/>
                <w:color w:val="FFFFFF"/>
                <w:sz w:val="18"/>
                <w:szCs w:val="18"/>
              </w:rPr>
              <w:t>2030</w:t>
            </w:r>
          </w:p>
        </w:tc>
      </w:tr>
      <w:tr w:rsidRPr="002D73A5" w:rsidR="002D73A5" w:rsidTr="002D73A5" w14:paraId="53521C5F" w14:textId="77777777">
        <w:trPr>
          <w:trHeight w:val="327"/>
        </w:trPr>
        <w:tc>
          <w:tcPr>
            <w:tcW w:w="2301" w:type="pct"/>
            <w:tcBorders>
              <w:top w:val="nil"/>
              <w:left w:val="nil"/>
              <w:bottom w:val="nil"/>
              <w:right w:val="nil"/>
            </w:tcBorders>
            <w:shd w:val="clear" w:color="000000" w:fill="002060"/>
            <w:noWrap/>
            <w:vAlign w:val="center"/>
            <w:hideMark/>
          </w:tcPr>
          <w:p w:rsidRPr="002D73A5" w:rsidR="002D73A5" w:rsidP="002D73A5" w:rsidRDefault="002D73A5" w14:paraId="4CB1B8D7" w14:textId="77777777">
            <w:pPr>
              <w:rPr>
                <w:rFonts w:ascii="Verdana" w:hAnsi="Verdana" w:cs="Calibri"/>
                <w:b/>
                <w:bCs/>
                <w:color w:val="FFFFFF"/>
                <w:sz w:val="18"/>
                <w:szCs w:val="18"/>
              </w:rPr>
            </w:pPr>
            <w:r w:rsidRPr="002D73A5">
              <w:rPr>
                <w:rFonts w:ascii="Verdana" w:hAnsi="Verdana" w:cs="Calibri"/>
                <w:b/>
                <w:bCs/>
                <w:color w:val="FFFFFF"/>
                <w:sz w:val="18"/>
                <w:szCs w:val="18"/>
              </w:rPr>
              <w:t>artikelen 2 en 3</w:t>
            </w:r>
          </w:p>
        </w:tc>
        <w:tc>
          <w:tcPr>
            <w:tcW w:w="444" w:type="pct"/>
            <w:vMerge/>
            <w:tcBorders>
              <w:top w:val="nil"/>
              <w:left w:val="nil"/>
              <w:bottom w:val="nil"/>
              <w:right w:val="nil"/>
            </w:tcBorders>
            <w:vAlign w:val="center"/>
            <w:hideMark/>
          </w:tcPr>
          <w:p w:rsidRPr="002D73A5" w:rsidR="002D73A5" w:rsidP="002D73A5" w:rsidRDefault="002D73A5" w14:paraId="590CF748" w14:textId="77777777">
            <w:pPr>
              <w:rPr>
                <w:rFonts w:ascii="Verdana" w:hAnsi="Verdana" w:cs="Calibri"/>
                <w:b/>
                <w:bCs/>
                <w:color w:val="FFFFFF"/>
                <w:sz w:val="18"/>
                <w:szCs w:val="18"/>
              </w:rPr>
            </w:pPr>
          </w:p>
        </w:tc>
        <w:tc>
          <w:tcPr>
            <w:tcW w:w="444" w:type="pct"/>
            <w:vMerge/>
            <w:tcBorders>
              <w:top w:val="nil"/>
              <w:left w:val="nil"/>
              <w:bottom w:val="nil"/>
              <w:right w:val="nil"/>
            </w:tcBorders>
            <w:vAlign w:val="center"/>
            <w:hideMark/>
          </w:tcPr>
          <w:p w:rsidRPr="002D73A5" w:rsidR="002D73A5" w:rsidP="002D73A5" w:rsidRDefault="002D73A5" w14:paraId="61776390" w14:textId="77777777">
            <w:pPr>
              <w:rPr>
                <w:rFonts w:ascii="Verdana" w:hAnsi="Verdana" w:cs="Calibri"/>
                <w:b/>
                <w:bCs/>
                <w:color w:val="FFFFFF"/>
                <w:sz w:val="18"/>
                <w:szCs w:val="18"/>
              </w:rPr>
            </w:pPr>
          </w:p>
        </w:tc>
        <w:tc>
          <w:tcPr>
            <w:tcW w:w="444" w:type="pct"/>
            <w:vMerge/>
            <w:tcBorders>
              <w:top w:val="nil"/>
              <w:left w:val="nil"/>
              <w:bottom w:val="nil"/>
              <w:right w:val="nil"/>
            </w:tcBorders>
            <w:vAlign w:val="center"/>
            <w:hideMark/>
          </w:tcPr>
          <w:p w:rsidRPr="002D73A5" w:rsidR="002D73A5" w:rsidP="002D73A5" w:rsidRDefault="002D73A5" w14:paraId="3C33866C" w14:textId="77777777">
            <w:pPr>
              <w:rPr>
                <w:rFonts w:ascii="Verdana" w:hAnsi="Verdana" w:cs="Calibri"/>
                <w:b/>
                <w:bCs/>
                <w:color w:val="FFFFFF"/>
                <w:sz w:val="18"/>
                <w:szCs w:val="18"/>
              </w:rPr>
            </w:pPr>
          </w:p>
        </w:tc>
        <w:tc>
          <w:tcPr>
            <w:tcW w:w="444" w:type="pct"/>
            <w:vMerge/>
            <w:tcBorders>
              <w:top w:val="nil"/>
              <w:left w:val="nil"/>
              <w:bottom w:val="nil"/>
              <w:right w:val="nil"/>
            </w:tcBorders>
            <w:vAlign w:val="center"/>
            <w:hideMark/>
          </w:tcPr>
          <w:p w:rsidRPr="002D73A5" w:rsidR="002D73A5" w:rsidP="002D73A5" w:rsidRDefault="002D73A5" w14:paraId="1FB8A16C" w14:textId="77777777">
            <w:pPr>
              <w:rPr>
                <w:rFonts w:ascii="Verdana" w:hAnsi="Verdana" w:cs="Calibri"/>
                <w:b/>
                <w:bCs/>
                <w:color w:val="FFFFFF"/>
                <w:sz w:val="18"/>
                <w:szCs w:val="18"/>
              </w:rPr>
            </w:pPr>
          </w:p>
        </w:tc>
        <w:tc>
          <w:tcPr>
            <w:tcW w:w="444" w:type="pct"/>
            <w:vMerge/>
            <w:tcBorders>
              <w:top w:val="nil"/>
              <w:left w:val="nil"/>
              <w:bottom w:val="nil"/>
              <w:right w:val="nil"/>
            </w:tcBorders>
            <w:vAlign w:val="center"/>
            <w:hideMark/>
          </w:tcPr>
          <w:p w:rsidRPr="002D73A5" w:rsidR="002D73A5" w:rsidP="002D73A5" w:rsidRDefault="002D73A5" w14:paraId="09156AF4" w14:textId="77777777">
            <w:pPr>
              <w:rPr>
                <w:rFonts w:ascii="Verdana" w:hAnsi="Verdana" w:cs="Calibri"/>
                <w:b/>
                <w:bCs/>
                <w:color w:val="FFFFFF"/>
                <w:sz w:val="18"/>
                <w:szCs w:val="18"/>
              </w:rPr>
            </w:pPr>
          </w:p>
        </w:tc>
        <w:tc>
          <w:tcPr>
            <w:tcW w:w="480" w:type="pct"/>
            <w:vMerge/>
            <w:tcBorders>
              <w:top w:val="nil"/>
              <w:left w:val="nil"/>
              <w:bottom w:val="nil"/>
              <w:right w:val="nil"/>
            </w:tcBorders>
            <w:vAlign w:val="center"/>
            <w:hideMark/>
          </w:tcPr>
          <w:p w:rsidRPr="002D73A5" w:rsidR="002D73A5" w:rsidP="002D73A5" w:rsidRDefault="002D73A5" w14:paraId="15B4C765" w14:textId="77777777">
            <w:pPr>
              <w:rPr>
                <w:rFonts w:ascii="Verdana" w:hAnsi="Verdana" w:cs="Calibri"/>
                <w:b/>
                <w:bCs/>
                <w:color w:val="FFFFFF"/>
                <w:sz w:val="18"/>
                <w:szCs w:val="18"/>
              </w:rPr>
            </w:pPr>
          </w:p>
        </w:tc>
      </w:tr>
      <w:tr w:rsidRPr="002D73A5" w:rsidR="002D73A5" w:rsidTr="002D73A5" w14:paraId="46677568" w14:textId="77777777">
        <w:trPr>
          <w:trHeight w:val="327"/>
        </w:trPr>
        <w:tc>
          <w:tcPr>
            <w:tcW w:w="2301" w:type="pct"/>
            <w:tcBorders>
              <w:top w:val="nil"/>
              <w:left w:val="nil"/>
              <w:bottom w:val="nil"/>
              <w:right w:val="nil"/>
            </w:tcBorders>
            <w:shd w:val="clear" w:color="auto" w:fill="auto"/>
            <w:noWrap/>
            <w:vAlign w:val="center"/>
            <w:hideMark/>
          </w:tcPr>
          <w:p w:rsidRPr="002D73A5" w:rsidR="002D73A5" w:rsidP="002D73A5" w:rsidRDefault="002D73A5" w14:paraId="10174893" w14:textId="77777777">
            <w:pPr>
              <w:rPr>
                <w:rFonts w:ascii="Verdana" w:hAnsi="Verdana" w:cs="Calibri"/>
                <w:color w:val="000000"/>
                <w:sz w:val="18"/>
                <w:szCs w:val="18"/>
              </w:rPr>
            </w:pPr>
            <w:r w:rsidRPr="002D73A5">
              <w:rPr>
                <w:rFonts w:ascii="Verdana" w:hAnsi="Verdana" w:cs="Calibri"/>
                <w:color w:val="000000"/>
                <w:sz w:val="18"/>
                <w:szCs w:val="18"/>
              </w:rPr>
              <w:t>Huidige meerjarenbegroting</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6847DDA2" w14:textId="77777777">
            <w:pPr>
              <w:jc w:val="right"/>
              <w:rPr>
                <w:rFonts w:ascii="Verdana" w:hAnsi="Verdana" w:cs="Calibri"/>
                <w:color w:val="000000"/>
                <w:sz w:val="18"/>
                <w:szCs w:val="18"/>
              </w:rPr>
            </w:pPr>
            <w:r w:rsidRPr="002D73A5">
              <w:rPr>
                <w:rFonts w:ascii="Verdana" w:hAnsi="Verdana" w:cs="Calibri"/>
                <w:color w:val="000000"/>
                <w:sz w:val="18"/>
                <w:szCs w:val="18"/>
              </w:rPr>
              <w:t>3.725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280E6C77" w14:textId="77777777">
            <w:pPr>
              <w:jc w:val="right"/>
              <w:rPr>
                <w:rFonts w:ascii="Verdana" w:hAnsi="Verdana" w:cs="Calibri"/>
                <w:color w:val="000000"/>
                <w:sz w:val="18"/>
                <w:szCs w:val="18"/>
              </w:rPr>
            </w:pPr>
            <w:r w:rsidRPr="002D73A5">
              <w:rPr>
                <w:rFonts w:ascii="Verdana" w:hAnsi="Verdana" w:cs="Calibri"/>
                <w:color w:val="000000"/>
                <w:sz w:val="18"/>
                <w:szCs w:val="18"/>
              </w:rPr>
              <w:t>3.725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4C63D830" w14:textId="77777777">
            <w:pPr>
              <w:jc w:val="right"/>
              <w:rPr>
                <w:rFonts w:ascii="Verdana" w:hAnsi="Verdana" w:cs="Calibri"/>
                <w:color w:val="000000"/>
                <w:sz w:val="18"/>
                <w:szCs w:val="18"/>
              </w:rPr>
            </w:pPr>
            <w:r w:rsidRPr="002D73A5">
              <w:rPr>
                <w:rFonts w:ascii="Verdana" w:hAnsi="Verdana" w:cs="Calibri"/>
                <w:color w:val="000000"/>
                <w:sz w:val="18"/>
                <w:szCs w:val="18"/>
              </w:rPr>
              <w:t>3.725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2D6983CD" w14:textId="77777777">
            <w:pPr>
              <w:jc w:val="right"/>
              <w:rPr>
                <w:rFonts w:ascii="Verdana" w:hAnsi="Verdana" w:cs="Calibri"/>
                <w:color w:val="000000"/>
                <w:sz w:val="18"/>
                <w:szCs w:val="18"/>
              </w:rPr>
            </w:pPr>
            <w:r w:rsidRPr="002D73A5">
              <w:rPr>
                <w:rFonts w:ascii="Verdana" w:hAnsi="Verdana" w:cs="Calibri"/>
                <w:color w:val="000000"/>
                <w:sz w:val="18"/>
                <w:szCs w:val="18"/>
              </w:rPr>
              <w:t>3.725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43F22B8F" w14:textId="77777777">
            <w:pPr>
              <w:jc w:val="right"/>
              <w:rPr>
                <w:rFonts w:ascii="Verdana" w:hAnsi="Verdana" w:cs="Calibri"/>
                <w:color w:val="000000"/>
                <w:sz w:val="18"/>
                <w:szCs w:val="18"/>
              </w:rPr>
            </w:pPr>
            <w:r w:rsidRPr="002D73A5">
              <w:rPr>
                <w:rFonts w:ascii="Verdana" w:hAnsi="Verdana" w:cs="Calibri"/>
                <w:color w:val="000000"/>
                <w:sz w:val="18"/>
                <w:szCs w:val="18"/>
              </w:rPr>
              <w:t>3.725</w:t>
            </w:r>
          </w:p>
        </w:tc>
        <w:tc>
          <w:tcPr>
            <w:tcW w:w="480" w:type="pct"/>
            <w:tcBorders>
              <w:top w:val="nil"/>
              <w:left w:val="nil"/>
              <w:bottom w:val="nil"/>
              <w:right w:val="nil"/>
            </w:tcBorders>
            <w:shd w:val="clear" w:color="auto" w:fill="auto"/>
            <w:noWrap/>
            <w:vAlign w:val="center"/>
            <w:hideMark/>
          </w:tcPr>
          <w:p w:rsidRPr="002D73A5" w:rsidR="002D73A5" w:rsidP="002D73A5" w:rsidRDefault="002D73A5" w14:paraId="3C7DEFDB" w14:textId="77777777">
            <w:pPr>
              <w:jc w:val="right"/>
              <w:rPr>
                <w:rFonts w:ascii="Verdana" w:hAnsi="Verdana" w:cs="Calibri"/>
                <w:color w:val="000000"/>
                <w:sz w:val="18"/>
                <w:szCs w:val="18"/>
              </w:rPr>
            </w:pPr>
            <w:r w:rsidRPr="002D73A5">
              <w:rPr>
                <w:rFonts w:ascii="Verdana" w:hAnsi="Verdana" w:cs="Calibri"/>
                <w:color w:val="000000"/>
                <w:sz w:val="18"/>
                <w:szCs w:val="18"/>
              </w:rPr>
              <w:t>3.725</w:t>
            </w:r>
          </w:p>
        </w:tc>
      </w:tr>
      <w:tr w:rsidRPr="002D73A5" w:rsidR="002D73A5" w:rsidTr="002D73A5" w14:paraId="6B03AAC6" w14:textId="77777777">
        <w:trPr>
          <w:trHeight w:val="327"/>
        </w:trPr>
        <w:tc>
          <w:tcPr>
            <w:tcW w:w="2301" w:type="pct"/>
            <w:tcBorders>
              <w:top w:val="nil"/>
              <w:left w:val="nil"/>
              <w:bottom w:val="nil"/>
              <w:right w:val="nil"/>
            </w:tcBorders>
            <w:shd w:val="clear" w:color="auto" w:fill="auto"/>
            <w:vAlign w:val="center"/>
            <w:hideMark/>
          </w:tcPr>
          <w:p w:rsidRPr="002D73A5" w:rsidR="002D73A5" w:rsidP="002D73A5" w:rsidRDefault="002D73A5" w14:paraId="0A0FF040" w14:textId="77777777">
            <w:pPr>
              <w:rPr>
                <w:rFonts w:ascii="Verdana" w:hAnsi="Verdana" w:cs="Calibri"/>
                <w:i/>
                <w:iCs/>
                <w:color w:val="000000"/>
                <w:sz w:val="18"/>
                <w:szCs w:val="18"/>
              </w:rPr>
            </w:pPr>
            <w:r w:rsidRPr="002D73A5">
              <w:rPr>
                <w:rFonts w:ascii="Verdana" w:hAnsi="Verdana" w:cs="Calibri"/>
                <w:i/>
                <w:iCs/>
                <w:color w:val="000000"/>
                <w:sz w:val="18"/>
                <w:szCs w:val="18"/>
              </w:rPr>
              <w:t>Mutaties Voorjaarsnota 2025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20807615" w14:textId="77777777">
            <w:pPr>
              <w:jc w:val="right"/>
              <w:rPr>
                <w:rFonts w:ascii="Verdana" w:hAnsi="Verdana" w:cs="Calibri"/>
                <w:color w:val="000000"/>
                <w:sz w:val="18"/>
                <w:szCs w:val="18"/>
              </w:rPr>
            </w:pPr>
            <w:r w:rsidRPr="002D73A5">
              <w:rPr>
                <w:rFonts w:ascii="Verdana" w:hAnsi="Verdana" w:cs="Calibri"/>
                <w:color w:val="000000"/>
                <w:sz w:val="18"/>
                <w:szCs w:val="18"/>
              </w:rPr>
              <w:t>300</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7B3ECB42" w14:textId="77777777">
            <w:pPr>
              <w:jc w:val="right"/>
              <w:rPr>
                <w:rFonts w:ascii="Verdana" w:hAnsi="Verdana" w:cs="Calibri"/>
                <w:color w:val="000000"/>
                <w:sz w:val="18"/>
                <w:szCs w:val="18"/>
              </w:rPr>
            </w:pPr>
            <w:r w:rsidRPr="002D73A5">
              <w:rPr>
                <w:rFonts w:ascii="Verdana" w:hAnsi="Verdana" w:cs="Calibri"/>
                <w:color w:val="000000"/>
                <w:sz w:val="18"/>
                <w:szCs w:val="18"/>
              </w:rPr>
              <w:t>300</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330895B1" w14:textId="77777777">
            <w:pPr>
              <w:jc w:val="right"/>
              <w:rPr>
                <w:rFonts w:ascii="Verdana" w:hAnsi="Verdana" w:cs="Calibri"/>
                <w:color w:val="000000"/>
                <w:sz w:val="18"/>
                <w:szCs w:val="18"/>
              </w:rPr>
            </w:pPr>
            <w:r w:rsidRPr="002D73A5">
              <w:rPr>
                <w:rFonts w:ascii="Verdana" w:hAnsi="Verdana" w:cs="Calibri"/>
                <w:color w:val="000000"/>
                <w:sz w:val="18"/>
                <w:szCs w:val="18"/>
              </w:rPr>
              <w:t>300</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6B6384BC" w14:textId="77777777">
            <w:pPr>
              <w:jc w:val="right"/>
              <w:rPr>
                <w:rFonts w:ascii="Verdana" w:hAnsi="Verdana" w:cs="Calibri"/>
                <w:color w:val="000000"/>
                <w:sz w:val="18"/>
                <w:szCs w:val="18"/>
              </w:rPr>
            </w:pPr>
            <w:r w:rsidRPr="002D73A5">
              <w:rPr>
                <w:rFonts w:ascii="Verdana" w:hAnsi="Verdana" w:cs="Calibri"/>
                <w:color w:val="000000"/>
                <w:sz w:val="18"/>
                <w:szCs w:val="18"/>
              </w:rPr>
              <w:t>300</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63E80D8A" w14:textId="77777777">
            <w:pPr>
              <w:jc w:val="right"/>
              <w:rPr>
                <w:rFonts w:ascii="Verdana" w:hAnsi="Verdana" w:cs="Calibri"/>
                <w:color w:val="000000"/>
                <w:sz w:val="18"/>
                <w:szCs w:val="18"/>
              </w:rPr>
            </w:pPr>
            <w:r w:rsidRPr="002D73A5">
              <w:rPr>
                <w:rFonts w:ascii="Verdana" w:hAnsi="Verdana" w:cs="Calibri"/>
                <w:color w:val="000000"/>
                <w:sz w:val="18"/>
                <w:szCs w:val="18"/>
              </w:rPr>
              <w:t>300</w:t>
            </w:r>
          </w:p>
        </w:tc>
        <w:tc>
          <w:tcPr>
            <w:tcW w:w="480" w:type="pct"/>
            <w:tcBorders>
              <w:top w:val="nil"/>
              <w:left w:val="nil"/>
              <w:bottom w:val="nil"/>
              <w:right w:val="nil"/>
            </w:tcBorders>
            <w:shd w:val="clear" w:color="auto" w:fill="auto"/>
            <w:noWrap/>
            <w:vAlign w:val="center"/>
            <w:hideMark/>
          </w:tcPr>
          <w:p w:rsidRPr="002D73A5" w:rsidR="002D73A5" w:rsidP="002D73A5" w:rsidRDefault="002D73A5" w14:paraId="585C610A" w14:textId="77777777">
            <w:pPr>
              <w:jc w:val="right"/>
              <w:rPr>
                <w:rFonts w:ascii="Verdana" w:hAnsi="Verdana" w:cs="Calibri"/>
                <w:color w:val="000000"/>
                <w:sz w:val="18"/>
                <w:szCs w:val="18"/>
              </w:rPr>
            </w:pPr>
            <w:r w:rsidRPr="002D73A5">
              <w:rPr>
                <w:rFonts w:ascii="Verdana" w:hAnsi="Verdana" w:cs="Calibri"/>
                <w:color w:val="000000"/>
                <w:sz w:val="18"/>
                <w:szCs w:val="18"/>
              </w:rPr>
              <w:t>300</w:t>
            </w:r>
          </w:p>
        </w:tc>
      </w:tr>
      <w:tr w:rsidRPr="002D73A5" w:rsidR="002D73A5" w:rsidTr="002D73A5" w14:paraId="7EBF81E2" w14:textId="77777777">
        <w:trPr>
          <w:trHeight w:val="327"/>
        </w:trPr>
        <w:tc>
          <w:tcPr>
            <w:tcW w:w="2301" w:type="pct"/>
            <w:tcBorders>
              <w:top w:val="nil"/>
              <w:left w:val="nil"/>
              <w:bottom w:val="nil"/>
              <w:right w:val="nil"/>
            </w:tcBorders>
            <w:shd w:val="clear" w:color="auto" w:fill="auto"/>
            <w:noWrap/>
            <w:vAlign w:val="center"/>
            <w:hideMark/>
          </w:tcPr>
          <w:p w:rsidRPr="002D73A5" w:rsidR="002D73A5" w:rsidP="002D73A5" w:rsidRDefault="002D73A5" w14:paraId="06BB6E96" w14:textId="77777777">
            <w:pPr>
              <w:rPr>
                <w:rFonts w:ascii="Verdana" w:hAnsi="Verdana" w:cs="Calibri"/>
                <w:b/>
                <w:bCs/>
                <w:color w:val="000000"/>
                <w:sz w:val="18"/>
                <w:szCs w:val="18"/>
              </w:rPr>
            </w:pPr>
            <w:r w:rsidRPr="002D73A5">
              <w:rPr>
                <w:rFonts w:ascii="Verdana" w:hAnsi="Verdana" w:cs="Calibri"/>
                <w:b/>
                <w:bCs/>
                <w:color w:val="000000"/>
                <w:sz w:val="18"/>
                <w:szCs w:val="18"/>
              </w:rPr>
              <w:t>Meerjarenbegroting inclusief mutaties</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5F8E1F52" w14:textId="77777777">
            <w:pPr>
              <w:jc w:val="right"/>
              <w:rPr>
                <w:rFonts w:ascii="Verdana" w:hAnsi="Verdana" w:cs="Calibri"/>
                <w:b/>
                <w:bCs/>
                <w:color w:val="000000"/>
                <w:sz w:val="18"/>
                <w:szCs w:val="18"/>
              </w:rPr>
            </w:pPr>
            <w:r w:rsidRPr="002D73A5">
              <w:rPr>
                <w:rFonts w:ascii="Verdana" w:hAnsi="Verdana" w:cs="Calibri"/>
                <w:b/>
                <w:bCs/>
                <w:color w:val="000000"/>
                <w:sz w:val="18"/>
                <w:szCs w:val="18"/>
              </w:rPr>
              <w:t>4.025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6A547AC8" w14:textId="77777777">
            <w:pPr>
              <w:jc w:val="right"/>
              <w:rPr>
                <w:rFonts w:ascii="Verdana" w:hAnsi="Verdana" w:cs="Calibri"/>
                <w:b/>
                <w:bCs/>
                <w:color w:val="000000"/>
                <w:sz w:val="18"/>
                <w:szCs w:val="18"/>
              </w:rPr>
            </w:pPr>
            <w:r w:rsidRPr="002D73A5">
              <w:rPr>
                <w:rFonts w:ascii="Verdana" w:hAnsi="Verdana" w:cs="Calibri"/>
                <w:b/>
                <w:bCs/>
                <w:color w:val="000000"/>
                <w:sz w:val="18"/>
                <w:szCs w:val="18"/>
              </w:rPr>
              <w:t>4.025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45F73D5F" w14:textId="77777777">
            <w:pPr>
              <w:jc w:val="right"/>
              <w:rPr>
                <w:rFonts w:ascii="Verdana" w:hAnsi="Verdana" w:cs="Calibri"/>
                <w:b/>
                <w:bCs/>
                <w:color w:val="000000"/>
                <w:sz w:val="18"/>
                <w:szCs w:val="18"/>
              </w:rPr>
            </w:pPr>
            <w:r w:rsidRPr="002D73A5">
              <w:rPr>
                <w:rFonts w:ascii="Verdana" w:hAnsi="Verdana" w:cs="Calibri"/>
                <w:b/>
                <w:bCs/>
                <w:color w:val="000000"/>
                <w:sz w:val="18"/>
                <w:szCs w:val="18"/>
              </w:rPr>
              <w:t>4.025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38FA42E0" w14:textId="77777777">
            <w:pPr>
              <w:jc w:val="right"/>
              <w:rPr>
                <w:rFonts w:ascii="Verdana" w:hAnsi="Verdana" w:cs="Calibri"/>
                <w:b/>
                <w:bCs/>
                <w:color w:val="000000"/>
                <w:sz w:val="18"/>
                <w:szCs w:val="18"/>
              </w:rPr>
            </w:pPr>
            <w:r w:rsidRPr="002D73A5">
              <w:rPr>
                <w:rFonts w:ascii="Verdana" w:hAnsi="Verdana" w:cs="Calibri"/>
                <w:b/>
                <w:bCs/>
                <w:color w:val="000000"/>
                <w:sz w:val="18"/>
                <w:szCs w:val="18"/>
              </w:rPr>
              <w:t>4.025</w:t>
            </w:r>
          </w:p>
        </w:tc>
        <w:tc>
          <w:tcPr>
            <w:tcW w:w="444" w:type="pct"/>
            <w:tcBorders>
              <w:top w:val="nil"/>
              <w:left w:val="nil"/>
              <w:bottom w:val="nil"/>
              <w:right w:val="nil"/>
            </w:tcBorders>
            <w:shd w:val="clear" w:color="auto" w:fill="auto"/>
            <w:noWrap/>
            <w:vAlign w:val="center"/>
            <w:hideMark/>
          </w:tcPr>
          <w:p w:rsidRPr="002D73A5" w:rsidR="002D73A5" w:rsidP="002D73A5" w:rsidRDefault="002D73A5" w14:paraId="73E44B49" w14:textId="77777777">
            <w:pPr>
              <w:jc w:val="right"/>
              <w:rPr>
                <w:rFonts w:ascii="Verdana" w:hAnsi="Verdana" w:cs="Calibri"/>
                <w:b/>
                <w:bCs/>
                <w:color w:val="000000"/>
                <w:sz w:val="18"/>
                <w:szCs w:val="18"/>
              </w:rPr>
            </w:pPr>
            <w:r w:rsidRPr="002D73A5">
              <w:rPr>
                <w:rFonts w:ascii="Verdana" w:hAnsi="Verdana" w:cs="Calibri"/>
                <w:b/>
                <w:bCs/>
                <w:color w:val="000000"/>
                <w:sz w:val="18"/>
                <w:szCs w:val="18"/>
              </w:rPr>
              <w:t>4.025</w:t>
            </w:r>
          </w:p>
        </w:tc>
        <w:tc>
          <w:tcPr>
            <w:tcW w:w="480" w:type="pct"/>
            <w:tcBorders>
              <w:top w:val="nil"/>
              <w:left w:val="nil"/>
              <w:bottom w:val="nil"/>
              <w:right w:val="nil"/>
            </w:tcBorders>
            <w:shd w:val="clear" w:color="auto" w:fill="auto"/>
            <w:noWrap/>
            <w:vAlign w:val="center"/>
            <w:hideMark/>
          </w:tcPr>
          <w:p w:rsidRPr="002D73A5" w:rsidR="002D73A5" w:rsidP="002D73A5" w:rsidRDefault="002D73A5" w14:paraId="18292D67" w14:textId="77777777">
            <w:pPr>
              <w:jc w:val="right"/>
              <w:rPr>
                <w:rFonts w:ascii="Verdana" w:hAnsi="Verdana" w:cs="Calibri"/>
                <w:b/>
                <w:bCs/>
                <w:color w:val="000000"/>
                <w:sz w:val="18"/>
                <w:szCs w:val="18"/>
              </w:rPr>
            </w:pPr>
            <w:r w:rsidRPr="002D73A5">
              <w:rPr>
                <w:rFonts w:ascii="Verdana" w:hAnsi="Verdana" w:cs="Calibri"/>
                <w:b/>
                <w:bCs/>
                <w:color w:val="000000"/>
                <w:sz w:val="18"/>
                <w:szCs w:val="18"/>
              </w:rPr>
              <w:t>4.025</w:t>
            </w:r>
          </w:p>
        </w:tc>
      </w:tr>
    </w:tbl>
    <w:p w:rsidR="00D85D17" w:rsidP="00654798" w:rsidRDefault="00D85D17" w14:paraId="007045B2" w14:textId="77777777">
      <w:pPr>
        <w:spacing w:line="240" w:lineRule="atLeast"/>
        <w:rPr>
          <w:rFonts w:ascii="Verdana" w:hAnsi="Verdana"/>
          <w:sz w:val="18"/>
          <w:szCs w:val="18"/>
        </w:rPr>
      </w:pPr>
    </w:p>
    <w:p w:rsidRPr="00397084" w:rsidR="00AE25CB" w:rsidP="00654798" w:rsidRDefault="51825749" w14:paraId="1DF84650" w14:textId="77777777">
      <w:pPr>
        <w:spacing w:line="240" w:lineRule="atLeast"/>
        <w:ind w:left="284" w:hanging="284"/>
        <w:rPr>
          <w:rFonts w:ascii="Verdana" w:hAnsi="Verdana"/>
          <w:b/>
          <w:bCs/>
          <w:sz w:val="18"/>
          <w:szCs w:val="18"/>
        </w:rPr>
      </w:pPr>
      <w:r w:rsidRPr="51825749">
        <w:rPr>
          <w:rFonts w:ascii="Verdana" w:hAnsi="Verdana"/>
          <w:b/>
          <w:bCs/>
          <w:sz w:val="18"/>
          <w:szCs w:val="18"/>
        </w:rPr>
        <w:t xml:space="preserve">2. </w:t>
      </w:r>
      <w:r w:rsidRPr="51825749">
        <w:rPr>
          <w:rFonts w:ascii="Verdana" w:hAnsi="Verdana"/>
          <w:b/>
          <w:bCs/>
          <w:sz w:val="18"/>
          <w:szCs w:val="18"/>
          <w:u w:val="single"/>
        </w:rPr>
        <w:t>Artikel 2: Uitgaven ten behoeve van leden en oud-leden Tweede Kamer</w:t>
      </w:r>
    </w:p>
    <w:p w:rsidRPr="00481236" w:rsidR="00950DF8" w:rsidP="00654798" w:rsidRDefault="51825749" w14:paraId="2DB084F5" w14:textId="77777777">
      <w:pPr>
        <w:spacing w:line="240" w:lineRule="atLeast"/>
        <w:outlineLvl w:val="0"/>
        <w:rPr>
          <w:rFonts w:ascii="Verdana" w:hAnsi="Verdana"/>
          <w:sz w:val="18"/>
          <w:szCs w:val="18"/>
        </w:rPr>
      </w:pPr>
      <w:r w:rsidRPr="51825749">
        <w:rPr>
          <w:rFonts w:ascii="Verdana" w:hAnsi="Verdana"/>
          <w:sz w:val="18"/>
          <w:szCs w:val="18"/>
        </w:rPr>
        <w:t>Onder dit artikel worden rechtspositionele uitgaven aan leden en oud-leden van de Tweede Kamer, alsmede hun nagelaten betrekkingen geraamd.</w:t>
      </w:r>
    </w:p>
    <w:p w:rsidRPr="002D73A5" w:rsidR="00950DF8" w:rsidP="00654798" w:rsidRDefault="51825749" w14:paraId="67E97974" w14:textId="5F9EEBA9">
      <w:pPr>
        <w:spacing w:line="240" w:lineRule="atLeast"/>
        <w:outlineLvl w:val="0"/>
        <w:rPr>
          <w:rFonts w:ascii="Verdana" w:hAnsi="Verdana"/>
          <w:sz w:val="18"/>
          <w:szCs w:val="18"/>
        </w:rPr>
      </w:pPr>
      <w:r w:rsidRPr="51825749">
        <w:rPr>
          <w:rFonts w:ascii="Verdana" w:hAnsi="Verdana"/>
          <w:sz w:val="18"/>
          <w:szCs w:val="18"/>
        </w:rPr>
        <w:t>De Tweede Kamer draagt ingevolge de Wet schadeloosstelling leden Tweede Kamer</w:t>
      </w:r>
      <w:r w:rsidR="009F2F06">
        <w:rPr>
          <w:rFonts w:ascii="Verdana" w:hAnsi="Verdana"/>
          <w:sz w:val="18"/>
          <w:szCs w:val="18"/>
        </w:rPr>
        <w:t xml:space="preserve"> en</w:t>
      </w:r>
      <w:r w:rsidRPr="51825749">
        <w:rPr>
          <w:rFonts w:ascii="Verdana" w:hAnsi="Verdana"/>
          <w:sz w:val="18"/>
          <w:szCs w:val="18"/>
        </w:rPr>
        <w:t xml:space="preserve"> </w:t>
      </w:r>
      <w:r w:rsidRPr="002D73A5">
        <w:rPr>
          <w:rFonts w:ascii="Verdana" w:hAnsi="Verdana"/>
          <w:sz w:val="18"/>
          <w:szCs w:val="18"/>
        </w:rPr>
        <w:t>de Algemene pensioenwet politieke ambtsdragers zorg voor de uitgaven ten behoeve van:</w:t>
      </w:r>
    </w:p>
    <w:p w:rsidRPr="00481236" w:rsidR="00950DF8" w:rsidP="00654798" w:rsidRDefault="00950DF8" w14:paraId="02E537CD" w14:textId="77777777">
      <w:pPr>
        <w:spacing w:line="240" w:lineRule="atLeast"/>
        <w:outlineLvl w:val="0"/>
        <w:rPr>
          <w:rFonts w:ascii="Verdana" w:hAnsi="Verdana"/>
          <w:sz w:val="18"/>
          <w:szCs w:val="18"/>
        </w:rPr>
      </w:pPr>
      <w:r w:rsidRPr="002D73A5">
        <w:rPr>
          <w:rFonts w:ascii="Verdana" w:hAnsi="Verdana"/>
          <w:sz w:val="18"/>
          <w:szCs w:val="18"/>
        </w:rPr>
        <w:t>–</w:t>
      </w:r>
      <w:r w:rsidRPr="002D73A5">
        <w:rPr>
          <w:rFonts w:ascii="Verdana" w:hAnsi="Verdana"/>
          <w:sz w:val="18"/>
          <w:szCs w:val="18"/>
        </w:rPr>
        <w:tab/>
        <w:t>de schadeloosstelling van de leden van de Tweede Kamer (artikel 2.1);</w:t>
      </w:r>
    </w:p>
    <w:p w:rsidRPr="00481236" w:rsidR="00950DF8" w:rsidP="00654798" w:rsidRDefault="00950DF8" w14:paraId="2E9A7317" w14:textId="77777777">
      <w:pPr>
        <w:spacing w:line="240" w:lineRule="atLeast"/>
        <w:outlineLvl w:val="0"/>
        <w:rPr>
          <w:rFonts w:ascii="Verdana" w:hAnsi="Verdana"/>
          <w:sz w:val="18"/>
          <w:szCs w:val="18"/>
        </w:rPr>
      </w:pPr>
      <w:r w:rsidRPr="00481236">
        <w:rPr>
          <w:rFonts w:ascii="Verdana" w:hAnsi="Verdana"/>
          <w:sz w:val="18"/>
          <w:szCs w:val="18"/>
        </w:rPr>
        <w:t>–</w:t>
      </w:r>
      <w:r w:rsidRPr="00481236">
        <w:rPr>
          <w:rFonts w:ascii="Verdana" w:hAnsi="Verdana"/>
          <w:sz w:val="18"/>
          <w:szCs w:val="18"/>
        </w:rPr>
        <w:tab/>
        <w:t>de reis- en overige kostenvergoedingen van de leden van de Tweede Kamer (artikel 2.1);</w:t>
      </w:r>
    </w:p>
    <w:p w:rsidRPr="00481236" w:rsidR="00950DF8" w:rsidP="00654798" w:rsidRDefault="00950DF8" w14:paraId="763DF4FF" w14:textId="77777777">
      <w:pPr>
        <w:spacing w:line="240" w:lineRule="atLeast"/>
        <w:outlineLvl w:val="0"/>
        <w:rPr>
          <w:rFonts w:ascii="Verdana" w:hAnsi="Verdana"/>
          <w:sz w:val="18"/>
          <w:szCs w:val="18"/>
        </w:rPr>
      </w:pPr>
      <w:r w:rsidRPr="00481236">
        <w:rPr>
          <w:rFonts w:ascii="Verdana" w:hAnsi="Verdana"/>
          <w:sz w:val="18"/>
          <w:szCs w:val="18"/>
        </w:rPr>
        <w:t>–</w:t>
      </w:r>
      <w:r w:rsidRPr="00481236">
        <w:rPr>
          <w:rFonts w:ascii="Verdana" w:hAnsi="Verdana"/>
          <w:sz w:val="18"/>
          <w:szCs w:val="18"/>
        </w:rPr>
        <w:tab/>
        <w:t>de wachtgelden van oud-leden van de Tweede Kamer (artikel 2.2);</w:t>
      </w:r>
    </w:p>
    <w:p w:rsidRPr="00481236" w:rsidR="00950DF8" w:rsidP="00654798" w:rsidRDefault="00950DF8" w14:paraId="41ECE1F5" w14:textId="17893CFC">
      <w:pPr>
        <w:spacing w:line="240" w:lineRule="atLeast"/>
        <w:outlineLvl w:val="0"/>
        <w:rPr>
          <w:rFonts w:ascii="Verdana" w:hAnsi="Verdana"/>
          <w:sz w:val="18"/>
          <w:szCs w:val="18"/>
        </w:rPr>
      </w:pPr>
      <w:r w:rsidRPr="00481236">
        <w:rPr>
          <w:rFonts w:ascii="Verdana" w:hAnsi="Verdana"/>
          <w:sz w:val="18"/>
          <w:szCs w:val="18"/>
        </w:rPr>
        <w:t>–</w:t>
      </w:r>
      <w:r w:rsidRPr="00481236">
        <w:rPr>
          <w:rFonts w:ascii="Verdana" w:hAnsi="Verdana"/>
          <w:sz w:val="18"/>
          <w:szCs w:val="18"/>
        </w:rPr>
        <w:tab/>
        <w:t xml:space="preserve">de pensioenen van oud-leden van de Tweede Kamer en hun nabestaanden (artikel 2.2); </w:t>
      </w:r>
    </w:p>
    <w:p w:rsidR="000C568F" w:rsidP="00654798" w:rsidRDefault="000C568F" w14:paraId="37A54FA4" w14:textId="063D9635">
      <w:pPr>
        <w:spacing w:line="240" w:lineRule="atLeast"/>
        <w:rPr>
          <w:rFonts w:ascii="Verdana" w:hAnsi="Verdana"/>
          <w:sz w:val="18"/>
          <w:szCs w:val="18"/>
        </w:rPr>
      </w:pPr>
    </w:p>
    <w:p w:rsidRPr="00397084" w:rsidR="00AE25CB" w:rsidP="00654798" w:rsidRDefault="51825749" w14:paraId="195AD611" w14:textId="1AECD1B1">
      <w:pPr>
        <w:tabs>
          <w:tab w:val="left" w:pos="2160"/>
        </w:tabs>
        <w:spacing w:line="240" w:lineRule="atLeast"/>
        <w:rPr>
          <w:rFonts w:ascii="Verdana" w:hAnsi="Verdana"/>
          <w:i/>
          <w:iCs/>
          <w:sz w:val="18"/>
          <w:szCs w:val="18"/>
        </w:rPr>
      </w:pPr>
      <w:r w:rsidRPr="51825749">
        <w:rPr>
          <w:rFonts w:ascii="Verdana" w:hAnsi="Verdana"/>
          <w:sz w:val="18"/>
          <w:szCs w:val="18"/>
        </w:rPr>
        <w:t>De uitgaven bedragen:</w:t>
      </w:r>
    </w:p>
    <w:p w:rsidRPr="00397084" w:rsidR="00AE25CB" w:rsidP="00654798" w:rsidRDefault="00AE25CB" w14:paraId="4CD3000C" w14:textId="77777777">
      <w:pPr>
        <w:tabs>
          <w:tab w:val="left" w:pos="2160"/>
        </w:tabs>
        <w:spacing w:line="240" w:lineRule="atLeast"/>
        <w:rPr>
          <w:rFonts w:ascii="Verdana" w:hAnsi="Verdana"/>
          <w:bCs/>
          <w:i/>
          <w:sz w:val="18"/>
          <w:szCs w:val="18"/>
        </w:rPr>
      </w:pPr>
    </w:p>
    <w:p w:rsidR="00AE25CB" w:rsidP="00654798" w:rsidRDefault="51825749" w14:paraId="55B5BD33" w14:textId="29C6D880">
      <w:pPr>
        <w:tabs>
          <w:tab w:val="left" w:pos="2160"/>
        </w:tabs>
        <w:spacing w:line="240" w:lineRule="atLeast"/>
        <w:rPr>
          <w:rFonts w:ascii="Verdana" w:hAnsi="Verdana"/>
          <w:i/>
          <w:iCs/>
          <w:sz w:val="18"/>
          <w:szCs w:val="18"/>
        </w:rPr>
      </w:pPr>
      <w:r w:rsidRPr="00801934">
        <w:rPr>
          <w:rFonts w:ascii="Verdana" w:hAnsi="Verdana"/>
          <w:i/>
          <w:iCs/>
          <w:sz w:val="18"/>
          <w:szCs w:val="18"/>
        </w:rPr>
        <w:t xml:space="preserve">Tabel 1: budgettaire gevolgen </w:t>
      </w:r>
    </w:p>
    <w:tbl>
      <w:tblPr>
        <w:tblW w:w="5000" w:type="pct"/>
        <w:tblCellMar>
          <w:left w:w="70" w:type="dxa"/>
          <w:right w:w="70" w:type="dxa"/>
        </w:tblCellMar>
        <w:tblLook w:val="04A0" w:firstRow="1" w:lastRow="0" w:firstColumn="1" w:lastColumn="0" w:noHBand="0" w:noVBand="1"/>
      </w:tblPr>
      <w:tblGrid>
        <w:gridCol w:w="2327"/>
        <w:gridCol w:w="1206"/>
        <w:gridCol w:w="1206"/>
        <w:gridCol w:w="1206"/>
        <w:gridCol w:w="1206"/>
        <w:gridCol w:w="1206"/>
        <w:gridCol w:w="1206"/>
      </w:tblGrid>
      <w:tr w:rsidRPr="00D85D17" w:rsidR="00D85D17" w:rsidTr="008E1F4B" w14:paraId="4FFF8223" w14:textId="77777777">
        <w:trPr>
          <w:trHeight w:val="949"/>
        </w:trPr>
        <w:tc>
          <w:tcPr>
            <w:tcW w:w="1397" w:type="pct"/>
            <w:tcBorders>
              <w:top w:val="nil"/>
              <w:left w:val="nil"/>
              <w:bottom w:val="nil"/>
              <w:right w:val="nil"/>
            </w:tcBorders>
            <w:shd w:val="clear" w:color="000000" w:fill="002060"/>
            <w:vAlign w:val="center"/>
            <w:hideMark/>
          </w:tcPr>
          <w:p w:rsidRPr="00D85D17" w:rsidR="00D85D17" w:rsidP="00D85D17" w:rsidRDefault="00D85D17" w14:paraId="20B194E0" w14:textId="77777777">
            <w:pPr>
              <w:rPr>
                <w:rFonts w:ascii="Verdana" w:hAnsi="Verdana" w:cs="Calibri"/>
                <w:b/>
                <w:bCs/>
                <w:color w:val="FFFFFF"/>
                <w:sz w:val="18"/>
                <w:szCs w:val="18"/>
              </w:rPr>
            </w:pPr>
            <w:r w:rsidRPr="00D85D17">
              <w:rPr>
                <w:rFonts w:ascii="Verdana" w:hAnsi="Verdana" w:cs="Calibri"/>
                <w:b/>
                <w:bCs/>
                <w:color w:val="FFFFFF"/>
                <w:sz w:val="18"/>
                <w:szCs w:val="18"/>
              </w:rPr>
              <w:t>Artikel 2: Uitgaven ten behoeve van leden en oud-leden Tweede Kamer (in €1.000)</w:t>
            </w:r>
          </w:p>
        </w:tc>
        <w:tc>
          <w:tcPr>
            <w:tcW w:w="618" w:type="pct"/>
            <w:tcBorders>
              <w:top w:val="nil"/>
              <w:left w:val="nil"/>
              <w:bottom w:val="nil"/>
              <w:right w:val="nil"/>
            </w:tcBorders>
            <w:shd w:val="clear" w:color="000000" w:fill="002060"/>
            <w:noWrap/>
            <w:vAlign w:val="center"/>
            <w:hideMark/>
          </w:tcPr>
          <w:p w:rsidRPr="00D85D17" w:rsidR="00D85D17" w:rsidP="00D85D17" w:rsidRDefault="00D85D17" w14:paraId="57A90734"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2025</w:t>
            </w:r>
          </w:p>
        </w:tc>
        <w:tc>
          <w:tcPr>
            <w:tcW w:w="588" w:type="pct"/>
            <w:tcBorders>
              <w:top w:val="nil"/>
              <w:left w:val="nil"/>
              <w:bottom w:val="nil"/>
              <w:right w:val="nil"/>
            </w:tcBorders>
            <w:shd w:val="clear" w:color="000000" w:fill="002060"/>
            <w:noWrap/>
            <w:vAlign w:val="center"/>
            <w:hideMark/>
          </w:tcPr>
          <w:p w:rsidRPr="00D85D17" w:rsidR="00D85D17" w:rsidP="00D85D17" w:rsidRDefault="00D85D17" w14:paraId="0A8627B7"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2026</w:t>
            </w:r>
          </w:p>
        </w:tc>
        <w:tc>
          <w:tcPr>
            <w:tcW w:w="588" w:type="pct"/>
            <w:tcBorders>
              <w:top w:val="nil"/>
              <w:left w:val="nil"/>
              <w:bottom w:val="nil"/>
              <w:right w:val="nil"/>
            </w:tcBorders>
            <w:shd w:val="clear" w:color="000000" w:fill="002060"/>
            <w:noWrap/>
            <w:vAlign w:val="center"/>
            <w:hideMark/>
          </w:tcPr>
          <w:p w:rsidRPr="00D85D17" w:rsidR="00D85D17" w:rsidP="00D85D17" w:rsidRDefault="00D85D17" w14:paraId="57AE5871"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2027</w:t>
            </w:r>
          </w:p>
        </w:tc>
        <w:tc>
          <w:tcPr>
            <w:tcW w:w="618" w:type="pct"/>
            <w:tcBorders>
              <w:top w:val="nil"/>
              <w:left w:val="nil"/>
              <w:bottom w:val="nil"/>
              <w:right w:val="nil"/>
            </w:tcBorders>
            <w:shd w:val="clear" w:color="000000" w:fill="002060"/>
            <w:noWrap/>
            <w:vAlign w:val="center"/>
            <w:hideMark/>
          </w:tcPr>
          <w:p w:rsidRPr="00D85D17" w:rsidR="00D85D17" w:rsidP="00D85D17" w:rsidRDefault="00D85D17" w14:paraId="5683D365"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2028</w:t>
            </w:r>
          </w:p>
        </w:tc>
        <w:tc>
          <w:tcPr>
            <w:tcW w:w="601" w:type="pct"/>
            <w:tcBorders>
              <w:top w:val="nil"/>
              <w:left w:val="nil"/>
              <w:bottom w:val="nil"/>
              <w:right w:val="nil"/>
            </w:tcBorders>
            <w:shd w:val="clear" w:color="000000" w:fill="002060"/>
            <w:noWrap/>
            <w:vAlign w:val="center"/>
            <w:hideMark/>
          </w:tcPr>
          <w:p w:rsidRPr="00D85D17" w:rsidR="00D85D17" w:rsidP="00D85D17" w:rsidRDefault="00D85D17" w14:paraId="1A51BC8F"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2029</w:t>
            </w:r>
          </w:p>
        </w:tc>
        <w:tc>
          <w:tcPr>
            <w:tcW w:w="588" w:type="pct"/>
            <w:tcBorders>
              <w:top w:val="nil"/>
              <w:left w:val="nil"/>
              <w:bottom w:val="nil"/>
              <w:right w:val="nil"/>
            </w:tcBorders>
            <w:shd w:val="clear" w:color="000000" w:fill="002060"/>
            <w:noWrap/>
            <w:vAlign w:val="center"/>
            <w:hideMark/>
          </w:tcPr>
          <w:p w:rsidRPr="00D85D17" w:rsidR="00D85D17" w:rsidP="00D85D17" w:rsidRDefault="00D85D17" w14:paraId="4CBB7EE2"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2030</w:t>
            </w:r>
          </w:p>
        </w:tc>
      </w:tr>
      <w:tr w:rsidRPr="00D85D17" w:rsidR="008E1F4B" w:rsidTr="008E1F4B" w14:paraId="78A46999" w14:textId="77777777">
        <w:trPr>
          <w:trHeight w:val="482"/>
        </w:trPr>
        <w:tc>
          <w:tcPr>
            <w:tcW w:w="1397" w:type="pct"/>
            <w:tcBorders>
              <w:top w:val="nil"/>
              <w:left w:val="nil"/>
              <w:bottom w:val="nil"/>
              <w:right w:val="nil"/>
            </w:tcBorders>
            <w:shd w:val="clear" w:color="auto" w:fill="auto"/>
            <w:vAlign w:val="center"/>
            <w:hideMark/>
          </w:tcPr>
          <w:p w:rsidRPr="00D85D17" w:rsidR="00D85D17" w:rsidP="00D85D17" w:rsidRDefault="00D85D17" w14:paraId="183050FC" w14:textId="77777777">
            <w:pPr>
              <w:rPr>
                <w:rFonts w:ascii="Verdana" w:hAnsi="Verdana" w:cs="Calibri"/>
                <w:color w:val="000000"/>
                <w:sz w:val="18"/>
                <w:szCs w:val="18"/>
              </w:rPr>
            </w:pPr>
            <w:r w:rsidRPr="00D85D17">
              <w:rPr>
                <w:rFonts w:ascii="Verdana" w:hAnsi="Verdana" w:cs="Calibri"/>
                <w:color w:val="000000"/>
                <w:sz w:val="18"/>
                <w:szCs w:val="18"/>
              </w:rPr>
              <w:t>2: Uitgaven t.b.v. leden en oud-leden Tweede Kamer</w:t>
            </w:r>
          </w:p>
        </w:tc>
        <w:tc>
          <w:tcPr>
            <w:tcW w:w="618" w:type="pct"/>
            <w:tcBorders>
              <w:top w:val="nil"/>
              <w:left w:val="nil"/>
              <w:bottom w:val="nil"/>
              <w:right w:val="nil"/>
            </w:tcBorders>
            <w:shd w:val="clear" w:color="auto" w:fill="auto"/>
            <w:vAlign w:val="center"/>
            <w:hideMark/>
          </w:tcPr>
          <w:p w:rsidRPr="00D85D17" w:rsidR="00D85D17" w:rsidP="00D85D17" w:rsidRDefault="00D85D17" w14:paraId="109F85FA" w14:textId="77777777">
            <w:pPr>
              <w:rPr>
                <w:rFonts w:ascii="Verdana" w:hAnsi="Verdana" w:cs="Calibri"/>
                <w:color w:val="000000"/>
                <w:sz w:val="18"/>
                <w:szCs w:val="18"/>
              </w:rPr>
            </w:pPr>
          </w:p>
        </w:tc>
        <w:tc>
          <w:tcPr>
            <w:tcW w:w="588" w:type="pct"/>
            <w:tcBorders>
              <w:top w:val="nil"/>
              <w:left w:val="nil"/>
              <w:bottom w:val="nil"/>
              <w:right w:val="nil"/>
            </w:tcBorders>
            <w:shd w:val="clear" w:color="auto" w:fill="auto"/>
            <w:vAlign w:val="center"/>
            <w:hideMark/>
          </w:tcPr>
          <w:p w:rsidRPr="00D85D17" w:rsidR="00D85D17" w:rsidP="00D85D17" w:rsidRDefault="00D85D17" w14:paraId="52E384A9" w14:textId="77777777">
            <w:pPr>
              <w:ind w:firstLine="400" w:firstLineChars="200"/>
              <w:jc w:val="right"/>
              <w:rPr>
                <w:rFonts w:ascii="Times New Roman" w:hAnsi="Times New Roman"/>
              </w:rPr>
            </w:pPr>
          </w:p>
        </w:tc>
        <w:tc>
          <w:tcPr>
            <w:tcW w:w="588" w:type="pct"/>
            <w:tcBorders>
              <w:top w:val="nil"/>
              <w:left w:val="nil"/>
              <w:bottom w:val="nil"/>
              <w:right w:val="nil"/>
            </w:tcBorders>
            <w:shd w:val="clear" w:color="auto" w:fill="auto"/>
            <w:vAlign w:val="center"/>
            <w:hideMark/>
          </w:tcPr>
          <w:p w:rsidRPr="00D85D17" w:rsidR="00D85D17" w:rsidP="00D85D17" w:rsidRDefault="00D85D17" w14:paraId="7D65341D" w14:textId="77777777">
            <w:pPr>
              <w:ind w:firstLine="400" w:firstLineChars="200"/>
              <w:jc w:val="right"/>
              <w:rPr>
                <w:rFonts w:ascii="Times New Roman" w:hAnsi="Times New Roman"/>
              </w:rPr>
            </w:pPr>
          </w:p>
        </w:tc>
        <w:tc>
          <w:tcPr>
            <w:tcW w:w="618" w:type="pct"/>
            <w:tcBorders>
              <w:top w:val="nil"/>
              <w:left w:val="nil"/>
              <w:bottom w:val="nil"/>
              <w:right w:val="nil"/>
            </w:tcBorders>
            <w:shd w:val="clear" w:color="auto" w:fill="auto"/>
            <w:vAlign w:val="center"/>
            <w:hideMark/>
          </w:tcPr>
          <w:p w:rsidRPr="00D85D17" w:rsidR="00D85D17" w:rsidP="00D85D17" w:rsidRDefault="00D85D17" w14:paraId="2E8D2BE1" w14:textId="77777777">
            <w:pPr>
              <w:ind w:firstLine="400" w:firstLineChars="200"/>
              <w:jc w:val="right"/>
              <w:rPr>
                <w:rFonts w:ascii="Times New Roman" w:hAnsi="Times New Roman"/>
              </w:rPr>
            </w:pPr>
          </w:p>
        </w:tc>
        <w:tc>
          <w:tcPr>
            <w:tcW w:w="601" w:type="pct"/>
            <w:tcBorders>
              <w:top w:val="nil"/>
              <w:left w:val="nil"/>
              <w:bottom w:val="nil"/>
              <w:right w:val="nil"/>
            </w:tcBorders>
            <w:shd w:val="clear" w:color="auto" w:fill="auto"/>
            <w:vAlign w:val="center"/>
            <w:hideMark/>
          </w:tcPr>
          <w:p w:rsidRPr="00D85D17" w:rsidR="00D85D17" w:rsidP="00D85D17" w:rsidRDefault="00D85D17" w14:paraId="78D92D94" w14:textId="77777777">
            <w:pPr>
              <w:ind w:firstLine="400" w:firstLineChars="200"/>
              <w:jc w:val="right"/>
              <w:rPr>
                <w:rFonts w:ascii="Times New Roman" w:hAnsi="Times New Roman"/>
              </w:rPr>
            </w:pPr>
          </w:p>
        </w:tc>
        <w:tc>
          <w:tcPr>
            <w:tcW w:w="588" w:type="pct"/>
            <w:tcBorders>
              <w:top w:val="nil"/>
              <w:left w:val="nil"/>
              <w:bottom w:val="nil"/>
              <w:right w:val="nil"/>
            </w:tcBorders>
            <w:shd w:val="clear" w:color="auto" w:fill="auto"/>
            <w:vAlign w:val="center"/>
            <w:hideMark/>
          </w:tcPr>
          <w:p w:rsidRPr="00D85D17" w:rsidR="00D85D17" w:rsidP="00D85D17" w:rsidRDefault="00D85D17" w14:paraId="3EB6749C" w14:textId="77777777">
            <w:pPr>
              <w:ind w:firstLine="400" w:firstLineChars="200"/>
              <w:jc w:val="right"/>
              <w:rPr>
                <w:rFonts w:ascii="Times New Roman" w:hAnsi="Times New Roman"/>
              </w:rPr>
            </w:pPr>
          </w:p>
        </w:tc>
      </w:tr>
      <w:tr w:rsidRPr="00D85D17" w:rsidR="008E1F4B" w:rsidTr="008E1F4B" w14:paraId="41921733" w14:textId="77777777">
        <w:trPr>
          <w:trHeight w:val="579"/>
        </w:trPr>
        <w:tc>
          <w:tcPr>
            <w:tcW w:w="1397" w:type="pct"/>
            <w:tcBorders>
              <w:top w:val="nil"/>
              <w:left w:val="nil"/>
              <w:bottom w:val="nil"/>
              <w:right w:val="nil"/>
            </w:tcBorders>
            <w:shd w:val="clear" w:color="auto" w:fill="auto"/>
            <w:vAlign w:val="center"/>
            <w:hideMark/>
          </w:tcPr>
          <w:p w:rsidRPr="00D85D17" w:rsidR="00D85D17" w:rsidP="00D85D17" w:rsidRDefault="00D85D17" w14:paraId="5674061F" w14:textId="77777777">
            <w:pPr>
              <w:ind w:firstLine="360" w:firstLineChars="200"/>
              <w:rPr>
                <w:rFonts w:ascii="Verdana" w:hAnsi="Verdana" w:cs="Calibri"/>
                <w:color w:val="000000"/>
                <w:sz w:val="18"/>
                <w:szCs w:val="18"/>
              </w:rPr>
            </w:pPr>
            <w:r w:rsidRPr="00D85D17">
              <w:rPr>
                <w:rFonts w:ascii="Verdana" w:hAnsi="Verdana" w:cs="Calibri"/>
                <w:color w:val="000000"/>
                <w:sz w:val="18"/>
                <w:szCs w:val="18"/>
              </w:rPr>
              <w:t>Verplichtingen</w:t>
            </w:r>
          </w:p>
        </w:tc>
        <w:tc>
          <w:tcPr>
            <w:tcW w:w="618" w:type="pct"/>
            <w:tcBorders>
              <w:top w:val="nil"/>
              <w:left w:val="nil"/>
              <w:bottom w:val="nil"/>
              <w:right w:val="nil"/>
            </w:tcBorders>
            <w:shd w:val="clear" w:color="auto" w:fill="auto"/>
            <w:vAlign w:val="center"/>
            <w:hideMark/>
          </w:tcPr>
          <w:p w:rsidRPr="00D85D17" w:rsidR="00D85D17" w:rsidP="00D85D17" w:rsidRDefault="00D85D17" w14:paraId="3C1BB0B3"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43.625</w:t>
            </w:r>
          </w:p>
        </w:tc>
        <w:tc>
          <w:tcPr>
            <w:tcW w:w="588" w:type="pct"/>
            <w:tcBorders>
              <w:top w:val="nil"/>
              <w:left w:val="nil"/>
              <w:bottom w:val="nil"/>
              <w:right w:val="nil"/>
            </w:tcBorders>
            <w:shd w:val="clear" w:color="auto" w:fill="auto"/>
            <w:vAlign w:val="center"/>
            <w:hideMark/>
          </w:tcPr>
          <w:p w:rsidRPr="00D85D17" w:rsidR="00D85D17" w:rsidP="00D85D17" w:rsidRDefault="00D85D17" w14:paraId="0D5689EA"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43.245</w:t>
            </w:r>
          </w:p>
        </w:tc>
        <w:tc>
          <w:tcPr>
            <w:tcW w:w="588" w:type="pct"/>
            <w:tcBorders>
              <w:top w:val="nil"/>
              <w:left w:val="nil"/>
              <w:bottom w:val="nil"/>
              <w:right w:val="nil"/>
            </w:tcBorders>
            <w:shd w:val="clear" w:color="auto" w:fill="auto"/>
            <w:vAlign w:val="center"/>
            <w:hideMark/>
          </w:tcPr>
          <w:p w:rsidRPr="00D85D17" w:rsidR="00D85D17" w:rsidP="00D85D17" w:rsidRDefault="00D85D17" w14:paraId="4BF5830A"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42.676</w:t>
            </w:r>
          </w:p>
        </w:tc>
        <w:tc>
          <w:tcPr>
            <w:tcW w:w="618" w:type="pct"/>
            <w:tcBorders>
              <w:top w:val="nil"/>
              <w:left w:val="nil"/>
              <w:bottom w:val="nil"/>
              <w:right w:val="nil"/>
            </w:tcBorders>
            <w:shd w:val="clear" w:color="auto" w:fill="auto"/>
            <w:vAlign w:val="center"/>
            <w:hideMark/>
          </w:tcPr>
          <w:p w:rsidRPr="00D85D17" w:rsidR="00D85D17" w:rsidP="00D85D17" w:rsidRDefault="00D85D17" w14:paraId="24B0F6D8"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48.676</w:t>
            </w:r>
          </w:p>
        </w:tc>
        <w:tc>
          <w:tcPr>
            <w:tcW w:w="601" w:type="pct"/>
            <w:tcBorders>
              <w:top w:val="nil"/>
              <w:left w:val="nil"/>
              <w:bottom w:val="nil"/>
              <w:right w:val="nil"/>
            </w:tcBorders>
            <w:shd w:val="clear" w:color="auto" w:fill="auto"/>
            <w:vAlign w:val="center"/>
            <w:hideMark/>
          </w:tcPr>
          <w:p w:rsidRPr="00D85D17" w:rsidR="00D85D17" w:rsidP="00D85D17" w:rsidRDefault="00D85D17" w14:paraId="33FA78A3"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43.744</w:t>
            </w:r>
          </w:p>
        </w:tc>
        <w:tc>
          <w:tcPr>
            <w:tcW w:w="588" w:type="pct"/>
            <w:tcBorders>
              <w:top w:val="nil"/>
              <w:left w:val="nil"/>
              <w:bottom w:val="nil"/>
              <w:right w:val="nil"/>
            </w:tcBorders>
            <w:shd w:val="clear" w:color="auto" w:fill="auto"/>
            <w:vAlign w:val="center"/>
            <w:hideMark/>
          </w:tcPr>
          <w:p w:rsidRPr="00D85D17" w:rsidR="00D85D17" w:rsidP="00D85D17" w:rsidRDefault="00D85D17" w14:paraId="2AF2D996"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43.244</w:t>
            </w:r>
          </w:p>
        </w:tc>
      </w:tr>
      <w:tr w:rsidRPr="00D85D17" w:rsidR="008E1F4B" w:rsidTr="008E1F4B" w14:paraId="2EFBD5B7" w14:textId="77777777">
        <w:trPr>
          <w:trHeight w:val="321"/>
        </w:trPr>
        <w:tc>
          <w:tcPr>
            <w:tcW w:w="1397" w:type="pct"/>
            <w:tcBorders>
              <w:top w:val="nil"/>
              <w:left w:val="nil"/>
              <w:bottom w:val="nil"/>
              <w:right w:val="nil"/>
            </w:tcBorders>
            <w:shd w:val="clear" w:color="auto" w:fill="auto"/>
            <w:vAlign w:val="center"/>
            <w:hideMark/>
          </w:tcPr>
          <w:p w:rsidRPr="00D85D17" w:rsidR="00D85D17" w:rsidP="00D85D17" w:rsidRDefault="00D85D17" w14:paraId="1C90D2DA" w14:textId="77777777">
            <w:pPr>
              <w:ind w:firstLine="360" w:firstLineChars="200"/>
              <w:rPr>
                <w:rFonts w:ascii="Verdana" w:hAnsi="Verdana" w:cs="Calibri"/>
                <w:color w:val="000000"/>
                <w:sz w:val="18"/>
                <w:szCs w:val="18"/>
              </w:rPr>
            </w:pPr>
            <w:r w:rsidRPr="00D85D17">
              <w:rPr>
                <w:rFonts w:ascii="Verdana" w:hAnsi="Verdana" w:cs="Calibri"/>
                <w:color w:val="000000"/>
                <w:sz w:val="18"/>
                <w:szCs w:val="18"/>
              </w:rPr>
              <w:t>Uitgaven</w:t>
            </w:r>
          </w:p>
        </w:tc>
        <w:tc>
          <w:tcPr>
            <w:tcW w:w="618" w:type="pct"/>
            <w:tcBorders>
              <w:top w:val="nil"/>
              <w:left w:val="nil"/>
              <w:bottom w:val="nil"/>
              <w:right w:val="nil"/>
            </w:tcBorders>
            <w:shd w:val="clear" w:color="auto" w:fill="auto"/>
            <w:vAlign w:val="center"/>
            <w:hideMark/>
          </w:tcPr>
          <w:p w:rsidRPr="00D85D17" w:rsidR="00D85D17" w:rsidP="00D85D17" w:rsidRDefault="00D85D17" w14:paraId="7AF5A811"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43.625</w:t>
            </w:r>
          </w:p>
        </w:tc>
        <w:tc>
          <w:tcPr>
            <w:tcW w:w="588" w:type="pct"/>
            <w:tcBorders>
              <w:top w:val="nil"/>
              <w:left w:val="nil"/>
              <w:bottom w:val="nil"/>
              <w:right w:val="nil"/>
            </w:tcBorders>
            <w:shd w:val="clear" w:color="auto" w:fill="auto"/>
            <w:vAlign w:val="center"/>
            <w:hideMark/>
          </w:tcPr>
          <w:p w:rsidRPr="00D85D17" w:rsidR="00D85D17" w:rsidP="00D85D17" w:rsidRDefault="00D85D17" w14:paraId="3D3DA131"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43.245</w:t>
            </w:r>
          </w:p>
        </w:tc>
        <w:tc>
          <w:tcPr>
            <w:tcW w:w="588" w:type="pct"/>
            <w:tcBorders>
              <w:top w:val="nil"/>
              <w:left w:val="nil"/>
              <w:bottom w:val="nil"/>
              <w:right w:val="nil"/>
            </w:tcBorders>
            <w:shd w:val="clear" w:color="auto" w:fill="auto"/>
            <w:vAlign w:val="center"/>
            <w:hideMark/>
          </w:tcPr>
          <w:p w:rsidRPr="00D85D17" w:rsidR="00D85D17" w:rsidP="00D85D17" w:rsidRDefault="00D85D17" w14:paraId="005DA8F3"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42.676</w:t>
            </w:r>
          </w:p>
        </w:tc>
        <w:tc>
          <w:tcPr>
            <w:tcW w:w="618" w:type="pct"/>
            <w:tcBorders>
              <w:top w:val="nil"/>
              <w:left w:val="nil"/>
              <w:bottom w:val="nil"/>
              <w:right w:val="nil"/>
            </w:tcBorders>
            <w:shd w:val="clear" w:color="auto" w:fill="auto"/>
            <w:vAlign w:val="center"/>
            <w:hideMark/>
          </w:tcPr>
          <w:p w:rsidRPr="00D85D17" w:rsidR="00D85D17" w:rsidP="00D85D17" w:rsidRDefault="00D85D17" w14:paraId="24272515"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48.676</w:t>
            </w:r>
          </w:p>
        </w:tc>
        <w:tc>
          <w:tcPr>
            <w:tcW w:w="601" w:type="pct"/>
            <w:tcBorders>
              <w:top w:val="nil"/>
              <w:left w:val="nil"/>
              <w:bottom w:val="nil"/>
              <w:right w:val="nil"/>
            </w:tcBorders>
            <w:shd w:val="clear" w:color="auto" w:fill="auto"/>
            <w:vAlign w:val="center"/>
            <w:hideMark/>
          </w:tcPr>
          <w:p w:rsidRPr="00D85D17" w:rsidR="00D85D17" w:rsidP="00D85D17" w:rsidRDefault="00D85D17" w14:paraId="0CC64FF4"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43.744</w:t>
            </w:r>
          </w:p>
        </w:tc>
        <w:tc>
          <w:tcPr>
            <w:tcW w:w="588" w:type="pct"/>
            <w:tcBorders>
              <w:top w:val="nil"/>
              <w:left w:val="nil"/>
              <w:bottom w:val="nil"/>
              <w:right w:val="nil"/>
            </w:tcBorders>
            <w:shd w:val="clear" w:color="auto" w:fill="auto"/>
            <w:vAlign w:val="center"/>
            <w:hideMark/>
          </w:tcPr>
          <w:p w:rsidRPr="00D85D17" w:rsidR="00D85D17" w:rsidP="00D85D17" w:rsidRDefault="00D85D17" w14:paraId="2EF603C8" w14:textId="77777777">
            <w:pPr>
              <w:ind w:firstLine="361" w:firstLineChars="200"/>
              <w:jc w:val="right"/>
              <w:rPr>
                <w:rFonts w:ascii="Verdana" w:hAnsi="Verdana" w:cs="Calibri"/>
                <w:b/>
                <w:bCs/>
                <w:color w:val="000000"/>
                <w:sz w:val="18"/>
                <w:szCs w:val="18"/>
              </w:rPr>
            </w:pPr>
            <w:r w:rsidRPr="00D85D17">
              <w:rPr>
                <w:rFonts w:ascii="Verdana" w:hAnsi="Verdana" w:cs="Calibri"/>
                <w:b/>
                <w:bCs/>
                <w:color w:val="000000"/>
                <w:sz w:val="18"/>
                <w:szCs w:val="18"/>
              </w:rPr>
              <w:t>43.244</w:t>
            </w:r>
          </w:p>
        </w:tc>
      </w:tr>
      <w:tr w:rsidRPr="00D85D17" w:rsidR="008E1F4B" w:rsidTr="008E1F4B" w14:paraId="75D5CAAA" w14:textId="77777777">
        <w:trPr>
          <w:trHeight w:val="321"/>
        </w:trPr>
        <w:tc>
          <w:tcPr>
            <w:tcW w:w="1397" w:type="pct"/>
            <w:tcBorders>
              <w:top w:val="nil"/>
              <w:left w:val="nil"/>
              <w:bottom w:val="nil"/>
              <w:right w:val="nil"/>
            </w:tcBorders>
            <w:shd w:val="clear" w:color="auto" w:fill="auto"/>
            <w:vAlign w:val="center"/>
            <w:hideMark/>
          </w:tcPr>
          <w:p w:rsidRPr="00D85D17" w:rsidR="00D85D17" w:rsidP="00D85D17" w:rsidRDefault="00D85D17" w14:paraId="0E42A0F4" w14:textId="77777777">
            <w:pPr>
              <w:rPr>
                <w:rFonts w:ascii="Verdana" w:hAnsi="Verdana" w:cs="Calibri"/>
                <w:color w:val="000000"/>
                <w:sz w:val="18"/>
                <w:szCs w:val="18"/>
              </w:rPr>
            </w:pPr>
            <w:r w:rsidRPr="00D85D17">
              <w:rPr>
                <w:rFonts w:ascii="Verdana" w:hAnsi="Verdana" w:cs="Calibri"/>
                <w:color w:val="000000"/>
                <w:sz w:val="18"/>
                <w:szCs w:val="18"/>
              </w:rPr>
              <w:t>1. schadeloosstelling</w:t>
            </w:r>
          </w:p>
        </w:tc>
        <w:tc>
          <w:tcPr>
            <w:tcW w:w="618" w:type="pct"/>
            <w:tcBorders>
              <w:top w:val="nil"/>
              <w:left w:val="nil"/>
              <w:bottom w:val="nil"/>
              <w:right w:val="nil"/>
            </w:tcBorders>
            <w:shd w:val="clear" w:color="auto" w:fill="auto"/>
            <w:vAlign w:val="center"/>
            <w:hideMark/>
          </w:tcPr>
          <w:p w:rsidRPr="00D85D17" w:rsidR="00D85D17" w:rsidP="00D85D17" w:rsidRDefault="00D85D17" w14:paraId="2D257174"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27.551</w:t>
            </w:r>
          </w:p>
        </w:tc>
        <w:tc>
          <w:tcPr>
            <w:tcW w:w="588" w:type="pct"/>
            <w:tcBorders>
              <w:top w:val="nil"/>
              <w:left w:val="nil"/>
              <w:bottom w:val="nil"/>
              <w:right w:val="nil"/>
            </w:tcBorders>
            <w:shd w:val="clear" w:color="auto" w:fill="auto"/>
            <w:vAlign w:val="center"/>
            <w:hideMark/>
          </w:tcPr>
          <w:p w:rsidRPr="00D85D17" w:rsidR="00D85D17" w:rsidP="00D85D17" w:rsidRDefault="00D85D17" w14:paraId="107E4D8E"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27.551</w:t>
            </w:r>
          </w:p>
        </w:tc>
        <w:tc>
          <w:tcPr>
            <w:tcW w:w="588" w:type="pct"/>
            <w:tcBorders>
              <w:top w:val="nil"/>
              <w:left w:val="nil"/>
              <w:bottom w:val="nil"/>
              <w:right w:val="nil"/>
            </w:tcBorders>
            <w:shd w:val="clear" w:color="auto" w:fill="auto"/>
            <w:vAlign w:val="center"/>
            <w:hideMark/>
          </w:tcPr>
          <w:p w:rsidRPr="00D85D17" w:rsidR="00D85D17" w:rsidP="00D85D17" w:rsidRDefault="00D85D17" w14:paraId="5871EEF7"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27.551</w:t>
            </w:r>
          </w:p>
        </w:tc>
        <w:tc>
          <w:tcPr>
            <w:tcW w:w="618" w:type="pct"/>
            <w:tcBorders>
              <w:top w:val="nil"/>
              <w:left w:val="nil"/>
              <w:bottom w:val="nil"/>
              <w:right w:val="nil"/>
            </w:tcBorders>
            <w:shd w:val="clear" w:color="auto" w:fill="auto"/>
            <w:vAlign w:val="center"/>
            <w:hideMark/>
          </w:tcPr>
          <w:p w:rsidRPr="00D85D17" w:rsidR="00D85D17" w:rsidP="00D85D17" w:rsidRDefault="00D85D17" w14:paraId="25E96448"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27.551</w:t>
            </w:r>
          </w:p>
        </w:tc>
        <w:tc>
          <w:tcPr>
            <w:tcW w:w="601" w:type="pct"/>
            <w:tcBorders>
              <w:top w:val="nil"/>
              <w:left w:val="nil"/>
              <w:bottom w:val="nil"/>
              <w:right w:val="nil"/>
            </w:tcBorders>
            <w:shd w:val="clear" w:color="auto" w:fill="auto"/>
            <w:vAlign w:val="center"/>
            <w:hideMark/>
          </w:tcPr>
          <w:p w:rsidRPr="00D85D17" w:rsidR="00D85D17" w:rsidP="00D85D17" w:rsidRDefault="00D85D17" w14:paraId="05B8DCE0"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27.551</w:t>
            </w:r>
          </w:p>
        </w:tc>
        <w:tc>
          <w:tcPr>
            <w:tcW w:w="588" w:type="pct"/>
            <w:tcBorders>
              <w:top w:val="nil"/>
              <w:left w:val="nil"/>
              <w:bottom w:val="nil"/>
              <w:right w:val="nil"/>
            </w:tcBorders>
            <w:shd w:val="clear" w:color="auto" w:fill="auto"/>
            <w:vAlign w:val="center"/>
            <w:hideMark/>
          </w:tcPr>
          <w:p w:rsidRPr="00D85D17" w:rsidR="00D85D17" w:rsidP="00D85D17" w:rsidRDefault="00D85D17" w14:paraId="1FFE3220"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27.551</w:t>
            </w:r>
          </w:p>
        </w:tc>
      </w:tr>
      <w:tr w:rsidRPr="00D85D17" w:rsidR="008E1F4B" w:rsidTr="008E1F4B" w14:paraId="5C2A03B7" w14:textId="77777777">
        <w:trPr>
          <w:trHeight w:val="321"/>
        </w:trPr>
        <w:tc>
          <w:tcPr>
            <w:tcW w:w="1397" w:type="pct"/>
            <w:tcBorders>
              <w:top w:val="nil"/>
              <w:left w:val="nil"/>
              <w:bottom w:val="nil"/>
              <w:right w:val="nil"/>
            </w:tcBorders>
            <w:shd w:val="clear" w:color="auto" w:fill="auto"/>
            <w:vAlign w:val="center"/>
            <w:hideMark/>
          </w:tcPr>
          <w:p w:rsidRPr="00D85D17" w:rsidR="00D85D17" w:rsidP="00D85D17" w:rsidRDefault="00D85D17" w14:paraId="25CCE22E" w14:textId="77777777">
            <w:pPr>
              <w:ind w:firstLine="360" w:firstLineChars="200"/>
              <w:rPr>
                <w:rFonts w:ascii="Verdana" w:hAnsi="Verdana" w:cs="Calibri"/>
                <w:color w:val="000000"/>
                <w:sz w:val="18"/>
                <w:szCs w:val="18"/>
              </w:rPr>
            </w:pPr>
            <w:r w:rsidRPr="00D85D17">
              <w:rPr>
                <w:rFonts w:ascii="Verdana" w:hAnsi="Verdana" w:cs="Calibri"/>
                <w:color w:val="000000"/>
                <w:sz w:val="18"/>
                <w:szCs w:val="18"/>
              </w:rPr>
              <w:t>Ramingsbijstelling</w:t>
            </w:r>
          </w:p>
        </w:tc>
        <w:tc>
          <w:tcPr>
            <w:tcW w:w="618" w:type="pct"/>
            <w:tcBorders>
              <w:top w:val="nil"/>
              <w:left w:val="nil"/>
              <w:bottom w:val="nil"/>
              <w:right w:val="nil"/>
            </w:tcBorders>
            <w:shd w:val="clear" w:color="auto" w:fill="auto"/>
            <w:vAlign w:val="center"/>
            <w:hideMark/>
          </w:tcPr>
          <w:p w:rsidRPr="00D85D17" w:rsidR="00D85D17" w:rsidP="00D85D17" w:rsidRDefault="00D85D17" w14:paraId="400DD375"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2.000</w:t>
            </w:r>
          </w:p>
        </w:tc>
        <w:tc>
          <w:tcPr>
            <w:tcW w:w="588" w:type="pct"/>
            <w:tcBorders>
              <w:top w:val="nil"/>
              <w:left w:val="nil"/>
              <w:bottom w:val="nil"/>
              <w:right w:val="nil"/>
            </w:tcBorders>
            <w:shd w:val="clear" w:color="auto" w:fill="auto"/>
            <w:vAlign w:val="center"/>
            <w:hideMark/>
          </w:tcPr>
          <w:p w:rsidRPr="00D85D17" w:rsidR="00D85D17" w:rsidP="00D85D17" w:rsidRDefault="00D85D17" w14:paraId="6D75F3B0"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2.000</w:t>
            </w:r>
          </w:p>
        </w:tc>
        <w:tc>
          <w:tcPr>
            <w:tcW w:w="588" w:type="pct"/>
            <w:tcBorders>
              <w:top w:val="nil"/>
              <w:left w:val="nil"/>
              <w:bottom w:val="nil"/>
              <w:right w:val="nil"/>
            </w:tcBorders>
            <w:shd w:val="clear" w:color="auto" w:fill="auto"/>
            <w:vAlign w:val="center"/>
            <w:hideMark/>
          </w:tcPr>
          <w:p w:rsidRPr="00D85D17" w:rsidR="00D85D17" w:rsidP="00D85D17" w:rsidRDefault="00D85D17" w14:paraId="61128C04"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2.000</w:t>
            </w:r>
          </w:p>
        </w:tc>
        <w:tc>
          <w:tcPr>
            <w:tcW w:w="618" w:type="pct"/>
            <w:tcBorders>
              <w:top w:val="nil"/>
              <w:left w:val="nil"/>
              <w:bottom w:val="nil"/>
              <w:right w:val="nil"/>
            </w:tcBorders>
            <w:shd w:val="clear" w:color="auto" w:fill="auto"/>
            <w:vAlign w:val="center"/>
            <w:hideMark/>
          </w:tcPr>
          <w:p w:rsidRPr="00D85D17" w:rsidR="00D85D17" w:rsidP="00D85D17" w:rsidRDefault="00D85D17" w14:paraId="1F9250A5"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2.000</w:t>
            </w:r>
          </w:p>
        </w:tc>
        <w:tc>
          <w:tcPr>
            <w:tcW w:w="601" w:type="pct"/>
            <w:tcBorders>
              <w:top w:val="nil"/>
              <w:left w:val="nil"/>
              <w:bottom w:val="nil"/>
              <w:right w:val="nil"/>
            </w:tcBorders>
            <w:shd w:val="clear" w:color="auto" w:fill="auto"/>
            <w:vAlign w:val="center"/>
            <w:hideMark/>
          </w:tcPr>
          <w:p w:rsidRPr="00D85D17" w:rsidR="00D85D17" w:rsidP="00D85D17" w:rsidRDefault="00D85D17" w14:paraId="4B2C7F97"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2.000</w:t>
            </w:r>
          </w:p>
        </w:tc>
        <w:tc>
          <w:tcPr>
            <w:tcW w:w="588" w:type="pct"/>
            <w:tcBorders>
              <w:top w:val="nil"/>
              <w:left w:val="nil"/>
              <w:bottom w:val="nil"/>
              <w:right w:val="nil"/>
            </w:tcBorders>
            <w:shd w:val="clear" w:color="auto" w:fill="auto"/>
            <w:vAlign w:val="center"/>
            <w:hideMark/>
          </w:tcPr>
          <w:p w:rsidRPr="00D85D17" w:rsidR="00D85D17" w:rsidP="00D85D17" w:rsidRDefault="00D85D17" w14:paraId="05279FCC"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2.000</w:t>
            </w:r>
          </w:p>
        </w:tc>
      </w:tr>
      <w:tr w:rsidRPr="00D85D17" w:rsidR="008E1F4B" w:rsidTr="008E1F4B" w14:paraId="524861E7" w14:textId="77777777">
        <w:trPr>
          <w:trHeight w:val="321"/>
        </w:trPr>
        <w:tc>
          <w:tcPr>
            <w:tcW w:w="1397" w:type="pct"/>
            <w:tcBorders>
              <w:top w:val="nil"/>
              <w:left w:val="nil"/>
              <w:bottom w:val="nil"/>
              <w:right w:val="nil"/>
            </w:tcBorders>
            <w:shd w:val="clear" w:color="auto" w:fill="auto"/>
            <w:vAlign w:val="center"/>
            <w:hideMark/>
          </w:tcPr>
          <w:p w:rsidRPr="00D85D17" w:rsidR="00D85D17" w:rsidP="00D85D17" w:rsidRDefault="00D85D17" w14:paraId="52DD5C92" w14:textId="77777777">
            <w:pPr>
              <w:rPr>
                <w:rFonts w:ascii="Verdana" w:hAnsi="Verdana" w:cs="Calibri"/>
                <w:color w:val="000000"/>
                <w:sz w:val="18"/>
                <w:szCs w:val="18"/>
              </w:rPr>
            </w:pPr>
            <w:r w:rsidRPr="00D85D17">
              <w:rPr>
                <w:rFonts w:ascii="Verdana" w:hAnsi="Verdana" w:cs="Calibri"/>
                <w:color w:val="000000"/>
                <w:sz w:val="18"/>
                <w:szCs w:val="18"/>
              </w:rPr>
              <w:t>2. pensioenen en wachtgelden</w:t>
            </w:r>
          </w:p>
        </w:tc>
        <w:tc>
          <w:tcPr>
            <w:tcW w:w="618" w:type="pct"/>
            <w:tcBorders>
              <w:top w:val="nil"/>
              <w:left w:val="nil"/>
              <w:bottom w:val="nil"/>
              <w:right w:val="nil"/>
            </w:tcBorders>
            <w:shd w:val="clear" w:color="auto" w:fill="auto"/>
            <w:vAlign w:val="center"/>
            <w:hideMark/>
          </w:tcPr>
          <w:p w:rsidRPr="00D85D17" w:rsidR="00D85D17" w:rsidP="00D85D17" w:rsidRDefault="00D85D17" w14:paraId="113525C2"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15.872</w:t>
            </w:r>
          </w:p>
        </w:tc>
        <w:tc>
          <w:tcPr>
            <w:tcW w:w="588" w:type="pct"/>
            <w:tcBorders>
              <w:top w:val="nil"/>
              <w:left w:val="nil"/>
              <w:bottom w:val="nil"/>
              <w:right w:val="nil"/>
            </w:tcBorders>
            <w:shd w:val="clear" w:color="auto" w:fill="auto"/>
            <w:vAlign w:val="center"/>
            <w:hideMark/>
          </w:tcPr>
          <w:p w:rsidRPr="00D85D17" w:rsidR="00D85D17" w:rsidP="00D85D17" w:rsidRDefault="00D85D17" w14:paraId="3EF6395A"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13.694</w:t>
            </w:r>
          </w:p>
        </w:tc>
        <w:tc>
          <w:tcPr>
            <w:tcW w:w="588" w:type="pct"/>
            <w:tcBorders>
              <w:top w:val="nil"/>
              <w:left w:val="nil"/>
              <w:bottom w:val="nil"/>
              <w:right w:val="nil"/>
            </w:tcBorders>
            <w:shd w:val="clear" w:color="auto" w:fill="auto"/>
            <w:vAlign w:val="center"/>
            <w:hideMark/>
          </w:tcPr>
          <w:p w:rsidRPr="00D85D17" w:rsidR="00D85D17" w:rsidP="00D85D17" w:rsidRDefault="00D85D17" w14:paraId="0702FC2E"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13.125</w:t>
            </w:r>
          </w:p>
        </w:tc>
        <w:tc>
          <w:tcPr>
            <w:tcW w:w="618" w:type="pct"/>
            <w:tcBorders>
              <w:top w:val="nil"/>
              <w:left w:val="nil"/>
              <w:bottom w:val="nil"/>
              <w:right w:val="nil"/>
            </w:tcBorders>
            <w:shd w:val="clear" w:color="auto" w:fill="auto"/>
            <w:vAlign w:val="center"/>
            <w:hideMark/>
          </w:tcPr>
          <w:p w:rsidRPr="00D85D17" w:rsidR="00D85D17" w:rsidP="00D85D17" w:rsidRDefault="00D85D17" w14:paraId="189112F5"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19.125</w:t>
            </w:r>
          </w:p>
        </w:tc>
        <w:tc>
          <w:tcPr>
            <w:tcW w:w="601" w:type="pct"/>
            <w:tcBorders>
              <w:top w:val="nil"/>
              <w:left w:val="nil"/>
              <w:bottom w:val="nil"/>
              <w:right w:val="nil"/>
            </w:tcBorders>
            <w:shd w:val="clear" w:color="auto" w:fill="auto"/>
            <w:vAlign w:val="center"/>
            <w:hideMark/>
          </w:tcPr>
          <w:p w:rsidRPr="00D85D17" w:rsidR="00D85D17" w:rsidP="00D85D17" w:rsidRDefault="00D85D17" w14:paraId="1090F4DC"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14.193</w:t>
            </w:r>
          </w:p>
        </w:tc>
        <w:tc>
          <w:tcPr>
            <w:tcW w:w="588" w:type="pct"/>
            <w:tcBorders>
              <w:top w:val="nil"/>
              <w:left w:val="nil"/>
              <w:bottom w:val="nil"/>
              <w:right w:val="nil"/>
            </w:tcBorders>
            <w:shd w:val="clear" w:color="auto" w:fill="auto"/>
            <w:vAlign w:val="center"/>
            <w:hideMark/>
          </w:tcPr>
          <w:p w:rsidRPr="00D85D17" w:rsidR="00D85D17" w:rsidP="00D85D17" w:rsidRDefault="00D85D17" w14:paraId="240E43B6"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13.693</w:t>
            </w:r>
          </w:p>
        </w:tc>
      </w:tr>
      <w:tr w:rsidRPr="00D85D17" w:rsidR="008E1F4B" w:rsidTr="008E1F4B" w14:paraId="1264A0EF" w14:textId="77777777">
        <w:trPr>
          <w:trHeight w:val="321"/>
        </w:trPr>
        <w:tc>
          <w:tcPr>
            <w:tcW w:w="1397" w:type="pct"/>
            <w:tcBorders>
              <w:top w:val="nil"/>
              <w:left w:val="nil"/>
              <w:bottom w:val="nil"/>
              <w:right w:val="nil"/>
            </w:tcBorders>
            <w:shd w:val="clear" w:color="auto" w:fill="auto"/>
            <w:vAlign w:val="center"/>
            <w:hideMark/>
          </w:tcPr>
          <w:p w:rsidRPr="00D85D17" w:rsidR="00D85D17" w:rsidP="00D85D17" w:rsidRDefault="00D85D17" w14:paraId="3DE0AB04" w14:textId="77777777">
            <w:pPr>
              <w:ind w:firstLine="360" w:firstLineChars="200"/>
              <w:rPr>
                <w:rFonts w:ascii="Verdana" w:hAnsi="Verdana" w:cs="Calibri"/>
                <w:color w:val="000000"/>
                <w:sz w:val="18"/>
                <w:szCs w:val="18"/>
              </w:rPr>
            </w:pPr>
            <w:r w:rsidRPr="00D85D17">
              <w:rPr>
                <w:rFonts w:ascii="Verdana" w:hAnsi="Verdana" w:cs="Calibri"/>
                <w:color w:val="000000"/>
                <w:sz w:val="18"/>
                <w:szCs w:val="18"/>
              </w:rPr>
              <w:t>Ramingsbijstelling</w:t>
            </w:r>
          </w:p>
        </w:tc>
        <w:tc>
          <w:tcPr>
            <w:tcW w:w="618" w:type="pct"/>
            <w:tcBorders>
              <w:top w:val="nil"/>
              <w:left w:val="nil"/>
              <w:bottom w:val="nil"/>
              <w:right w:val="nil"/>
            </w:tcBorders>
            <w:shd w:val="clear" w:color="auto" w:fill="auto"/>
            <w:vAlign w:val="center"/>
            <w:hideMark/>
          </w:tcPr>
          <w:p w:rsidRPr="00D85D17" w:rsidR="00D85D17" w:rsidP="00D85D17" w:rsidRDefault="00D85D17" w14:paraId="6F0D98F5"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-1.798</w:t>
            </w:r>
          </w:p>
        </w:tc>
        <w:tc>
          <w:tcPr>
            <w:tcW w:w="588" w:type="pct"/>
            <w:tcBorders>
              <w:top w:val="nil"/>
              <w:left w:val="nil"/>
              <w:bottom w:val="nil"/>
              <w:right w:val="nil"/>
            </w:tcBorders>
            <w:shd w:val="clear" w:color="auto" w:fill="auto"/>
            <w:vAlign w:val="center"/>
            <w:hideMark/>
          </w:tcPr>
          <w:p w:rsidRPr="00D85D17" w:rsidR="00D85D17" w:rsidP="00D85D17" w:rsidRDefault="00D85D17" w14:paraId="77B1ED68"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0</w:t>
            </w:r>
          </w:p>
        </w:tc>
        <w:tc>
          <w:tcPr>
            <w:tcW w:w="588" w:type="pct"/>
            <w:tcBorders>
              <w:top w:val="nil"/>
              <w:left w:val="nil"/>
              <w:bottom w:val="nil"/>
              <w:right w:val="nil"/>
            </w:tcBorders>
            <w:shd w:val="clear" w:color="auto" w:fill="auto"/>
            <w:vAlign w:val="center"/>
            <w:hideMark/>
          </w:tcPr>
          <w:p w:rsidRPr="00D85D17" w:rsidR="00D85D17" w:rsidP="00D85D17" w:rsidRDefault="00D85D17" w14:paraId="7FED991A"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0</w:t>
            </w:r>
          </w:p>
        </w:tc>
        <w:tc>
          <w:tcPr>
            <w:tcW w:w="618" w:type="pct"/>
            <w:tcBorders>
              <w:top w:val="nil"/>
              <w:left w:val="nil"/>
              <w:bottom w:val="nil"/>
              <w:right w:val="nil"/>
            </w:tcBorders>
            <w:shd w:val="clear" w:color="auto" w:fill="auto"/>
            <w:vAlign w:val="center"/>
            <w:hideMark/>
          </w:tcPr>
          <w:p w:rsidRPr="00D85D17" w:rsidR="00D85D17" w:rsidP="00D85D17" w:rsidRDefault="00D85D17" w14:paraId="5917710E"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0</w:t>
            </w:r>
          </w:p>
        </w:tc>
        <w:tc>
          <w:tcPr>
            <w:tcW w:w="601" w:type="pct"/>
            <w:tcBorders>
              <w:top w:val="nil"/>
              <w:left w:val="nil"/>
              <w:bottom w:val="nil"/>
              <w:right w:val="nil"/>
            </w:tcBorders>
            <w:shd w:val="clear" w:color="auto" w:fill="auto"/>
            <w:vAlign w:val="center"/>
            <w:hideMark/>
          </w:tcPr>
          <w:p w:rsidRPr="00D85D17" w:rsidR="00D85D17" w:rsidP="00D85D17" w:rsidRDefault="00D85D17" w14:paraId="7359149A"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0</w:t>
            </w:r>
          </w:p>
        </w:tc>
        <w:tc>
          <w:tcPr>
            <w:tcW w:w="588" w:type="pct"/>
            <w:tcBorders>
              <w:top w:val="nil"/>
              <w:left w:val="nil"/>
              <w:bottom w:val="nil"/>
              <w:right w:val="nil"/>
            </w:tcBorders>
            <w:shd w:val="clear" w:color="auto" w:fill="auto"/>
            <w:vAlign w:val="center"/>
            <w:hideMark/>
          </w:tcPr>
          <w:p w:rsidRPr="00D85D17" w:rsidR="00D85D17" w:rsidP="00D85D17" w:rsidRDefault="00D85D17" w14:paraId="3B785514"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0</w:t>
            </w:r>
          </w:p>
        </w:tc>
      </w:tr>
      <w:tr w:rsidRPr="00D85D17" w:rsidR="008E1F4B" w:rsidTr="008E1F4B" w14:paraId="7ADFFB55" w14:textId="77777777">
        <w:trPr>
          <w:trHeight w:val="338"/>
        </w:trPr>
        <w:tc>
          <w:tcPr>
            <w:tcW w:w="1397" w:type="pct"/>
            <w:tcBorders>
              <w:top w:val="nil"/>
              <w:left w:val="nil"/>
              <w:bottom w:val="single" w:color="auto" w:sz="8" w:space="0"/>
              <w:right w:val="nil"/>
            </w:tcBorders>
            <w:shd w:val="clear" w:color="auto" w:fill="auto"/>
            <w:vAlign w:val="center"/>
            <w:hideMark/>
          </w:tcPr>
          <w:p w:rsidRPr="00D85D17" w:rsidR="00D85D17" w:rsidP="00D85D17" w:rsidRDefault="00D85D17" w14:paraId="397E9AEF" w14:textId="77777777">
            <w:pPr>
              <w:ind w:firstLine="360" w:firstLineChars="200"/>
              <w:rPr>
                <w:rFonts w:ascii="Verdana" w:hAnsi="Verdana" w:cs="Calibri"/>
                <w:color w:val="000000"/>
                <w:sz w:val="18"/>
                <w:szCs w:val="18"/>
              </w:rPr>
            </w:pPr>
            <w:r w:rsidRPr="00D85D17">
              <w:rPr>
                <w:rFonts w:ascii="Verdana" w:hAnsi="Verdana" w:cs="Calibri"/>
                <w:color w:val="000000"/>
                <w:sz w:val="18"/>
                <w:szCs w:val="18"/>
              </w:rPr>
              <w:t>Ontvangsten</w:t>
            </w:r>
          </w:p>
        </w:tc>
        <w:tc>
          <w:tcPr>
            <w:tcW w:w="618" w:type="pct"/>
            <w:tcBorders>
              <w:top w:val="nil"/>
              <w:left w:val="nil"/>
              <w:bottom w:val="single" w:color="auto" w:sz="8" w:space="0"/>
              <w:right w:val="nil"/>
            </w:tcBorders>
            <w:shd w:val="clear" w:color="auto" w:fill="auto"/>
            <w:vAlign w:val="center"/>
            <w:hideMark/>
          </w:tcPr>
          <w:p w:rsidRPr="00D85D17" w:rsidR="00D85D17" w:rsidP="00D85D17" w:rsidRDefault="00D85D17" w14:paraId="490A9FCF"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86</w:t>
            </w:r>
          </w:p>
        </w:tc>
        <w:tc>
          <w:tcPr>
            <w:tcW w:w="588" w:type="pct"/>
            <w:tcBorders>
              <w:top w:val="nil"/>
              <w:left w:val="nil"/>
              <w:bottom w:val="single" w:color="auto" w:sz="8" w:space="0"/>
              <w:right w:val="nil"/>
            </w:tcBorders>
            <w:shd w:val="clear" w:color="auto" w:fill="auto"/>
            <w:vAlign w:val="center"/>
            <w:hideMark/>
          </w:tcPr>
          <w:p w:rsidRPr="00D85D17" w:rsidR="00D85D17" w:rsidP="00D85D17" w:rsidRDefault="00D85D17" w14:paraId="37A1B200"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86</w:t>
            </w:r>
          </w:p>
        </w:tc>
        <w:tc>
          <w:tcPr>
            <w:tcW w:w="588" w:type="pct"/>
            <w:tcBorders>
              <w:top w:val="nil"/>
              <w:left w:val="nil"/>
              <w:bottom w:val="single" w:color="auto" w:sz="8" w:space="0"/>
              <w:right w:val="nil"/>
            </w:tcBorders>
            <w:shd w:val="clear" w:color="auto" w:fill="auto"/>
            <w:vAlign w:val="center"/>
            <w:hideMark/>
          </w:tcPr>
          <w:p w:rsidRPr="00D85D17" w:rsidR="00D85D17" w:rsidP="00D85D17" w:rsidRDefault="00D85D17" w14:paraId="51366FC2"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86</w:t>
            </w:r>
          </w:p>
        </w:tc>
        <w:tc>
          <w:tcPr>
            <w:tcW w:w="618" w:type="pct"/>
            <w:tcBorders>
              <w:top w:val="nil"/>
              <w:left w:val="nil"/>
              <w:bottom w:val="single" w:color="auto" w:sz="8" w:space="0"/>
              <w:right w:val="nil"/>
            </w:tcBorders>
            <w:shd w:val="clear" w:color="auto" w:fill="auto"/>
            <w:vAlign w:val="center"/>
            <w:hideMark/>
          </w:tcPr>
          <w:p w:rsidRPr="00D85D17" w:rsidR="00D85D17" w:rsidP="00D85D17" w:rsidRDefault="00D85D17" w14:paraId="306A4370"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86</w:t>
            </w:r>
          </w:p>
        </w:tc>
        <w:tc>
          <w:tcPr>
            <w:tcW w:w="601" w:type="pct"/>
            <w:tcBorders>
              <w:top w:val="nil"/>
              <w:left w:val="nil"/>
              <w:bottom w:val="single" w:color="auto" w:sz="8" w:space="0"/>
              <w:right w:val="nil"/>
            </w:tcBorders>
            <w:shd w:val="clear" w:color="auto" w:fill="auto"/>
            <w:vAlign w:val="center"/>
            <w:hideMark/>
          </w:tcPr>
          <w:p w:rsidRPr="00D85D17" w:rsidR="00D85D17" w:rsidP="00D85D17" w:rsidRDefault="00D85D17" w14:paraId="77A9F0FB"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86</w:t>
            </w:r>
          </w:p>
        </w:tc>
        <w:tc>
          <w:tcPr>
            <w:tcW w:w="588" w:type="pct"/>
            <w:tcBorders>
              <w:top w:val="nil"/>
              <w:left w:val="nil"/>
              <w:bottom w:val="single" w:color="auto" w:sz="8" w:space="0"/>
              <w:right w:val="nil"/>
            </w:tcBorders>
            <w:shd w:val="clear" w:color="auto" w:fill="auto"/>
            <w:vAlign w:val="center"/>
            <w:hideMark/>
          </w:tcPr>
          <w:p w:rsidRPr="00D85D17" w:rsidR="00D85D17" w:rsidP="00D85D17" w:rsidRDefault="00D85D17" w14:paraId="4D8ED075"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86</w:t>
            </w:r>
          </w:p>
        </w:tc>
      </w:tr>
    </w:tbl>
    <w:p w:rsidR="00B74A97" w:rsidP="00654798" w:rsidRDefault="00B74A97" w14:paraId="1C994206" w14:textId="77777777">
      <w:pPr>
        <w:tabs>
          <w:tab w:val="left" w:pos="2160"/>
        </w:tabs>
        <w:spacing w:line="240" w:lineRule="atLeast"/>
        <w:rPr>
          <w:rFonts w:ascii="Verdana" w:hAnsi="Verdana"/>
          <w:i/>
          <w:iCs/>
          <w:sz w:val="18"/>
          <w:szCs w:val="18"/>
        </w:rPr>
      </w:pPr>
    </w:p>
    <w:p w:rsidRPr="00800F8F" w:rsidR="0060484D" w:rsidP="00654798" w:rsidRDefault="51825749" w14:paraId="164DAA1B" w14:textId="1E12783E">
      <w:pPr>
        <w:pStyle w:val="tussenkop"/>
        <w:spacing w:before="0" w:beforeAutospacing="0" w:after="0" w:afterAutospacing="0" w:line="240" w:lineRule="atLeast"/>
        <w:rPr>
          <w:rFonts w:ascii="Verdana" w:hAnsi="Verdana"/>
          <w:color w:val="000000" w:themeColor="text1"/>
          <w:sz w:val="18"/>
          <w:szCs w:val="18"/>
        </w:rPr>
      </w:pPr>
      <w:r w:rsidRPr="00800F8F">
        <w:rPr>
          <w:rStyle w:val="Zwaar"/>
          <w:rFonts w:ascii="Verdana" w:hAnsi="Verdana"/>
          <w:color w:val="000000" w:themeColor="text1"/>
          <w:sz w:val="18"/>
          <w:szCs w:val="18"/>
        </w:rPr>
        <w:t>Schadeloosstelling</w:t>
      </w:r>
    </w:p>
    <w:p w:rsidRPr="00800F8F" w:rsidR="006B44E4" w:rsidP="00654798" w:rsidRDefault="51825749" w14:paraId="41522B41" w14:textId="77777777">
      <w:pPr>
        <w:pStyle w:val="Normaalweb"/>
        <w:spacing w:before="0" w:beforeAutospacing="0" w:after="0" w:afterAutospacing="0" w:line="240" w:lineRule="atLeast"/>
        <w:rPr>
          <w:rFonts w:ascii="Verdana" w:hAnsi="Verdana"/>
          <w:color w:val="000000" w:themeColor="text1"/>
          <w:sz w:val="18"/>
          <w:szCs w:val="18"/>
        </w:rPr>
      </w:pPr>
      <w:r w:rsidRPr="00800F8F">
        <w:rPr>
          <w:rFonts w:ascii="Verdana" w:hAnsi="Verdana"/>
          <w:color w:val="000000" w:themeColor="text1"/>
          <w:sz w:val="18"/>
          <w:szCs w:val="18"/>
        </w:rPr>
        <w:t>Op dit artikelonderdeel staan de uitgaven voor de schadeloosstelling van de leden van de Tweede Kamer. Ingevolge de</w:t>
      </w:r>
      <w:r w:rsidRPr="00800F8F" w:rsidR="000C568F">
        <w:rPr>
          <w:rFonts w:ascii="Verdana" w:hAnsi="Verdana"/>
          <w:color w:val="000000" w:themeColor="text1"/>
          <w:sz w:val="18"/>
          <w:szCs w:val="18"/>
        </w:rPr>
        <w:t xml:space="preserve"> </w:t>
      </w:r>
      <w:hyperlink w:history="1" r:id="rId15">
        <w:r w:rsidRPr="00800F8F" w:rsidR="006D7FEE">
          <w:rPr>
            <w:rStyle w:val="Hyperlink"/>
            <w:rFonts w:ascii="Verdana" w:hAnsi="Verdana"/>
            <w:sz w:val="18"/>
            <w:szCs w:val="18"/>
          </w:rPr>
          <w:t>Wet schadeloosstelling leden Tweede Kamer</w:t>
        </w:r>
      </w:hyperlink>
      <w:r w:rsidRPr="00800F8F" w:rsidR="000C568F">
        <w:t xml:space="preserve"> </w:t>
      </w:r>
      <w:r w:rsidRPr="00800F8F">
        <w:rPr>
          <w:rFonts w:ascii="Verdana" w:hAnsi="Verdana"/>
          <w:color w:val="000000" w:themeColor="text1"/>
          <w:sz w:val="18"/>
          <w:szCs w:val="18"/>
        </w:rPr>
        <w:t>draagt de Tweede Kamer de uitgaven voor schadeloosstelling en de reis- en overige kostenvergoedingen voor de leden van de Tweede Kamer.</w:t>
      </w:r>
    </w:p>
    <w:p w:rsidR="0035081D" w:rsidP="00654798" w:rsidRDefault="0035081D" w14:paraId="62A63EB2" w14:textId="77777777">
      <w:pPr>
        <w:pStyle w:val="Normaalweb"/>
        <w:spacing w:before="0" w:beforeAutospacing="0" w:after="0" w:afterAutospacing="0" w:line="240" w:lineRule="atLeast"/>
        <w:rPr>
          <w:rFonts w:ascii="Verdana" w:hAnsi="Verdana"/>
          <w:color w:val="000000" w:themeColor="text1"/>
          <w:sz w:val="18"/>
          <w:szCs w:val="18"/>
          <w:highlight w:val="yellow"/>
        </w:rPr>
      </w:pPr>
    </w:p>
    <w:p w:rsidR="0035081D" w:rsidP="00654798" w:rsidRDefault="0035081D" w14:paraId="384BDF35" w14:textId="138971FC">
      <w:pPr>
        <w:pStyle w:val="Normaalweb"/>
        <w:spacing w:before="0" w:beforeAutospacing="0" w:after="0" w:afterAutospacing="0" w:line="240" w:lineRule="atLeast"/>
        <w:rPr>
          <w:rFonts w:ascii="Verdana" w:hAnsi="Verdana"/>
          <w:color w:val="000000" w:themeColor="text1"/>
          <w:sz w:val="18"/>
          <w:szCs w:val="18"/>
          <w:highlight w:val="yellow"/>
        </w:rPr>
      </w:pPr>
      <w:r>
        <w:rPr>
          <w:rFonts w:ascii="Verdana" w:hAnsi="Verdana"/>
          <w:sz w:val="18"/>
          <w:szCs w:val="18"/>
        </w:rPr>
        <w:t>H</w:t>
      </w:r>
      <w:r w:rsidRPr="00080AF6">
        <w:rPr>
          <w:rFonts w:ascii="Verdana" w:hAnsi="Verdana"/>
          <w:sz w:val="18"/>
          <w:szCs w:val="18"/>
        </w:rPr>
        <w:t>et budget voor de schadeloosstelling</w:t>
      </w:r>
      <w:r>
        <w:rPr>
          <w:rFonts w:ascii="Verdana" w:hAnsi="Verdana"/>
          <w:sz w:val="18"/>
          <w:szCs w:val="18"/>
        </w:rPr>
        <w:t xml:space="preserve"> dient </w:t>
      </w:r>
      <w:r w:rsidRPr="00080AF6">
        <w:rPr>
          <w:rFonts w:ascii="Verdana" w:hAnsi="Verdana"/>
          <w:sz w:val="18"/>
          <w:szCs w:val="18"/>
        </w:rPr>
        <w:t xml:space="preserve">structureel te worden opgehoogd </w:t>
      </w:r>
      <w:r>
        <w:rPr>
          <w:rFonts w:ascii="Verdana" w:hAnsi="Verdana"/>
          <w:sz w:val="18"/>
          <w:szCs w:val="18"/>
        </w:rPr>
        <w:t xml:space="preserve">met € 2,0 mln., doordat de </w:t>
      </w:r>
      <w:r w:rsidRPr="006D7616">
        <w:rPr>
          <w:rFonts w:ascii="Verdana" w:hAnsi="Verdana"/>
          <w:sz w:val="18"/>
          <w:szCs w:val="18"/>
        </w:rPr>
        <w:t xml:space="preserve">bezoldigingen en vergoedingen </w:t>
      </w:r>
      <w:r>
        <w:rPr>
          <w:rFonts w:ascii="Verdana" w:hAnsi="Verdana"/>
          <w:sz w:val="18"/>
          <w:szCs w:val="18"/>
        </w:rPr>
        <w:t xml:space="preserve">van </w:t>
      </w:r>
      <w:r w:rsidRPr="006D7616">
        <w:rPr>
          <w:rFonts w:ascii="Verdana" w:hAnsi="Verdana"/>
          <w:sz w:val="18"/>
          <w:szCs w:val="18"/>
        </w:rPr>
        <w:t xml:space="preserve">politieke ambtsdragers </w:t>
      </w:r>
      <w:r>
        <w:rPr>
          <w:rFonts w:ascii="Verdana" w:hAnsi="Verdana"/>
          <w:sz w:val="18"/>
          <w:szCs w:val="18"/>
        </w:rPr>
        <w:t>in juli 2024 aangepast zijn naar</w:t>
      </w:r>
      <w:r w:rsidRPr="006D7616">
        <w:rPr>
          <w:rFonts w:ascii="Verdana" w:hAnsi="Verdana"/>
          <w:sz w:val="18"/>
          <w:szCs w:val="18"/>
        </w:rPr>
        <w:t xml:space="preserve"> CAO Rijk 2024–2025</w:t>
      </w:r>
      <w:r w:rsidRPr="00080AF6">
        <w:rPr>
          <w:rFonts w:ascii="Verdana" w:hAnsi="Verdana"/>
          <w:sz w:val="18"/>
          <w:szCs w:val="18"/>
        </w:rPr>
        <w:t xml:space="preserve"> </w:t>
      </w:r>
      <w:r>
        <w:rPr>
          <w:rFonts w:ascii="Verdana" w:hAnsi="Verdana"/>
          <w:sz w:val="18"/>
          <w:szCs w:val="18"/>
        </w:rPr>
        <w:t>(</w:t>
      </w:r>
      <w:r w:rsidRPr="006D7616">
        <w:rPr>
          <w:rFonts w:ascii="Verdana" w:hAnsi="Verdana"/>
          <w:sz w:val="18"/>
          <w:szCs w:val="18"/>
        </w:rPr>
        <w:t>St</w:t>
      </w:r>
      <w:r>
        <w:rPr>
          <w:rFonts w:ascii="Verdana" w:hAnsi="Verdana"/>
          <w:sz w:val="18"/>
          <w:szCs w:val="18"/>
        </w:rPr>
        <w:t>aats</w:t>
      </w:r>
      <w:r w:rsidRPr="006D7616">
        <w:rPr>
          <w:rFonts w:ascii="Verdana" w:hAnsi="Verdana"/>
          <w:sz w:val="18"/>
          <w:szCs w:val="18"/>
        </w:rPr>
        <w:t>c</w:t>
      </w:r>
      <w:r>
        <w:rPr>
          <w:rFonts w:ascii="Verdana" w:hAnsi="Verdana"/>
          <w:sz w:val="18"/>
          <w:szCs w:val="18"/>
        </w:rPr>
        <w:t>ou</w:t>
      </w:r>
      <w:r w:rsidRPr="006D7616">
        <w:rPr>
          <w:rFonts w:ascii="Verdana" w:hAnsi="Verdana"/>
          <w:sz w:val="18"/>
          <w:szCs w:val="18"/>
        </w:rPr>
        <w:t>r</w:t>
      </w:r>
      <w:r>
        <w:rPr>
          <w:rFonts w:ascii="Verdana" w:hAnsi="Verdana"/>
          <w:sz w:val="18"/>
          <w:szCs w:val="18"/>
        </w:rPr>
        <w:t>an</w:t>
      </w:r>
      <w:r w:rsidRPr="006D7616">
        <w:rPr>
          <w:rFonts w:ascii="Verdana" w:hAnsi="Verdana"/>
          <w:sz w:val="18"/>
          <w:szCs w:val="18"/>
        </w:rPr>
        <w:t>t. 2024, 17611</w:t>
      </w:r>
      <w:r>
        <w:rPr>
          <w:rFonts w:ascii="Verdana" w:hAnsi="Verdana"/>
          <w:sz w:val="18"/>
          <w:szCs w:val="18"/>
        </w:rPr>
        <w:t xml:space="preserve">) en deze aanpassingen zorgen voor extra kosten, namelijk   </w:t>
      </w:r>
      <w:r w:rsidR="00EF7F2D">
        <w:rPr>
          <w:rFonts w:ascii="Verdana" w:hAnsi="Verdana"/>
          <w:sz w:val="18"/>
          <w:szCs w:val="18"/>
        </w:rPr>
        <w:t xml:space="preserve"> </w:t>
      </w:r>
      <w:r>
        <w:rPr>
          <w:rFonts w:ascii="Verdana" w:hAnsi="Verdana"/>
          <w:sz w:val="18"/>
          <w:szCs w:val="18"/>
        </w:rPr>
        <w:t xml:space="preserve">  € 1,5 mln. meer dan nu is begroot. Hierbij is ook rekening gehouden met een hogere</w:t>
      </w:r>
      <w:r w:rsidRPr="00080AF6">
        <w:rPr>
          <w:rFonts w:ascii="Verdana" w:hAnsi="Verdana"/>
          <w:sz w:val="18"/>
          <w:szCs w:val="18"/>
        </w:rPr>
        <w:t xml:space="preserve"> eindheffing van</w:t>
      </w:r>
      <w:r>
        <w:rPr>
          <w:rFonts w:ascii="Verdana" w:hAnsi="Verdana"/>
          <w:sz w:val="18"/>
          <w:szCs w:val="18"/>
        </w:rPr>
        <w:t xml:space="preserve">uit </w:t>
      </w:r>
      <w:r w:rsidRPr="00080AF6">
        <w:rPr>
          <w:rFonts w:ascii="Verdana" w:hAnsi="Verdana"/>
          <w:sz w:val="18"/>
          <w:szCs w:val="18"/>
        </w:rPr>
        <w:t>de Werkkostenregeling</w:t>
      </w:r>
      <w:r>
        <w:rPr>
          <w:rFonts w:ascii="Verdana" w:hAnsi="Verdana"/>
          <w:sz w:val="18"/>
          <w:szCs w:val="18"/>
        </w:rPr>
        <w:t>. De verwachting is dat € 0,5 mln. meer budget benodigd is dan nu is geraamd voor deze eindheffing.</w:t>
      </w:r>
    </w:p>
    <w:p w:rsidR="0035081D" w:rsidP="00654798" w:rsidRDefault="0035081D" w14:paraId="4DD2A24D" w14:textId="77777777">
      <w:pPr>
        <w:pStyle w:val="Normaalweb"/>
        <w:spacing w:before="0" w:beforeAutospacing="0" w:after="0" w:afterAutospacing="0" w:line="240" w:lineRule="atLeast"/>
        <w:rPr>
          <w:rFonts w:ascii="Verdana" w:hAnsi="Verdana"/>
          <w:color w:val="000000" w:themeColor="text1"/>
          <w:sz w:val="18"/>
          <w:szCs w:val="18"/>
          <w:highlight w:val="yellow"/>
        </w:rPr>
      </w:pPr>
    </w:p>
    <w:p w:rsidRPr="0062640D" w:rsidR="0060484D" w:rsidP="00654798" w:rsidRDefault="51825749" w14:paraId="65613426" w14:textId="7AA25EA8">
      <w:pPr>
        <w:pStyle w:val="tussenkop"/>
        <w:spacing w:before="0" w:beforeAutospacing="0" w:after="0" w:afterAutospacing="0" w:line="240" w:lineRule="atLeast"/>
        <w:rPr>
          <w:rFonts w:ascii="Verdana" w:hAnsi="Verdana"/>
          <w:color w:val="000000" w:themeColor="text1"/>
          <w:sz w:val="18"/>
          <w:szCs w:val="18"/>
        </w:rPr>
      </w:pPr>
      <w:r w:rsidRPr="0062640D">
        <w:rPr>
          <w:rStyle w:val="Zwaar"/>
          <w:rFonts w:ascii="Verdana" w:hAnsi="Verdana"/>
          <w:color w:val="000000" w:themeColor="text1"/>
          <w:sz w:val="18"/>
          <w:szCs w:val="18"/>
        </w:rPr>
        <w:t>Pensioenen en wachtgelden</w:t>
      </w:r>
    </w:p>
    <w:p w:rsidRPr="0062640D" w:rsidR="0060484D" w:rsidP="00654798" w:rsidRDefault="51825749" w14:paraId="5D1A7B7B" w14:textId="002B9DCF">
      <w:pPr>
        <w:pStyle w:val="Normaalweb"/>
        <w:spacing w:before="0" w:beforeAutospacing="0" w:after="0" w:afterAutospacing="0" w:line="240" w:lineRule="atLeast"/>
        <w:rPr>
          <w:rFonts w:ascii="Verdana" w:hAnsi="Verdana"/>
          <w:color w:val="000000" w:themeColor="text1"/>
          <w:sz w:val="18"/>
          <w:szCs w:val="18"/>
        </w:rPr>
      </w:pPr>
      <w:r w:rsidRPr="0062640D">
        <w:rPr>
          <w:rFonts w:ascii="Verdana" w:hAnsi="Verdana"/>
          <w:color w:val="000000" w:themeColor="text1"/>
          <w:sz w:val="18"/>
          <w:szCs w:val="18"/>
        </w:rPr>
        <w:t xml:space="preserve">Op basis van </w:t>
      </w:r>
      <w:r w:rsidRPr="0062640D" w:rsidR="00CA5DC7">
        <w:rPr>
          <w:rFonts w:ascii="Verdana" w:hAnsi="Verdana"/>
          <w:color w:val="000000" w:themeColor="text1"/>
          <w:sz w:val="18"/>
          <w:szCs w:val="18"/>
        </w:rPr>
        <w:t>de</w:t>
      </w:r>
      <w:r w:rsidRPr="0062640D" w:rsidR="007750AC">
        <w:rPr>
          <w:rFonts w:ascii="Verdana" w:hAnsi="Verdana"/>
          <w:color w:val="000000" w:themeColor="text1"/>
          <w:sz w:val="18"/>
          <w:szCs w:val="18"/>
        </w:rPr>
        <w:t xml:space="preserve"> </w:t>
      </w:r>
      <w:hyperlink w:history="1" r:id="rId16">
        <w:r w:rsidRPr="0062640D" w:rsidR="00CA5DC7">
          <w:rPr>
            <w:rStyle w:val="Hyperlink"/>
            <w:rFonts w:ascii="Verdana" w:hAnsi="Verdana"/>
            <w:sz w:val="18"/>
            <w:szCs w:val="18"/>
          </w:rPr>
          <w:t>Algemene pensioenwet politieke ambtsdragers</w:t>
        </w:r>
      </w:hyperlink>
      <w:r w:rsidRPr="0062640D" w:rsidR="000C568F">
        <w:rPr>
          <w:rFonts w:ascii="Verdana" w:hAnsi="Verdana"/>
          <w:color w:val="000000" w:themeColor="text1"/>
          <w:sz w:val="18"/>
          <w:szCs w:val="18"/>
        </w:rPr>
        <w:t xml:space="preserve"> </w:t>
      </w:r>
      <w:r w:rsidRPr="0062640D">
        <w:rPr>
          <w:rFonts w:ascii="Verdana" w:hAnsi="Verdana"/>
          <w:color w:val="000000" w:themeColor="text1"/>
          <w:sz w:val="18"/>
          <w:szCs w:val="18"/>
        </w:rPr>
        <w:t>draagt de Tweede Kamer zorg voor de uitgaven aan pensioenen en wachtgelden voor de oud-leden van de</w:t>
      </w:r>
      <w:r w:rsidR="0062640D">
        <w:rPr>
          <w:rFonts w:ascii="Verdana" w:hAnsi="Verdana"/>
          <w:color w:val="000000" w:themeColor="text1"/>
          <w:sz w:val="18"/>
          <w:szCs w:val="18"/>
        </w:rPr>
        <w:t xml:space="preserve"> Tweede Kamer. </w:t>
      </w:r>
    </w:p>
    <w:p w:rsidR="000C568F" w:rsidP="00654798" w:rsidRDefault="000C568F" w14:paraId="6C094772" w14:textId="77777777">
      <w:pPr>
        <w:pStyle w:val="tussenkop"/>
        <w:spacing w:before="0" w:beforeAutospacing="0" w:after="0" w:afterAutospacing="0" w:line="240" w:lineRule="atLeast"/>
        <w:rPr>
          <w:rStyle w:val="Zwaar"/>
          <w:rFonts w:ascii="Verdana" w:hAnsi="Verdana"/>
          <w:color w:val="000000" w:themeColor="text1"/>
        </w:rPr>
      </w:pPr>
    </w:p>
    <w:p w:rsidR="0035081D" w:rsidP="0035081D" w:rsidRDefault="0035081D" w14:paraId="3EC0ED42" w14:textId="39D89AAE">
      <w:pPr>
        <w:spacing w:line="240" w:lineRule="atLeast"/>
        <w:rPr>
          <w:rFonts w:ascii="Verdana" w:hAnsi="Verdana"/>
          <w:sz w:val="18"/>
          <w:szCs w:val="18"/>
        </w:rPr>
      </w:pPr>
      <w:r w:rsidRPr="00080AF6">
        <w:rPr>
          <w:rFonts w:ascii="Verdana" w:hAnsi="Verdana"/>
          <w:sz w:val="18"/>
          <w:szCs w:val="18"/>
        </w:rPr>
        <w:t>Het budget voor de wachtgeldregeling wordt</w:t>
      </w:r>
      <w:r>
        <w:rPr>
          <w:rFonts w:ascii="Verdana" w:hAnsi="Verdana"/>
          <w:sz w:val="18"/>
          <w:szCs w:val="18"/>
        </w:rPr>
        <w:t xml:space="preserve"> minder sterk </w:t>
      </w:r>
      <w:r w:rsidRPr="00080AF6">
        <w:rPr>
          <w:rFonts w:ascii="Verdana" w:hAnsi="Verdana"/>
          <w:sz w:val="18"/>
          <w:szCs w:val="18"/>
        </w:rPr>
        <w:t xml:space="preserve">aangesproken door </w:t>
      </w:r>
      <w:r>
        <w:rPr>
          <w:rFonts w:ascii="Verdana" w:hAnsi="Verdana"/>
          <w:sz w:val="18"/>
          <w:szCs w:val="18"/>
        </w:rPr>
        <w:t xml:space="preserve">voormalige </w:t>
      </w:r>
      <w:r w:rsidRPr="00080AF6">
        <w:rPr>
          <w:rFonts w:ascii="Verdana" w:hAnsi="Verdana"/>
          <w:sz w:val="18"/>
          <w:szCs w:val="18"/>
        </w:rPr>
        <w:t xml:space="preserve">Kamerleden </w:t>
      </w:r>
      <w:r>
        <w:rPr>
          <w:rFonts w:ascii="Verdana" w:hAnsi="Verdana"/>
          <w:sz w:val="18"/>
          <w:szCs w:val="18"/>
        </w:rPr>
        <w:t>dan aanvankelijk was ingeschat</w:t>
      </w:r>
      <w:r w:rsidRPr="00080AF6">
        <w:rPr>
          <w:rFonts w:ascii="Verdana" w:hAnsi="Verdana"/>
          <w:sz w:val="18"/>
          <w:szCs w:val="18"/>
        </w:rPr>
        <w:t xml:space="preserve">. </w:t>
      </w:r>
      <w:r>
        <w:rPr>
          <w:rFonts w:ascii="Verdana" w:hAnsi="Verdana"/>
          <w:sz w:val="18"/>
          <w:szCs w:val="18"/>
        </w:rPr>
        <w:t xml:space="preserve">Vandaar dat de raming voor de wachtgelden in 2025 met € 1,8 mln. incidenteel naar beneden </w:t>
      </w:r>
      <w:r w:rsidR="00CF7B3E">
        <w:rPr>
          <w:rFonts w:ascii="Verdana" w:hAnsi="Verdana"/>
          <w:sz w:val="18"/>
          <w:szCs w:val="18"/>
        </w:rPr>
        <w:t>wordt</w:t>
      </w:r>
      <w:r>
        <w:rPr>
          <w:rFonts w:ascii="Verdana" w:hAnsi="Verdana"/>
          <w:sz w:val="18"/>
          <w:szCs w:val="18"/>
        </w:rPr>
        <w:t xml:space="preserve"> bijgesteld. In de jaren daarna is al rekening gehouden met een afname van het budget. </w:t>
      </w:r>
    </w:p>
    <w:p w:rsidR="0035081D" w:rsidP="00654798" w:rsidRDefault="0035081D" w14:paraId="73B326F5" w14:textId="77777777">
      <w:pPr>
        <w:pStyle w:val="tussenkop"/>
        <w:spacing w:before="0" w:beforeAutospacing="0" w:after="0" w:afterAutospacing="0" w:line="240" w:lineRule="atLeast"/>
        <w:rPr>
          <w:rStyle w:val="Zwaar"/>
          <w:rFonts w:ascii="Verdana" w:hAnsi="Verdana"/>
          <w:color w:val="000000" w:themeColor="text1"/>
        </w:rPr>
      </w:pPr>
    </w:p>
    <w:p w:rsidRPr="0062640D" w:rsidR="0035081D" w:rsidP="00654798" w:rsidRDefault="0035081D" w14:paraId="4FD2B309" w14:textId="77777777">
      <w:pPr>
        <w:pStyle w:val="tussenkop"/>
        <w:spacing w:before="0" w:beforeAutospacing="0" w:after="0" w:afterAutospacing="0" w:line="240" w:lineRule="atLeast"/>
        <w:rPr>
          <w:rStyle w:val="Zwaar"/>
          <w:rFonts w:ascii="Verdana" w:hAnsi="Verdana"/>
          <w:color w:val="000000" w:themeColor="text1"/>
        </w:rPr>
      </w:pPr>
    </w:p>
    <w:p w:rsidRPr="0062640D" w:rsidR="000C568F" w:rsidP="00654798" w:rsidRDefault="51825749" w14:paraId="0057F410" w14:textId="552448CA">
      <w:pPr>
        <w:pStyle w:val="tussenkop"/>
        <w:spacing w:before="0" w:beforeAutospacing="0" w:after="0" w:afterAutospacing="0" w:line="240" w:lineRule="atLeast"/>
        <w:rPr>
          <w:rStyle w:val="Zwaar"/>
          <w:rFonts w:ascii="Verdana" w:hAnsi="Verdana"/>
          <w:color w:val="000000" w:themeColor="text1"/>
          <w:sz w:val="18"/>
          <w:szCs w:val="18"/>
        </w:rPr>
      </w:pPr>
      <w:r w:rsidRPr="0062640D">
        <w:rPr>
          <w:rStyle w:val="Zwaar"/>
          <w:rFonts w:ascii="Verdana" w:hAnsi="Verdana"/>
          <w:color w:val="000000" w:themeColor="text1"/>
          <w:sz w:val="18"/>
          <w:szCs w:val="18"/>
        </w:rPr>
        <w:t>Ontvangsten</w:t>
      </w:r>
    </w:p>
    <w:p w:rsidRPr="0062640D" w:rsidR="0060484D" w:rsidP="00654798" w:rsidRDefault="51825749" w14:paraId="08936127" w14:textId="1D1316A2">
      <w:pPr>
        <w:pStyle w:val="tussenkop"/>
        <w:spacing w:before="0" w:beforeAutospacing="0" w:after="0" w:afterAutospacing="0" w:line="240" w:lineRule="atLeast"/>
        <w:rPr>
          <w:rFonts w:ascii="Verdana" w:hAnsi="Verdana"/>
          <w:color w:val="000000" w:themeColor="text1"/>
          <w:sz w:val="18"/>
          <w:szCs w:val="18"/>
        </w:rPr>
      </w:pPr>
      <w:r w:rsidRPr="0062640D">
        <w:rPr>
          <w:rFonts w:ascii="Verdana" w:hAnsi="Verdana"/>
          <w:color w:val="000000" w:themeColor="text1"/>
          <w:sz w:val="18"/>
          <w:szCs w:val="18"/>
        </w:rPr>
        <w:t>De ontvangsten op dit onderdeel hebben betrekking op de verrekening van neveninkomsten.</w:t>
      </w:r>
    </w:p>
    <w:p w:rsidRPr="0062640D" w:rsidR="0060484D" w:rsidP="00654798" w:rsidRDefault="0060484D" w14:paraId="1042FD8F" w14:textId="77777777">
      <w:pPr>
        <w:spacing w:line="240" w:lineRule="atLeast"/>
        <w:rPr>
          <w:rFonts w:ascii="Verdana" w:hAnsi="Verdana"/>
          <w:sz w:val="18"/>
          <w:szCs w:val="18"/>
        </w:rPr>
      </w:pPr>
    </w:p>
    <w:p w:rsidRPr="00F9426D" w:rsidR="00AE25CB" w:rsidP="00654798" w:rsidRDefault="51825749" w14:paraId="04832E92" w14:textId="2F8E1D3F">
      <w:pPr>
        <w:spacing w:line="240" w:lineRule="atLeast"/>
        <w:rPr>
          <w:rFonts w:ascii="Verdana" w:hAnsi="Verdana"/>
          <w:i/>
          <w:iCs/>
          <w:sz w:val="18"/>
          <w:szCs w:val="18"/>
        </w:rPr>
      </w:pPr>
      <w:r w:rsidRPr="0062640D">
        <w:rPr>
          <w:rFonts w:ascii="Verdana" w:hAnsi="Verdana"/>
          <w:sz w:val="18"/>
          <w:szCs w:val="18"/>
        </w:rPr>
        <w:t>In onderstaand overzicht zijn, als kengetallen, de gerealiseerde uitgaven en gemiddelden van de artikelonderde</w:t>
      </w:r>
      <w:r w:rsidR="007A7829">
        <w:rPr>
          <w:rFonts w:ascii="Verdana" w:hAnsi="Verdana"/>
          <w:sz w:val="18"/>
          <w:szCs w:val="18"/>
        </w:rPr>
        <w:t xml:space="preserve">len opgenomen voor de jaren </w:t>
      </w:r>
      <w:r w:rsidRPr="00800F8F" w:rsidR="007A7829">
        <w:rPr>
          <w:rFonts w:ascii="Verdana" w:hAnsi="Verdana"/>
          <w:sz w:val="18"/>
          <w:szCs w:val="18"/>
        </w:rPr>
        <w:t>20</w:t>
      </w:r>
      <w:r w:rsidRPr="00800F8F" w:rsidR="00800F8F">
        <w:rPr>
          <w:rFonts w:ascii="Verdana" w:hAnsi="Verdana"/>
          <w:sz w:val="18"/>
          <w:szCs w:val="18"/>
        </w:rPr>
        <w:t>20</w:t>
      </w:r>
      <w:r w:rsidRPr="00800F8F">
        <w:rPr>
          <w:rFonts w:ascii="Verdana" w:hAnsi="Verdana"/>
          <w:sz w:val="18"/>
          <w:szCs w:val="18"/>
        </w:rPr>
        <w:t>-202</w:t>
      </w:r>
      <w:r w:rsidRPr="00800F8F" w:rsidR="00800F8F">
        <w:rPr>
          <w:rFonts w:ascii="Verdana" w:hAnsi="Verdana"/>
          <w:sz w:val="18"/>
          <w:szCs w:val="18"/>
        </w:rPr>
        <w:t>4</w:t>
      </w:r>
      <w:r w:rsidRPr="0062640D">
        <w:rPr>
          <w:rFonts w:ascii="Verdana" w:hAnsi="Verdana"/>
          <w:sz w:val="18"/>
          <w:szCs w:val="18"/>
        </w:rPr>
        <w:t>.</w:t>
      </w:r>
      <w:r w:rsidRPr="51825749">
        <w:rPr>
          <w:rFonts w:ascii="Verdana" w:hAnsi="Verdana"/>
          <w:sz w:val="18"/>
          <w:szCs w:val="18"/>
        </w:rPr>
        <w:t xml:space="preserve"> </w:t>
      </w:r>
    </w:p>
    <w:p w:rsidR="00AE25CB" w:rsidP="00654798" w:rsidRDefault="00AE25CB" w14:paraId="379E4280" w14:textId="15E1FD36">
      <w:pPr>
        <w:spacing w:line="240" w:lineRule="atLeast"/>
        <w:rPr>
          <w:rFonts w:ascii="Verdana" w:hAnsi="Verdana"/>
          <w:i/>
          <w:sz w:val="18"/>
          <w:szCs w:val="18"/>
        </w:rPr>
      </w:pPr>
    </w:p>
    <w:p w:rsidR="00F96811" w:rsidP="00654798" w:rsidRDefault="00F54EB5" w14:paraId="7FF01AEA" w14:textId="77777777">
      <w:pPr>
        <w:spacing w:line="240" w:lineRule="atLeast"/>
        <w:rPr>
          <w:rFonts w:ascii="Verdana" w:hAnsi="Verdana"/>
          <w:i/>
          <w:iCs/>
          <w:sz w:val="18"/>
          <w:szCs w:val="18"/>
        </w:rPr>
      </w:pPr>
      <w:r w:rsidRPr="51825749">
        <w:rPr>
          <w:rFonts w:ascii="Verdana" w:hAnsi="Verdana"/>
          <w:i/>
          <w:iCs/>
          <w:sz w:val="18"/>
          <w:szCs w:val="18"/>
        </w:rPr>
        <w:t xml:space="preserve">Tabel </w:t>
      </w:r>
      <w:r w:rsidRPr="51825749" w:rsidR="005B35DE">
        <w:rPr>
          <w:rFonts w:ascii="Verdana" w:hAnsi="Verdana"/>
          <w:i/>
          <w:iCs/>
          <w:sz w:val="18"/>
          <w:szCs w:val="18"/>
        </w:rPr>
        <w:t>2:</w:t>
      </w:r>
      <w:r w:rsidRPr="51825749" w:rsidR="00AE25CB">
        <w:rPr>
          <w:rFonts w:ascii="Verdana" w:hAnsi="Verdana"/>
          <w:i/>
          <w:iCs/>
          <w:sz w:val="18"/>
          <w:szCs w:val="18"/>
        </w:rPr>
        <w:t xml:space="preserve"> gemiddelde uitgaven per </w:t>
      </w:r>
      <w:r w:rsidRPr="51825749" w:rsidR="00AE7CB4">
        <w:rPr>
          <w:rFonts w:ascii="Verdana" w:hAnsi="Verdana"/>
          <w:i/>
          <w:iCs/>
          <w:sz w:val="18"/>
          <w:szCs w:val="18"/>
        </w:rPr>
        <w:t>kamer</w:t>
      </w:r>
      <w:r w:rsidRPr="51825749" w:rsidR="00AE25CB">
        <w:rPr>
          <w:rFonts w:ascii="Verdana" w:hAnsi="Verdana"/>
          <w:i/>
          <w:iCs/>
          <w:sz w:val="18"/>
          <w:szCs w:val="18"/>
        </w:rPr>
        <w:t>lid</w:t>
      </w:r>
    </w:p>
    <w:tbl>
      <w:tblPr>
        <w:tblW w:w="5000" w:type="pct"/>
        <w:tblCellMar>
          <w:left w:w="70" w:type="dxa"/>
          <w:right w:w="70" w:type="dxa"/>
        </w:tblCellMar>
        <w:tblLook w:val="04A0" w:firstRow="1" w:lastRow="0" w:firstColumn="1" w:lastColumn="0" w:noHBand="0" w:noVBand="1"/>
      </w:tblPr>
      <w:tblGrid>
        <w:gridCol w:w="3302"/>
        <w:gridCol w:w="1253"/>
        <w:gridCol w:w="1253"/>
        <w:gridCol w:w="1253"/>
        <w:gridCol w:w="1253"/>
        <w:gridCol w:w="1249"/>
      </w:tblGrid>
      <w:tr w:rsidRPr="00147E9E" w:rsidR="00147E9E" w:rsidTr="008E1F4B" w14:paraId="2ED1FBF3" w14:textId="77777777">
        <w:trPr>
          <w:trHeight w:val="825"/>
        </w:trPr>
        <w:tc>
          <w:tcPr>
            <w:tcW w:w="1727" w:type="pct"/>
            <w:tcBorders>
              <w:top w:val="nil"/>
              <w:left w:val="nil"/>
              <w:bottom w:val="nil"/>
              <w:right w:val="nil"/>
            </w:tcBorders>
            <w:shd w:val="clear" w:color="000000" w:fill="002060"/>
            <w:vAlign w:val="center"/>
            <w:hideMark/>
          </w:tcPr>
          <w:p w:rsidRPr="00147E9E" w:rsidR="00147E9E" w:rsidP="00147E9E" w:rsidRDefault="00147E9E" w14:paraId="44DA84C0" w14:textId="77777777">
            <w:pPr>
              <w:rPr>
                <w:rFonts w:ascii="Verdana" w:hAnsi="Verdana" w:cs="Calibri"/>
                <w:b/>
                <w:bCs/>
                <w:color w:val="FFFFFF"/>
                <w:sz w:val="18"/>
                <w:szCs w:val="18"/>
              </w:rPr>
            </w:pPr>
            <w:r w:rsidRPr="00147E9E">
              <w:rPr>
                <w:rFonts w:ascii="Verdana" w:hAnsi="Verdana" w:cs="Calibri"/>
                <w:b/>
                <w:bCs/>
                <w:color w:val="FFFFFF"/>
                <w:sz w:val="18"/>
                <w:szCs w:val="18"/>
              </w:rPr>
              <w:t>Artikel 2: Uitgaven ten behoeve van leden en oud-leden Tweede Kamer (in €1.000)</w:t>
            </w:r>
          </w:p>
        </w:tc>
        <w:tc>
          <w:tcPr>
            <w:tcW w:w="655" w:type="pct"/>
            <w:tcBorders>
              <w:top w:val="nil"/>
              <w:left w:val="nil"/>
              <w:bottom w:val="nil"/>
              <w:right w:val="nil"/>
            </w:tcBorders>
            <w:shd w:val="clear" w:color="000000" w:fill="002060"/>
            <w:noWrap/>
            <w:vAlign w:val="center"/>
            <w:hideMark/>
          </w:tcPr>
          <w:p w:rsidRPr="00147E9E" w:rsidR="00147E9E" w:rsidP="00147E9E" w:rsidRDefault="00147E9E" w14:paraId="0E23880E" w14:textId="77777777">
            <w:pPr>
              <w:jc w:val="center"/>
              <w:rPr>
                <w:rFonts w:ascii="Verdana" w:hAnsi="Verdana" w:cs="Calibri"/>
                <w:b/>
                <w:bCs/>
                <w:color w:val="FFFFFF"/>
                <w:sz w:val="18"/>
                <w:szCs w:val="18"/>
              </w:rPr>
            </w:pPr>
            <w:r w:rsidRPr="00147E9E">
              <w:rPr>
                <w:rFonts w:ascii="Verdana" w:hAnsi="Verdana" w:cs="Calibri"/>
                <w:b/>
                <w:bCs/>
                <w:color w:val="FFFFFF"/>
                <w:sz w:val="18"/>
                <w:szCs w:val="18"/>
              </w:rPr>
              <w:t>2020</w:t>
            </w:r>
          </w:p>
        </w:tc>
        <w:tc>
          <w:tcPr>
            <w:tcW w:w="655" w:type="pct"/>
            <w:tcBorders>
              <w:top w:val="nil"/>
              <w:left w:val="nil"/>
              <w:bottom w:val="nil"/>
              <w:right w:val="nil"/>
            </w:tcBorders>
            <w:shd w:val="clear" w:color="000000" w:fill="002060"/>
            <w:noWrap/>
            <w:vAlign w:val="center"/>
            <w:hideMark/>
          </w:tcPr>
          <w:p w:rsidRPr="00147E9E" w:rsidR="00147E9E" w:rsidP="00147E9E" w:rsidRDefault="00147E9E" w14:paraId="04272D73" w14:textId="77777777">
            <w:pPr>
              <w:jc w:val="center"/>
              <w:rPr>
                <w:rFonts w:ascii="Verdana" w:hAnsi="Verdana" w:cs="Calibri"/>
                <w:b/>
                <w:bCs/>
                <w:color w:val="FFFFFF"/>
                <w:sz w:val="18"/>
                <w:szCs w:val="18"/>
              </w:rPr>
            </w:pPr>
            <w:r w:rsidRPr="00147E9E">
              <w:rPr>
                <w:rFonts w:ascii="Verdana" w:hAnsi="Verdana" w:cs="Calibri"/>
                <w:b/>
                <w:bCs/>
                <w:color w:val="FFFFFF"/>
                <w:sz w:val="18"/>
                <w:szCs w:val="18"/>
              </w:rPr>
              <w:t>2021</w:t>
            </w:r>
          </w:p>
        </w:tc>
        <w:tc>
          <w:tcPr>
            <w:tcW w:w="655" w:type="pct"/>
            <w:tcBorders>
              <w:top w:val="nil"/>
              <w:left w:val="nil"/>
              <w:bottom w:val="nil"/>
              <w:right w:val="nil"/>
            </w:tcBorders>
            <w:shd w:val="clear" w:color="000000" w:fill="002060"/>
            <w:noWrap/>
            <w:vAlign w:val="center"/>
            <w:hideMark/>
          </w:tcPr>
          <w:p w:rsidRPr="00147E9E" w:rsidR="00147E9E" w:rsidP="00147E9E" w:rsidRDefault="00147E9E" w14:paraId="6E073645" w14:textId="77777777">
            <w:pPr>
              <w:jc w:val="center"/>
              <w:rPr>
                <w:rFonts w:ascii="Verdana" w:hAnsi="Verdana" w:cs="Calibri"/>
                <w:b/>
                <w:bCs/>
                <w:color w:val="FFFFFF"/>
                <w:sz w:val="18"/>
                <w:szCs w:val="18"/>
              </w:rPr>
            </w:pPr>
            <w:r w:rsidRPr="00147E9E">
              <w:rPr>
                <w:rFonts w:ascii="Verdana" w:hAnsi="Verdana" w:cs="Calibri"/>
                <w:b/>
                <w:bCs/>
                <w:color w:val="FFFFFF"/>
                <w:sz w:val="18"/>
                <w:szCs w:val="18"/>
              </w:rPr>
              <w:t>2022</w:t>
            </w:r>
          </w:p>
        </w:tc>
        <w:tc>
          <w:tcPr>
            <w:tcW w:w="655" w:type="pct"/>
            <w:tcBorders>
              <w:top w:val="nil"/>
              <w:left w:val="nil"/>
              <w:bottom w:val="nil"/>
              <w:right w:val="nil"/>
            </w:tcBorders>
            <w:shd w:val="clear" w:color="000000" w:fill="002060"/>
            <w:noWrap/>
            <w:vAlign w:val="center"/>
            <w:hideMark/>
          </w:tcPr>
          <w:p w:rsidRPr="00147E9E" w:rsidR="00147E9E" w:rsidP="00147E9E" w:rsidRDefault="00147E9E" w14:paraId="25B9D653" w14:textId="77777777">
            <w:pPr>
              <w:jc w:val="center"/>
              <w:rPr>
                <w:rFonts w:ascii="Verdana" w:hAnsi="Verdana" w:cs="Calibri"/>
                <w:b/>
                <w:bCs/>
                <w:color w:val="FFFFFF"/>
                <w:sz w:val="18"/>
                <w:szCs w:val="18"/>
              </w:rPr>
            </w:pPr>
            <w:r w:rsidRPr="00147E9E">
              <w:rPr>
                <w:rFonts w:ascii="Verdana" w:hAnsi="Verdana" w:cs="Calibri"/>
                <w:b/>
                <w:bCs/>
                <w:color w:val="FFFFFF"/>
                <w:sz w:val="18"/>
                <w:szCs w:val="18"/>
              </w:rPr>
              <w:t>2023</w:t>
            </w:r>
          </w:p>
        </w:tc>
        <w:tc>
          <w:tcPr>
            <w:tcW w:w="655" w:type="pct"/>
            <w:tcBorders>
              <w:top w:val="nil"/>
              <w:left w:val="nil"/>
              <w:bottom w:val="nil"/>
              <w:right w:val="nil"/>
            </w:tcBorders>
            <w:shd w:val="clear" w:color="000000" w:fill="002060"/>
            <w:noWrap/>
            <w:vAlign w:val="center"/>
            <w:hideMark/>
          </w:tcPr>
          <w:p w:rsidRPr="00147E9E" w:rsidR="00147E9E" w:rsidP="00147E9E" w:rsidRDefault="00147E9E" w14:paraId="655FFF4C" w14:textId="77777777">
            <w:pPr>
              <w:jc w:val="center"/>
              <w:rPr>
                <w:rFonts w:ascii="Verdana" w:hAnsi="Verdana" w:cs="Calibri"/>
                <w:b/>
                <w:bCs/>
                <w:color w:val="FFFFFF"/>
                <w:sz w:val="18"/>
                <w:szCs w:val="18"/>
              </w:rPr>
            </w:pPr>
            <w:r w:rsidRPr="00147E9E">
              <w:rPr>
                <w:rFonts w:ascii="Verdana" w:hAnsi="Verdana" w:cs="Calibri"/>
                <w:b/>
                <w:bCs/>
                <w:color w:val="FFFFFF"/>
                <w:sz w:val="18"/>
                <w:szCs w:val="18"/>
              </w:rPr>
              <w:t>2024</w:t>
            </w:r>
          </w:p>
        </w:tc>
      </w:tr>
      <w:tr w:rsidRPr="00147E9E" w:rsidR="00147E9E" w:rsidTr="008E1F4B" w14:paraId="3563FA9F" w14:textId="77777777">
        <w:trPr>
          <w:trHeight w:val="300"/>
        </w:trPr>
        <w:tc>
          <w:tcPr>
            <w:tcW w:w="1727" w:type="pct"/>
            <w:tcBorders>
              <w:top w:val="nil"/>
              <w:left w:val="nil"/>
              <w:bottom w:val="nil"/>
              <w:right w:val="nil"/>
            </w:tcBorders>
            <w:shd w:val="clear" w:color="auto" w:fill="auto"/>
            <w:vAlign w:val="center"/>
            <w:hideMark/>
          </w:tcPr>
          <w:p w:rsidRPr="00147E9E" w:rsidR="00147E9E" w:rsidP="00147E9E" w:rsidRDefault="00147E9E" w14:paraId="48BB5DFD" w14:textId="1B520BF2">
            <w:pPr>
              <w:jc w:val="center"/>
              <w:rPr>
                <w:rFonts w:ascii="Verdana" w:hAnsi="Verdana" w:cs="Calibri"/>
                <w:b/>
                <w:bCs/>
                <w:color w:val="FFFFFF"/>
                <w:sz w:val="18"/>
                <w:szCs w:val="18"/>
              </w:rPr>
            </w:pPr>
          </w:p>
        </w:tc>
        <w:tc>
          <w:tcPr>
            <w:tcW w:w="655" w:type="pct"/>
            <w:tcBorders>
              <w:top w:val="nil"/>
              <w:left w:val="nil"/>
              <w:bottom w:val="nil"/>
              <w:right w:val="nil"/>
            </w:tcBorders>
            <w:shd w:val="clear" w:color="auto" w:fill="auto"/>
            <w:vAlign w:val="center"/>
            <w:hideMark/>
          </w:tcPr>
          <w:p w:rsidRPr="00147E9E" w:rsidR="00147E9E" w:rsidP="00147E9E" w:rsidRDefault="00147E9E" w14:paraId="57117C0A" w14:textId="35A0FBA3">
            <w:pPr>
              <w:ind w:firstLine="400" w:firstLineChars="200"/>
              <w:rPr>
                <w:rFonts w:ascii="Times New Roman" w:hAnsi="Times New Roman"/>
              </w:rPr>
            </w:pPr>
          </w:p>
        </w:tc>
        <w:tc>
          <w:tcPr>
            <w:tcW w:w="655" w:type="pct"/>
            <w:tcBorders>
              <w:top w:val="nil"/>
              <w:left w:val="nil"/>
              <w:bottom w:val="nil"/>
              <w:right w:val="nil"/>
            </w:tcBorders>
            <w:shd w:val="clear" w:color="auto" w:fill="auto"/>
            <w:vAlign w:val="center"/>
            <w:hideMark/>
          </w:tcPr>
          <w:p w:rsidRPr="00147E9E" w:rsidR="00147E9E" w:rsidP="00147E9E" w:rsidRDefault="00147E9E" w14:paraId="54D07043" w14:textId="7BE262F2">
            <w:pPr>
              <w:ind w:firstLine="400" w:firstLineChars="200"/>
              <w:jc w:val="right"/>
              <w:rPr>
                <w:rFonts w:ascii="Times New Roman" w:hAnsi="Times New Roman"/>
              </w:rPr>
            </w:pPr>
          </w:p>
        </w:tc>
        <w:tc>
          <w:tcPr>
            <w:tcW w:w="655" w:type="pct"/>
            <w:tcBorders>
              <w:top w:val="nil"/>
              <w:left w:val="nil"/>
              <w:bottom w:val="nil"/>
              <w:right w:val="nil"/>
            </w:tcBorders>
            <w:shd w:val="clear" w:color="auto" w:fill="auto"/>
            <w:vAlign w:val="center"/>
            <w:hideMark/>
          </w:tcPr>
          <w:p w:rsidRPr="00147E9E" w:rsidR="00147E9E" w:rsidP="00147E9E" w:rsidRDefault="00147E9E" w14:paraId="5B6F9201" w14:textId="77777777">
            <w:pPr>
              <w:ind w:firstLine="400" w:firstLineChars="200"/>
              <w:jc w:val="right"/>
              <w:rPr>
                <w:rFonts w:ascii="Times New Roman" w:hAnsi="Times New Roman"/>
              </w:rPr>
            </w:pPr>
          </w:p>
        </w:tc>
        <w:tc>
          <w:tcPr>
            <w:tcW w:w="655" w:type="pct"/>
            <w:tcBorders>
              <w:top w:val="nil"/>
              <w:left w:val="nil"/>
              <w:bottom w:val="nil"/>
              <w:right w:val="nil"/>
            </w:tcBorders>
            <w:shd w:val="clear" w:color="auto" w:fill="auto"/>
            <w:vAlign w:val="center"/>
            <w:hideMark/>
          </w:tcPr>
          <w:p w:rsidRPr="00147E9E" w:rsidR="00147E9E" w:rsidP="00147E9E" w:rsidRDefault="00147E9E" w14:paraId="62411E22" w14:textId="36FAC9BD">
            <w:pPr>
              <w:ind w:firstLine="400" w:firstLineChars="200"/>
              <w:jc w:val="right"/>
              <w:rPr>
                <w:rFonts w:ascii="Times New Roman" w:hAnsi="Times New Roman"/>
              </w:rPr>
            </w:pPr>
          </w:p>
        </w:tc>
        <w:tc>
          <w:tcPr>
            <w:tcW w:w="655" w:type="pct"/>
            <w:tcBorders>
              <w:top w:val="nil"/>
              <w:left w:val="nil"/>
              <w:bottom w:val="nil"/>
              <w:right w:val="nil"/>
            </w:tcBorders>
            <w:shd w:val="clear" w:color="auto" w:fill="auto"/>
            <w:vAlign w:val="center"/>
            <w:hideMark/>
          </w:tcPr>
          <w:p w:rsidRPr="00147E9E" w:rsidR="00147E9E" w:rsidP="00147E9E" w:rsidRDefault="00147E9E" w14:paraId="772DDC29" w14:textId="4E1A19D2">
            <w:pPr>
              <w:ind w:firstLine="400" w:firstLineChars="200"/>
              <w:jc w:val="right"/>
              <w:rPr>
                <w:rFonts w:ascii="Times New Roman" w:hAnsi="Times New Roman"/>
              </w:rPr>
            </w:pPr>
          </w:p>
        </w:tc>
      </w:tr>
      <w:tr w:rsidRPr="00147E9E" w:rsidR="00147E9E" w:rsidTr="008E1F4B" w14:paraId="2EA266D5" w14:textId="77777777">
        <w:trPr>
          <w:trHeight w:val="300"/>
        </w:trPr>
        <w:tc>
          <w:tcPr>
            <w:tcW w:w="1727" w:type="pct"/>
            <w:tcBorders>
              <w:top w:val="nil"/>
              <w:left w:val="nil"/>
              <w:bottom w:val="nil"/>
              <w:right w:val="nil"/>
            </w:tcBorders>
            <w:shd w:val="clear" w:color="auto" w:fill="auto"/>
            <w:vAlign w:val="center"/>
            <w:hideMark/>
          </w:tcPr>
          <w:p w:rsidRPr="00147E9E" w:rsidR="00147E9E" w:rsidP="00147E9E" w:rsidRDefault="00147E9E" w14:paraId="579264A0" w14:textId="77777777">
            <w:pPr>
              <w:ind w:firstLine="360" w:firstLineChars="200"/>
              <w:rPr>
                <w:rFonts w:ascii="Verdana" w:hAnsi="Verdana" w:cs="Calibri"/>
                <w:color w:val="000000"/>
                <w:sz w:val="18"/>
                <w:szCs w:val="18"/>
              </w:rPr>
            </w:pPr>
            <w:r w:rsidRPr="00147E9E">
              <w:rPr>
                <w:rFonts w:ascii="Verdana" w:hAnsi="Verdana" w:cs="Calibri"/>
                <w:color w:val="000000"/>
                <w:sz w:val="18"/>
                <w:szCs w:val="18"/>
              </w:rPr>
              <w:t>2.1. schadeloosstelling</w:t>
            </w:r>
          </w:p>
        </w:tc>
        <w:tc>
          <w:tcPr>
            <w:tcW w:w="655" w:type="pct"/>
            <w:tcBorders>
              <w:top w:val="nil"/>
              <w:left w:val="nil"/>
              <w:bottom w:val="nil"/>
              <w:right w:val="nil"/>
            </w:tcBorders>
            <w:shd w:val="clear" w:color="auto" w:fill="auto"/>
            <w:vAlign w:val="center"/>
            <w:hideMark/>
          </w:tcPr>
          <w:p w:rsidRPr="00147E9E" w:rsidR="00147E9E" w:rsidP="00147E9E" w:rsidRDefault="00147E9E" w14:paraId="262B372D"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24.393</w:t>
            </w:r>
          </w:p>
        </w:tc>
        <w:tc>
          <w:tcPr>
            <w:tcW w:w="655" w:type="pct"/>
            <w:tcBorders>
              <w:top w:val="nil"/>
              <w:left w:val="nil"/>
              <w:bottom w:val="nil"/>
              <w:right w:val="nil"/>
            </w:tcBorders>
            <w:shd w:val="clear" w:color="auto" w:fill="auto"/>
            <w:vAlign w:val="center"/>
            <w:hideMark/>
          </w:tcPr>
          <w:p w:rsidRPr="00147E9E" w:rsidR="00147E9E" w:rsidP="00147E9E" w:rsidRDefault="00147E9E" w14:paraId="62F08626"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23.515</w:t>
            </w:r>
          </w:p>
        </w:tc>
        <w:tc>
          <w:tcPr>
            <w:tcW w:w="655" w:type="pct"/>
            <w:tcBorders>
              <w:top w:val="nil"/>
              <w:left w:val="nil"/>
              <w:bottom w:val="nil"/>
              <w:right w:val="nil"/>
            </w:tcBorders>
            <w:shd w:val="clear" w:color="auto" w:fill="auto"/>
            <w:vAlign w:val="center"/>
            <w:hideMark/>
          </w:tcPr>
          <w:p w:rsidRPr="00147E9E" w:rsidR="00147E9E" w:rsidP="00147E9E" w:rsidRDefault="00147E9E" w14:paraId="4057409D"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25.054</w:t>
            </w:r>
          </w:p>
        </w:tc>
        <w:tc>
          <w:tcPr>
            <w:tcW w:w="655" w:type="pct"/>
            <w:tcBorders>
              <w:top w:val="nil"/>
              <w:left w:val="nil"/>
              <w:bottom w:val="nil"/>
              <w:right w:val="nil"/>
            </w:tcBorders>
            <w:shd w:val="clear" w:color="auto" w:fill="auto"/>
            <w:vAlign w:val="center"/>
            <w:hideMark/>
          </w:tcPr>
          <w:p w:rsidRPr="00147E9E" w:rsidR="00147E9E" w:rsidP="00147E9E" w:rsidRDefault="00147E9E" w14:paraId="6E569495"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26.461</w:t>
            </w:r>
          </w:p>
        </w:tc>
        <w:tc>
          <w:tcPr>
            <w:tcW w:w="655" w:type="pct"/>
            <w:tcBorders>
              <w:top w:val="nil"/>
              <w:left w:val="nil"/>
              <w:bottom w:val="nil"/>
              <w:right w:val="nil"/>
            </w:tcBorders>
            <w:shd w:val="clear" w:color="auto" w:fill="auto"/>
            <w:vAlign w:val="center"/>
            <w:hideMark/>
          </w:tcPr>
          <w:p w:rsidRPr="00147E9E" w:rsidR="00147E9E" w:rsidP="00147E9E" w:rsidRDefault="00147E9E" w14:paraId="0A8F1843"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28.390</w:t>
            </w:r>
          </w:p>
        </w:tc>
      </w:tr>
      <w:tr w:rsidRPr="00147E9E" w:rsidR="00147E9E" w:rsidTr="008E1F4B" w14:paraId="7B26A7F8" w14:textId="77777777">
        <w:trPr>
          <w:trHeight w:val="300"/>
        </w:trPr>
        <w:tc>
          <w:tcPr>
            <w:tcW w:w="1727" w:type="pct"/>
            <w:tcBorders>
              <w:top w:val="nil"/>
              <w:left w:val="nil"/>
              <w:bottom w:val="nil"/>
              <w:right w:val="nil"/>
            </w:tcBorders>
            <w:shd w:val="clear" w:color="auto" w:fill="auto"/>
            <w:vAlign w:val="center"/>
            <w:hideMark/>
          </w:tcPr>
          <w:p w:rsidRPr="00147E9E" w:rsidR="00147E9E" w:rsidP="00147E9E" w:rsidRDefault="00147E9E" w14:paraId="274FBE77" w14:textId="77777777">
            <w:pPr>
              <w:ind w:firstLine="360" w:firstLineChars="200"/>
              <w:rPr>
                <w:rFonts w:ascii="Verdana" w:hAnsi="Verdana" w:cs="Calibri"/>
                <w:i/>
                <w:iCs/>
                <w:color w:val="000000"/>
                <w:sz w:val="18"/>
                <w:szCs w:val="18"/>
              </w:rPr>
            </w:pPr>
            <w:r w:rsidRPr="00147E9E">
              <w:rPr>
                <w:rFonts w:ascii="Verdana" w:hAnsi="Verdana" w:cs="Calibri"/>
                <w:i/>
                <w:iCs/>
                <w:color w:val="000000"/>
                <w:sz w:val="18"/>
                <w:szCs w:val="18"/>
              </w:rPr>
              <w:t>gemiddeld per lid TK</w:t>
            </w:r>
          </w:p>
        </w:tc>
        <w:tc>
          <w:tcPr>
            <w:tcW w:w="655" w:type="pct"/>
            <w:tcBorders>
              <w:top w:val="nil"/>
              <w:left w:val="nil"/>
              <w:bottom w:val="nil"/>
              <w:right w:val="nil"/>
            </w:tcBorders>
            <w:shd w:val="clear" w:color="auto" w:fill="auto"/>
            <w:vAlign w:val="center"/>
            <w:hideMark/>
          </w:tcPr>
          <w:p w:rsidRPr="00147E9E" w:rsidR="00147E9E" w:rsidP="00147E9E" w:rsidRDefault="00147E9E" w14:paraId="394AA0D7"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163</w:t>
            </w:r>
          </w:p>
        </w:tc>
        <w:tc>
          <w:tcPr>
            <w:tcW w:w="655" w:type="pct"/>
            <w:tcBorders>
              <w:top w:val="nil"/>
              <w:left w:val="nil"/>
              <w:bottom w:val="nil"/>
              <w:right w:val="nil"/>
            </w:tcBorders>
            <w:shd w:val="clear" w:color="auto" w:fill="auto"/>
            <w:vAlign w:val="center"/>
            <w:hideMark/>
          </w:tcPr>
          <w:p w:rsidRPr="00147E9E" w:rsidR="00147E9E" w:rsidP="00147E9E" w:rsidRDefault="00147E9E" w14:paraId="7F092820"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157</w:t>
            </w:r>
          </w:p>
        </w:tc>
        <w:tc>
          <w:tcPr>
            <w:tcW w:w="655" w:type="pct"/>
            <w:tcBorders>
              <w:top w:val="nil"/>
              <w:left w:val="nil"/>
              <w:bottom w:val="nil"/>
              <w:right w:val="nil"/>
            </w:tcBorders>
            <w:shd w:val="clear" w:color="auto" w:fill="auto"/>
            <w:vAlign w:val="center"/>
            <w:hideMark/>
          </w:tcPr>
          <w:p w:rsidRPr="00147E9E" w:rsidR="00147E9E" w:rsidP="00147E9E" w:rsidRDefault="00147E9E" w14:paraId="1D555388"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167</w:t>
            </w:r>
          </w:p>
        </w:tc>
        <w:tc>
          <w:tcPr>
            <w:tcW w:w="655" w:type="pct"/>
            <w:tcBorders>
              <w:top w:val="nil"/>
              <w:left w:val="nil"/>
              <w:bottom w:val="nil"/>
              <w:right w:val="nil"/>
            </w:tcBorders>
            <w:shd w:val="clear" w:color="auto" w:fill="auto"/>
            <w:vAlign w:val="center"/>
            <w:hideMark/>
          </w:tcPr>
          <w:p w:rsidRPr="00147E9E" w:rsidR="00147E9E" w:rsidP="00147E9E" w:rsidRDefault="00147E9E" w14:paraId="6D723E47"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176</w:t>
            </w:r>
          </w:p>
        </w:tc>
        <w:tc>
          <w:tcPr>
            <w:tcW w:w="655" w:type="pct"/>
            <w:tcBorders>
              <w:top w:val="nil"/>
              <w:left w:val="nil"/>
              <w:bottom w:val="nil"/>
              <w:right w:val="nil"/>
            </w:tcBorders>
            <w:shd w:val="clear" w:color="auto" w:fill="auto"/>
            <w:vAlign w:val="center"/>
            <w:hideMark/>
          </w:tcPr>
          <w:p w:rsidRPr="00147E9E" w:rsidR="00147E9E" w:rsidP="00147E9E" w:rsidRDefault="00147E9E" w14:paraId="52CC1AA2"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189</w:t>
            </w:r>
          </w:p>
        </w:tc>
      </w:tr>
      <w:tr w:rsidRPr="00147E9E" w:rsidR="00147E9E" w:rsidTr="008E1F4B" w14:paraId="630F30E6" w14:textId="77777777">
        <w:trPr>
          <w:trHeight w:val="300"/>
        </w:trPr>
        <w:tc>
          <w:tcPr>
            <w:tcW w:w="1727" w:type="pct"/>
            <w:tcBorders>
              <w:top w:val="nil"/>
              <w:left w:val="nil"/>
              <w:bottom w:val="nil"/>
              <w:right w:val="nil"/>
            </w:tcBorders>
            <w:shd w:val="clear" w:color="auto" w:fill="auto"/>
            <w:vAlign w:val="center"/>
            <w:hideMark/>
          </w:tcPr>
          <w:p w:rsidRPr="00147E9E" w:rsidR="00147E9E" w:rsidP="00147E9E" w:rsidRDefault="00147E9E" w14:paraId="1506BD3F" w14:textId="77777777">
            <w:pPr>
              <w:ind w:firstLine="360" w:firstLineChars="200"/>
              <w:rPr>
                <w:rFonts w:ascii="Verdana" w:hAnsi="Verdana" w:cs="Calibri"/>
                <w:color w:val="000000"/>
                <w:sz w:val="18"/>
                <w:szCs w:val="18"/>
              </w:rPr>
            </w:pPr>
            <w:r w:rsidRPr="00147E9E">
              <w:rPr>
                <w:rFonts w:ascii="Verdana" w:hAnsi="Verdana" w:cs="Calibri"/>
                <w:color w:val="000000"/>
                <w:sz w:val="18"/>
                <w:szCs w:val="18"/>
              </w:rPr>
              <w:t>2.2. pensioenen en wachtgelden</w:t>
            </w:r>
          </w:p>
        </w:tc>
        <w:tc>
          <w:tcPr>
            <w:tcW w:w="655" w:type="pct"/>
            <w:tcBorders>
              <w:top w:val="nil"/>
              <w:left w:val="nil"/>
              <w:bottom w:val="nil"/>
              <w:right w:val="nil"/>
            </w:tcBorders>
            <w:shd w:val="clear" w:color="auto" w:fill="auto"/>
            <w:vAlign w:val="center"/>
            <w:hideMark/>
          </w:tcPr>
          <w:p w:rsidRPr="00147E9E" w:rsidR="00147E9E" w:rsidP="00147E9E" w:rsidRDefault="00147E9E" w14:paraId="3E96DFF2"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9.468</w:t>
            </w:r>
          </w:p>
        </w:tc>
        <w:tc>
          <w:tcPr>
            <w:tcW w:w="655" w:type="pct"/>
            <w:tcBorders>
              <w:top w:val="nil"/>
              <w:left w:val="nil"/>
              <w:bottom w:val="nil"/>
              <w:right w:val="nil"/>
            </w:tcBorders>
            <w:shd w:val="clear" w:color="auto" w:fill="auto"/>
            <w:vAlign w:val="center"/>
            <w:hideMark/>
          </w:tcPr>
          <w:p w:rsidRPr="00147E9E" w:rsidR="00147E9E" w:rsidP="00147E9E" w:rsidRDefault="00147E9E" w14:paraId="3D1A1A62"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11.918</w:t>
            </w:r>
          </w:p>
        </w:tc>
        <w:tc>
          <w:tcPr>
            <w:tcW w:w="655" w:type="pct"/>
            <w:tcBorders>
              <w:top w:val="nil"/>
              <w:left w:val="nil"/>
              <w:bottom w:val="nil"/>
              <w:right w:val="nil"/>
            </w:tcBorders>
            <w:shd w:val="clear" w:color="auto" w:fill="auto"/>
            <w:vAlign w:val="center"/>
            <w:hideMark/>
          </w:tcPr>
          <w:p w:rsidRPr="00147E9E" w:rsidR="00147E9E" w:rsidP="00147E9E" w:rsidRDefault="00147E9E" w14:paraId="2D7308C7"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10.275</w:t>
            </w:r>
          </w:p>
        </w:tc>
        <w:tc>
          <w:tcPr>
            <w:tcW w:w="655" w:type="pct"/>
            <w:tcBorders>
              <w:top w:val="nil"/>
              <w:left w:val="nil"/>
              <w:bottom w:val="nil"/>
              <w:right w:val="nil"/>
            </w:tcBorders>
            <w:shd w:val="clear" w:color="auto" w:fill="auto"/>
            <w:vAlign w:val="center"/>
            <w:hideMark/>
          </w:tcPr>
          <w:p w:rsidRPr="00147E9E" w:rsidR="00147E9E" w:rsidP="00147E9E" w:rsidRDefault="00147E9E" w14:paraId="312498B4"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12.372</w:t>
            </w:r>
          </w:p>
        </w:tc>
        <w:tc>
          <w:tcPr>
            <w:tcW w:w="655" w:type="pct"/>
            <w:tcBorders>
              <w:top w:val="nil"/>
              <w:left w:val="nil"/>
              <w:bottom w:val="nil"/>
              <w:right w:val="nil"/>
            </w:tcBorders>
            <w:shd w:val="clear" w:color="auto" w:fill="auto"/>
            <w:vAlign w:val="center"/>
            <w:hideMark/>
          </w:tcPr>
          <w:p w:rsidRPr="00147E9E" w:rsidR="00147E9E" w:rsidP="00147E9E" w:rsidRDefault="00147E9E" w14:paraId="64030622"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15.899</w:t>
            </w:r>
          </w:p>
        </w:tc>
      </w:tr>
      <w:tr w:rsidRPr="00147E9E" w:rsidR="00147E9E" w:rsidTr="008E1F4B" w14:paraId="79449246" w14:textId="77777777">
        <w:trPr>
          <w:trHeight w:val="450"/>
        </w:trPr>
        <w:tc>
          <w:tcPr>
            <w:tcW w:w="1727" w:type="pct"/>
            <w:tcBorders>
              <w:top w:val="nil"/>
              <w:left w:val="nil"/>
              <w:bottom w:val="nil"/>
              <w:right w:val="nil"/>
            </w:tcBorders>
            <w:shd w:val="clear" w:color="auto" w:fill="auto"/>
            <w:vAlign w:val="center"/>
            <w:hideMark/>
          </w:tcPr>
          <w:p w:rsidRPr="00147E9E" w:rsidR="00147E9E" w:rsidP="00147E9E" w:rsidRDefault="00147E9E" w14:paraId="58D3CCA2" w14:textId="77777777">
            <w:pPr>
              <w:ind w:firstLine="360" w:firstLineChars="200"/>
              <w:rPr>
                <w:rFonts w:ascii="Verdana" w:hAnsi="Verdana" w:cs="Calibri"/>
                <w:color w:val="000000"/>
                <w:sz w:val="18"/>
                <w:szCs w:val="18"/>
              </w:rPr>
            </w:pPr>
            <w:r w:rsidRPr="00147E9E">
              <w:rPr>
                <w:rFonts w:ascii="Verdana" w:hAnsi="Verdana" w:cs="Calibri"/>
                <w:color w:val="000000"/>
                <w:sz w:val="18"/>
                <w:szCs w:val="18"/>
              </w:rPr>
              <w:t>2.3. schadeloosstelling leden Europees Parlement</w:t>
            </w:r>
          </w:p>
        </w:tc>
        <w:tc>
          <w:tcPr>
            <w:tcW w:w="655" w:type="pct"/>
            <w:tcBorders>
              <w:top w:val="nil"/>
              <w:left w:val="nil"/>
              <w:bottom w:val="nil"/>
              <w:right w:val="nil"/>
            </w:tcBorders>
            <w:shd w:val="clear" w:color="auto" w:fill="auto"/>
            <w:vAlign w:val="center"/>
            <w:hideMark/>
          </w:tcPr>
          <w:p w:rsidRPr="00147E9E" w:rsidR="00147E9E" w:rsidP="00147E9E" w:rsidRDefault="00147E9E" w14:paraId="505E3DF7"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0</w:t>
            </w:r>
          </w:p>
        </w:tc>
        <w:tc>
          <w:tcPr>
            <w:tcW w:w="655" w:type="pct"/>
            <w:tcBorders>
              <w:top w:val="nil"/>
              <w:left w:val="nil"/>
              <w:bottom w:val="nil"/>
              <w:right w:val="nil"/>
            </w:tcBorders>
            <w:shd w:val="clear" w:color="auto" w:fill="auto"/>
            <w:vAlign w:val="center"/>
            <w:hideMark/>
          </w:tcPr>
          <w:p w:rsidRPr="00147E9E" w:rsidR="00147E9E" w:rsidP="00147E9E" w:rsidRDefault="00147E9E" w14:paraId="4A7C01C6"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0</w:t>
            </w:r>
          </w:p>
        </w:tc>
        <w:tc>
          <w:tcPr>
            <w:tcW w:w="655" w:type="pct"/>
            <w:tcBorders>
              <w:top w:val="nil"/>
              <w:left w:val="nil"/>
              <w:bottom w:val="nil"/>
              <w:right w:val="nil"/>
            </w:tcBorders>
            <w:shd w:val="clear" w:color="auto" w:fill="auto"/>
            <w:vAlign w:val="center"/>
            <w:hideMark/>
          </w:tcPr>
          <w:p w:rsidRPr="00147E9E" w:rsidR="00147E9E" w:rsidP="00147E9E" w:rsidRDefault="00147E9E" w14:paraId="125CE8FE"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0</w:t>
            </w:r>
          </w:p>
        </w:tc>
        <w:tc>
          <w:tcPr>
            <w:tcW w:w="655" w:type="pct"/>
            <w:tcBorders>
              <w:top w:val="nil"/>
              <w:left w:val="nil"/>
              <w:bottom w:val="nil"/>
              <w:right w:val="nil"/>
            </w:tcBorders>
            <w:shd w:val="clear" w:color="auto" w:fill="auto"/>
            <w:vAlign w:val="center"/>
            <w:hideMark/>
          </w:tcPr>
          <w:p w:rsidRPr="00147E9E" w:rsidR="00147E9E" w:rsidP="00147E9E" w:rsidRDefault="00147E9E" w14:paraId="11630682"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0</w:t>
            </w:r>
          </w:p>
        </w:tc>
        <w:tc>
          <w:tcPr>
            <w:tcW w:w="655" w:type="pct"/>
            <w:tcBorders>
              <w:top w:val="nil"/>
              <w:left w:val="nil"/>
              <w:bottom w:val="nil"/>
              <w:right w:val="nil"/>
            </w:tcBorders>
            <w:shd w:val="clear" w:color="auto" w:fill="auto"/>
            <w:vAlign w:val="center"/>
            <w:hideMark/>
          </w:tcPr>
          <w:p w:rsidRPr="00147E9E" w:rsidR="00147E9E" w:rsidP="00147E9E" w:rsidRDefault="00147E9E" w14:paraId="1EFD5F7A" w14:textId="77777777">
            <w:pPr>
              <w:ind w:firstLine="360" w:firstLineChars="200"/>
              <w:jc w:val="right"/>
              <w:rPr>
                <w:rFonts w:ascii="Verdana" w:hAnsi="Verdana" w:cs="Calibri"/>
                <w:color w:val="000000"/>
                <w:sz w:val="18"/>
                <w:szCs w:val="18"/>
              </w:rPr>
            </w:pPr>
            <w:r w:rsidRPr="00147E9E">
              <w:rPr>
                <w:rFonts w:ascii="Verdana" w:hAnsi="Verdana" w:cs="Calibri"/>
                <w:color w:val="000000"/>
                <w:sz w:val="18"/>
                <w:szCs w:val="18"/>
              </w:rPr>
              <w:t>0</w:t>
            </w:r>
          </w:p>
        </w:tc>
      </w:tr>
    </w:tbl>
    <w:p w:rsidR="00F96811" w:rsidP="00654798" w:rsidRDefault="00F96811" w14:paraId="1E7040DC" w14:textId="77777777">
      <w:pPr>
        <w:spacing w:line="240" w:lineRule="atLeast"/>
        <w:rPr>
          <w:rFonts w:ascii="Verdana" w:hAnsi="Verdana"/>
          <w:i/>
          <w:iCs/>
          <w:sz w:val="18"/>
          <w:szCs w:val="18"/>
        </w:rPr>
      </w:pPr>
    </w:p>
    <w:p w:rsidR="00F96811" w:rsidP="00654798" w:rsidRDefault="00F96811" w14:paraId="3809F524" w14:textId="77777777">
      <w:pPr>
        <w:spacing w:line="240" w:lineRule="atLeast"/>
        <w:rPr>
          <w:rFonts w:ascii="Verdana" w:hAnsi="Verdana"/>
          <w:i/>
          <w:iCs/>
          <w:sz w:val="18"/>
          <w:szCs w:val="18"/>
        </w:rPr>
      </w:pPr>
    </w:p>
    <w:p w:rsidRPr="00397084" w:rsidR="00F54EB5" w:rsidP="00654798" w:rsidRDefault="51825749" w14:paraId="2DC617C1" w14:textId="77777777">
      <w:pPr>
        <w:spacing w:line="240" w:lineRule="atLeast"/>
        <w:outlineLvl w:val="0"/>
        <w:rPr>
          <w:rFonts w:ascii="Verdana" w:hAnsi="Verdana"/>
          <w:sz w:val="18"/>
          <w:szCs w:val="18"/>
        </w:rPr>
      </w:pPr>
      <w:r w:rsidRPr="51825749">
        <w:rPr>
          <w:rFonts w:ascii="Verdana" w:hAnsi="Verdana"/>
          <w:sz w:val="18"/>
          <w:szCs w:val="18"/>
        </w:rPr>
        <w:t xml:space="preserve">Het betreft de volgende aantallen gerechtigden voor de pensioenen en wachtgelden: </w:t>
      </w:r>
    </w:p>
    <w:p w:rsidRPr="00397084" w:rsidR="00F54EB5" w:rsidP="00654798" w:rsidRDefault="00F54EB5" w14:paraId="751A1C41" w14:textId="77777777">
      <w:pPr>
        <w:spacing w:line="240" w:lineRule="atLeast"/>
        <w:ind w:left="284" w:hanging="284"/>
        <w:outlineLvl w:val="0"/>
        <w:rPr>
          <w:rFonts w:ascii="Verdana" w:hAnsi="Verdana"/>
          <w:i/>
          <w:sz w:val="18"/>
          <w:szCs w:val="18"/>
        </w:rPr>
      </w:pPr>
    </w:p>
    <w:p w:rsidR="00F54EB5" w:rsidP="00654798" w:rsidRDefault="51825749" w14:paraId="05BAD48A" w14:textId="334CA87E">
      <w:pPr>
        <w:spacing w:line="240" w:lineRule="atLeast"/>
        <w:ind w:left="284" w:hanging="284"/>
        <w:outlineLvl w:val="0"/>
        <w:rPr>
          <w:rFonts w:ascii="Verdana" w:hAnsi="Verdana"/>
          <w:i/>
          <w:iCs/>
          <w:sz w:val="18"/>
          <w:szCs w:val="18"/>
        </w:rPr>
      </w:pPr>
      <w:r w:rsidRPr="51825749">
        <w:rPr>
          <w:rFonts w:ascii="Verdana" w:hAnsi="Verdana"/>
          <w:i/>
          <w:iCs/>
          <w:sz w:val="18"/>
          <w:szCs w:val="18"/>
        </w:rPr>
        <w:t>Tabel 3: aantallen gerechtigden pensioenen en wachtgelden oud-leden</w:t>
      </w:r>
    </w:p>
    <w:tbl>
      <w:tblPr>
        <w:tblW w:w="5000" w:type="pct"/>
        <w:tblCellMar>
          <w:left w:w="70" w:type="dxa"/>
          <w:right w:w="70" w:type="dxa"/>
        </w:tblCellMar>
        <w:tblLook w:val="04A0" w:firstRow="1" w:lastRow="0" w:firstColumn="1" w:lastColumn="0" w:noHBand="0" w:noVBand="1"/>
      </w:tblPr>
      <w:tblGrid>
        <w:gridCol w:w="3388"/>
        <w:gridCol w:w="1235"/>
        <w:gridCol w:w="1236"/>
        <w:gridCol w:w="1236"/>
        <w:gridCol w:w="1236"/>
        <w:gridCol w:w="1232"/>
      </w:tblGrid>
      <w:tr w:rsidRPr="00D85D17" w:rsidR="00D85D17" w:rsidTr="008E1F4B" w14:paraId="68588F70" w14:textId="77777777">
        <w:trPr>
          <w:trHeight w:val="435"/>
        </w:trPr>
        <w:tc>
          <w:tcPr>
            <w:tcW w:w="1772" w:type="pct"/>
            <w:tcBorders>
              <w:top w:val="nil"/>
              <w:left w:val="nil"/>
              <w:bottom w:val="nil"/>
              <w:right w:val="nil"/>
            </w:tcBorders>
            <w:shd w:val="clear" w:color="000000" w:fill="002060"/>
            <w:vAlign w:val="center"/>
            <w:hideMark/>
          </w:tcPr>
          <w:p w:rsidRPr="00D85D17" w:rsidR="00D85D17" w:rsidP="00D85D17" w:rsidRDefault="00D85D17" w14:paraId="6E63719A" w14:textId="77777777">
            <w:pPr>
              <w:rPr>
                <w:rFonts w:ascii="Verdana" w:hAnsi="Verdana" w:cs="Calibri"/>
                <w:b/>
                <w:bCs/>
                <w:color w:val="FFFFFF"/>
                <w:sz w:val="18"/>
                <w:szCs w:val="18"/>
              </w:rPr>
            </w:pPr>
            <w:r w:rsidRPr="00D85D17">
              <w:rPr>
                <w:rFonts w:ascii="Verdana" w:hAnsi="Verdana" w:cs="Calibri"/>
                <w:b/>
                <w:bCs/>
                <w:color w:val="FFFFFF"/>
                <w:sz w:val="18"/>
                <w:szCs w:val="18"/>
              </w:rPr>
              <w:t>Aantallen deelgerechtigden</w:t>
            </w:r>
          </w:p>
        </w:tc>
        <w:tc>
          <w:tcPr>
            <w:tcW w:w="646" w:type="pct"/>
            <w:tcBorders>
              <w:top w:val="nil"/>
              <w:left w:val="nil"/>
              <w:bottom w:val="nil"/>
              <w:right w:val="nil"/>
            </w:tcBorders>
            <w:shd w:val="clear" w:color="000000" w:fill="002060"/>
            <w:noWrap/>
            <w:vAlign w:val="center"/>
            <w:hideMark/>
          </w:tcPr>
          <w:p w:rsidRPr="00D85D17" w:rsidR="00D85D17" w:rsidP="00D85D17" w:rsidRDefault="00D85D17" w14:paraId="780A15AE"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2020</w:t>
            </w:r>
          </w:p>
        </w:tc>
        <w:tc>
          <w:tcPr>
            <w:tcW w:w="646" w:type="pct"/>
            <w:tcBorders>
              <w:top w:val="nil"/>
              <w:left w:val="nil"/>
              <w:bottom w:val="nil"/>
              <w:right w:val="nil"/>
            </w:tcBorders>
            <w:shd w:val="clear" w:color="000000" w:fill="002060"/>
            <w:noWrap/>
            <w:vAlign w:val="center"/>
            <w:hideMark/>
          </w:tcPr>
          <w:p w:rsidRPr="00D85D17" w:rsidR="00D85D17" w:rsidP="00D85D17" w:rsidRDefault="00D85D17" w14:paraId="35EEB46A"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2021</w:t>
            </w:r>
          </w:p>
        </w:tc>
        <w:tc>
          <w:tcPr>
            <w:tcW w:w="646" w:type="pct"/>
            <w:tcBorders>
              <w:top w:val="nil"/>
              <w:left w:val="nil"/>
              <w:bottom w:val="nil"/>
              <w:right w:val="nil"/>
            </w:tcBorders>
            <w:shd w:val="clear" w:color="000000" w:fill="002060"/>
            <w:noWrap/>
            <w:vAlign w:val="center"/>
            <w:hideMark/>
          </w:tcPr>
          <w:p w:rsidRPr="00D85D17" w:rsidR="00D85D17" w:rsidP="00D85D17" w:rsidRDefault="00D85D17" w14:paraId="218C1842"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2022</w:t>
            </w:r>
          </w:p>
        </w:tc>
        <w:tc>
          <w:tcPr>
            <w:tcW w:w="646" w:type="pct"/>
            <w:tcBorders>
              <w:top w:val="nil"/>
              <w:left w:val="nil"/>
              <w:bottom w:val="nil"/>
              <w:right w:val="nil"/>
            </w:tcBorders>
            <w:shd w:val="clear" w:color="000000" w:fill="002060"/>
            <w:noWrap/>
            <w:vAlign w:val="center"/>
            <w:hideMark/>
          </w:tcPr>
          <w:p w:rsidRPr="00D85D17" w:rsidR="00D85D17" w:rsidP="00D85D17" w:rsidRDefault="00D85D17" w14:paraId="168B55F9"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2023</w:t>
            </w:r>
          </w:p>
        </w:tc>
        <w:tc>
          <w:tcPr>
            <w:tcW w:w="646" w:type="pct"/>
            <w:tcBorders>
              <w:top w:val="nil"/>
              <w:left w:val="nil"/>
              <w:bottom w:val="nil"/>
              <w:right w:val="nil"/>
            </w:tcBorders>
            <w:shd w:val="clear" w:color="000000" w:fill="002060"/>
            <w:noWrap/>
            <w:vAlign w:val="center"/>
            <w:hideMark/>
          </w:tcPr>
          <w:p w:rsidRPr="00D85D17" w:rsidR="00D85D17" w:rsidP="00D85D17" w:rsidRDefault="00D85D17" w14:paraId="7A6DFB8F" w14:textId="77777777">
            <w:pPr>
              <w:jc w:val="center"/>
              <w:rPr>
                <w:rFonts w:ascii="Verdana" w:hAnsi="Verdana" w:cs="Calibri"/>
                <w:b/>
                <w:bCs/>
                <w:color w:val="FFFFFF"/>
                <w:sz w:val="18"/>
                <w:szCs w:val="18"/>
              </w:rPr>
            </w:pPr>
            <w:r w:rsidRPr="00D85D17">
              <w:rPr>
                <w:rFonts w:ascii="Verdana" w:hAnsi="Verdana" w:cs="Calibri"/>
                <w:b/>
                <w:bCs/>
                <w:color w:val="FFFFFF"/>
                <w:sz w:val="18"/>
                <w:szCs w:val="18"/>
              </w:rPr>
              <w:t>2024</w:t>
            </w:r>
          </w:p>
        </w:tc>
      </w:tr>
      <w:tr w:rsidRPr="00D85D17" w:rsidR="00D85D17" w:rsidTr="008E1F4B" w14:paraId="6BFF7DAD" w14:textId="77777777">
        <w:trPr>
          <w:trHeight w:val="300"/>
        </w:trPr>
        <w:tc>
          <w:tcPr>
            <w:tcW w:w="1772" w:type="pct"/>
            <w:tcBorders>
              <w:top w:val="nil"/>
              <w:left w:val="nil"/>
              <w:bottom w:val="nil"/>
              <w:right w:val="nil"/>
            </w:tcBorders>
            <w:shd w:val="clear" w:color="auto" w:fill="auto"/>
            <w:vAlign w:val="center"/>
            <w:hideMark/>
          </w:tcPr>
          <w:p w:rsidRPr="00D85D17" w:rsidR="00D85D17" w:rsidP="00D85D17" w:rsidRDefault="00D85D17" w14:paraId="2883AA82" w14:textId="77777777">
            <w:pPr>
              <w:ind w:firstLine="360" w:firstLineChars="200"/>
              <w:rPr>
                <w:rFonts w:ascii="Verdana" w:hAnsi="Verdana" w:cs="Calibri"/>
                <w:color w:val="000000"/>
                <w:sz w:val="18"/>
                <w:szCs w:val="18"/>
              </w:rPr>
            </w:pPr>
            <w:r w:rsidRPr="00D85D17">
              <w:rPr>
                <w:rFonts w:ascii="Verdana" w:hAnsi="Verdana" w:cs="Calibri"/>
                <w:color w:val="000000"/>
                <w:sz w:val="18"/>
                <w:szCs w:val="18"/>
              </w:rPr>
              <w:t>Pensioenen oud-leden</w:t>
            </w:r>
          </w:p>
        </w:tc>
        <w:tc>
          <w:tcPr>
            <w:tcW w:w="646" w:type="pct"/>
            <w:tcBorders>
              <w:top w:val="nil"/>
              <w:left w:val="nil"/>
              <w:bottom w:val="nil"/>
              <w:right w:val="nil"/>
            </w:tcBorders>
            <w:shd w:val="clear" w:color="auto" w:fill="auto"/>
            <w:vAlign w:val="center"/>
            <w:hideMark/>
          </w:tcPr>
          <w:p w:rsidRPr="00D85D17" w:rsidR="00D85D17" w:rsidP="00D85D17" w:rsidRDefault="00D85D17" w14:paraId="5E310981"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432</w:t>
            </w:r>
          </w:p>
        </w:tc>
        <w:tc>
          <w:tcPr>
            <w:tcW w:w="646" w:type="pct"/>
            <w:tcBorders>
              <w:top w:val="nil"/>
              <w:left w:val="nil"/>
              <w:bottom w:val="nil"/>
              <w:right w:val="nil"/>
            </w:tcBorders>
            <w:shd w:val="clear" w:color="auto" w:fill="auto"/>
            <w:vAlign w:val="center"/>
            <w:hideMark/>
          </w:tcPr>
          <w:p w:rsidRPr="00D85D17" w:rsidR="00D85D17" w:rsidP="00D85D17" w:rsidRDefault="00D85D17" w14:paraId="1A467042"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451</w:t>
            </w:r>
          </w:p>
        </w:tc>
        <w:tc>
          <w:tcPr>
            <w:tcW w:w="646" w:type="pct"/>
            <w:tcBorders>
              <w:top w:val="nil"/>
              <w:left w:val="nil"/>
              <w:bottom w:val="nil"/>
              <w:right w:val="nil"/>
            </w:tcBorders>
            <w:shd w:val="clear" w:color="auto" w:fill="auto"/>
            <w:vAlign w:val="center"/>
            <w:hideMark/>
          </w:tcPr>
          <w:p w:rsidRPr="00D85D17" w:rsidR="00D85D17" w:rsidP="00D85D17" w:rsidRDefault="00D85D17" w14:paraId="1B4D5804"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448</w:t>
            </w:r>
          </w:p>
        </w:tc>
        <w:tc>
          <w:tcPr>
            <w:tcW w:w="646" w:type="pct"/>
            <w:tcBorders>
              <w:top w:val="nil"/>
              <w:left w:val="nil"/>
              <w:bottom w:val="nil"/>
              <w:right w:val="nil"/>
            </w:tcBorders>
            <w:shd w:val="clear" w:color="auto" w:fill="auto"/>
            <w:vAlign w:val="center"/>
            <w:hideMark/>
          </w:tcPr>
          <w:p w:rsidRPr="00D85D17" w:rsidR="00D85D17" w:rsidP="00D85D17" w:rsidRDefault="00D85D17" w14:paraId="0136423C"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470</w:t>
            </w:r>
          </w:p>
        </w:tc>
        <w:tc>
          <w:tcPr>
            <w:tcW w:w="646" w:type="pct"/>
            <w:tcBorders>
              <w:top w:val="nil"/>
              <w:left w:val="nil"/>
              <w:bottom w:val="nil"/>
              <w:right w:val="nil"/>
            </w:tcBorders>
            <w:shd w:val="clear" w:color="auto" w:fill="auto"/>
            <w:vAlign w:val="center"/>
            <w:hideMark/>
          </w:tcPr>
          <w:p w:rsidRPr="00D85D17" w:rsidR="00D85D17" w:rsidP="00D85D17" w:rsidRDefault="00D85D17" w14:paraId="1997B4CB"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470</w:t>
            </w:r>
          </w:p>
        </w:tc>
      </w:tr>
      <w:tr w:rsidRPr="00D85D17" w:rsidR="00D85D17" w:rsidTr="008E1F4B" w14:paraId="121F4529" w14:textId="77777777">
        <w:trPr>
          <w:trHeight w:val="300"/>
        </w:trPr>
        <w:tc>
          <w:tcPr>
            <w:tcW w:w="1772" w:type="pct"/>
            <w:tcBorders>
              <w:top w:val="nil"/>
              <w:left w:val="nil"/>
              <w:bottom w:val="nil"/>
              <w:right w:val="nil"/>
            </w:tcBorders>
            <w:shd w:val="clear" w:color="auto" w:fill="auto"/>
            <w:vAlign w:val="center"/>
            <w:hideMark/>
          </w:tcPr>
          <w:p w:rsidRPr="00D85D17" w:rsidR="00D85D17" w:rsidP="00D85D17" w:rsidRDefault="00D85D17" w14:paraId="43854873" w14:textId="77777777">
            <w:pPr>
              <w:ind w:firstLine="360" w:firstLineChars="200"/>
              <w:rPr>
                <w:rFonts w:ascii="Verdana" w:hAnsi="Verdana" w:cs="Calibri"/>
                <w:color w:val="000000"/>
                <w:sz w:val="18"/>
                <w:szCs w:val="18"/>
              </w:rPr>
            </w:pPr>
            <w:r w:rsidRPr="00D85D17">
              <w:rPr>
                <w:rFonts w:ascii="Verdana" w:hAnsi="Verdana" w:cs="Calibri"/>
                <w:color w:val="000000"/>
                <w:sz w:val="18"/>
                <w:szCs w:val="18"/>
              </w:rPr>
              <w:t>Wachtgelden oud-leden</w:t>
            </w:r>
          </w:p>
        </w:tc>
        <w:tc>
          <w:tcPr>
            <w:tcW w:w="646" w:type="pct"/>
            <w:tcBorders>
              <w:top w:val="nil"/>
              <w:left w:val="nil"/>
              <w:bottom w:val="nil"/>
              <w:right w:val="nil"/>
            </w:tcBorders>
            <w:shd w:val="clear" w:color="auto" w:fill="auto"/>
            <w:vAlign w:val="center"/>
            <w:hideMark/>
          </w:tcPr>
          <w:p w:rsidRPr="00D85D17" w:rsidR="00D85D17" w:rsidP="00D85D17" w:rsidRDefault="00D85D17" w14:paraId="6B3949E7"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14</w:t>
            </w:r>
          </w:p>
        </w:tc>
        <w:tc>
          <w:tcPr>
            <w:tcW w:w="646" w:type="pct"/>
            <w:tcBorders>
              <w:top w:val="nil"/>
              <w:left w:val="nil"/>
              <w:bottom w:val="nil"/>
              <w:right w:val="nil"/>
            </w:tcBorders>
            <w:shd w:val="clear" w:color="auto" w:fill="auto"/>
            <w:vAlign w:val="center"/>
            <w:hideMark/>
          </w:tcPr>
          <w:p w:rsidRPr="00D85D17" w:rsidR="00D85D17" w:rsidP="00D85D17" w:rsidRDefault="00D85D17" w14:paraId="0FD512DD"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58</w:t>
            </w:r>
          </w:p>
        </w:tc>
        <w:tc>
          <w:tcPr>
            <w:tcW w:w="646" w:type="pct"/>
            <w:tcBorders>
              <w:top w:val="nil"/>
              <w:left w:val="nil"/>
              <w:bottom w:val="nil"/>
              <w:right w:val="nil"/>
            </w:tcBorders>
            <w:shd w:val="clear" w:color="auto" w:fill="auto"/>
            <w:vAlign w:val="center"/>
            <w:hideMark/>
          </w:tcPr>
          <w:p w:rsidRPr="00D85D17" w:rsidR="00D85D17" w:rsidP="00D85D17" w:rsidRDefault="00D85D17" w14:paraId="7C416A25"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48</w:t>
            </w:r>
          </w:p>
        </w:tc>
        <w:tc>
          <w:tcPr>
            <w:tcW w:w="646" w:type="pct"/>
            <w:tcBorders>
              <w:top w:val="nil"/>
              <w:left w:val="nil"/>
              <w:bottom w:val="nil"/>
              <w:right w:val="nil"/>
            </w:tcBorders>
            <w:shd w:val="clear" w:color="auto" w:fill="auto"/>
            <w:vAlign w:val="center"/>
            <w:hideMark/>
          </w:tcPr>
          <w:p w:rsidRPr="00D85D17" w:rsidR="00D85D17" w:rsidP="00D85D17" w:rsidRDefault="00D85D17" w14:paraId="749200AE"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103</w:t>
            </w:r>
          </w:p>
        </w:tc>
        <w:tc>
          <w:tcPr>
            <w:tcW w:w="646" w:type="pct"/>
            <w:tcBorders>
              <w:top w:val="nil"/>
              <w:left w:val="nil"/>
              <w:bottom w:val="nil"/>
              <w:right w:val="nil"/>
            </w:tcBorders>
            <w:shd w:val="clear" w:color="auto" w:fill="auto"/>
            <w:vAlign w:val="center"/>
            <w:hideMark/>
          </w:tcPr>
          <w:p w:rsidRPr="00D85D17" w:rsidR="00D85D17" w:rsidP="00D85D17" w:rsidRDefault="00D85D17" w14:paraId="2030FB24"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111</w:t>
            </w:r>
          </w:p>
        </w:tc>
      </w:tr>
      <w:tr w:rsidRPr="00D85D17" w:rsidR="00D85D17" w:rsidTr="008E1F4B" w14:paraId="20A04084" w14:textId="77777777">
        <w:trPr>
          <w:trHeight w:val="315"/>
        </w:trPr>
        <w:tc>
          <w:tcPr>
            <w:tcW w:w="1772" w:type="pct"/>
            <w:tcBorders>
              <w:top w:val="nil"/>
              <w:left w:val="nil"/>
              <w:bottom w:val="single" w:color="auto" w:sz="8" w:space="0"/>
              <w:right w:val="nil"/>
            </w:tcBorders>
            <w:shd w:val="clear" w:color="auto" w:fill="auto"/>
            <w:vAlign w:val="center"/>
            <w:hideMark/>
          </w:tcPr>
          <w:p w:rsidRPr="00D85D17" w:rsidR="00D85D17" w:rsidP="00D85D17" w:rsidRDefault="00D85D17" w14:paraId="54ACE865" w14:textId="77777777">
            <w:pPr>
              <w:ind w:firstLine="360" w:firstLineChars="200"/>
              <w:rPr>
                <w:rFonts w:ascii="Verdana" w:hAnsi="Verdana" w:cs="Calibri"/>
                <w:color w:val="000000"/>
                <w:sz w:val="18"/>
                <w:szCs w:val="18"/>
              </w:rPr>
            </w:pPr>
            <w:r w:rsidRPr="00D85D17">
              <w:rPr>
                <w:rFonts w:ascii="Verdana" w:hAnsi="Verdana" w:cs="Calibri"/>
                <w:color w:val="000000"/>
                <w:sz w:val="18"/>
                <w:szCs w:val="18"/>
              </w:rPr>
              <w:t>Totaal</w:t>
            </w:r>
          </w:p>
        </w:tc>
        <w:tc>
          <w:tcPr>
            <w:tcW w:w="646" w:type="pct"/>
            <w:tcBorders>
              <w:top w:val="nil"/>
              <w:left w:val="nil"/>
              <w:bottom w:val="single" w:color="auto" w:sz="8" w:space="0"/>
              <w:right w:val="nil"/>
            </w:tcBorders>
            <w:shd w:val="clear" w:color="auto" w:fill="auto"/>
            <w:vAlign w:val="center"/>
            <w:hideMark/>
          </w:tcPr>
          <w:p w:rsidRPr="00D85D17" w:rsidR="00D85D17" w:rsidP="00D85D17" w:rsidRDefault="00D85D17" w14:paraId="085C54DE"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446</w:t>
            </w:r>
          </w:p>
        </w:tc>
        <w:tc>
          <w:tcPr>
            <w:tcW w:w="646" w:type="pct"/>
            <w:tcBorders>
              <w:top w:val="nil"/>
              <w:left w:val="nil"/>
              <w:bottom w:val="single" w:color="auto" w:sz="8" w:space="0"/>
              <w:right w:val="nil"/>
            </w:tcBorders>
            <w:shd w:val="clear" w:color="auto" w:fill="auto"/>
            <w:vAlign w:val="center"/>
            <w:hideMark/>
          </w:tcPr>
          <w:p w:rsidRPr="00D85D17" w:rsidR="00D85D17" w:rsidP="00D85D17" w:rsidRDefault="00D85D17" w14:paraId="59308AE2"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509</w:t>
            </w:r>
          </w:p>
        </w:tc>
        <w:tc>
          <w:tcPr>
            <w:tcW w:w="646" w:type="pct"/>
            <w:tcBorders>
              <w:top w:val="nil"/>
              <w:left w:val="nil"/>
              <w:bottom w:val="single" w:color="auto" w:sz="8" w:space="0"/>
              <w:right w:val="nil"/>
            </w:tcBorders>
            <w:shd w:val="clear" w:color="auto" w:fill="auto"/>
            <w:vAlign w:val="center"/>
            <w:hideMark/>
          </w:tcPr>
          <w:p w:rsidRPr="00D85D17" w:rsidR="00D85D17" w:rsidP="00D85D17" w:rsidRDefault="00D85D17" w14:paraId="364CEFD2"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496</w:t>
            </w:r>
          </w:p>
        </w:tc>
        <w:tc>
          <w:tcPr>
            <w:tcW w:w="646" w:type="pct"/>
            <w:tcBorders>
              <w:top w:val="nil"/>
              <w:left w:val="nil"/>
              <w:bottom w:val="single" w:color="auto" w:sz="8" w:space="0"/>
              <w:right w:val="nil"/>
            </w:tcBorders>
            <w:shd w:val="clear" w:color="auto" w:fill="auto"/>
            <w:vAlign w:val="center"/>
            <w:hideMark/>
          </w:tcPr>
          <w:p w:rsidRPr="00D85D17" w:rsidR="00D85D17" w:rsidP="00D85D17" w:rsidRDefault="00D85D17" w14:paraId="40991E76"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573</w:t>
            </w:r>
          </w:p>
        </w:tc>
        <w:tc>
          <w:tcPr>
            <w:tcW w:w="646" w:type="pct"/>
            <w:tcBorders>
              <w:top w:val="nil"/>
              <w:left w:val="nil"/>
              <w:bottom w:val="single" w:color="auto" w:sz="8" w:space="0"/>
              <w:right w:val="nil"/>
            </w:tcBorders>
            <w:shd w:val="clear" w:color="auto" w:fill="auto"/>
            <w:vAlign w:val="center"/>
            <w:hideMark/>
          </w:tcPr>
          <w:p w:rsidRPr="00D85D17" w:rsidR="00D85D17" w:rsidP="00D85D17" w:rsidRDefault="00D85D17" w14:paraId="4D32602B" w14:textId="77777777">
            <w:pPr>
              <w:ind w:firstLine="360" w:firstLineChars="200"/>
              <w:jc w:val="right"/>
              <w:rPr>
                <w:rFonts w:ascii="Verdana" w:hAnsi="Verdana" w:cs="Calibri"/>
                <w:color w:val="000000"/>
                <w:sz w:val="18"/>
                <w:szCs w:val="18"/>
              </w:rPr>
            </w:pPr>
            <w:r w:rsidRPr="00D85D17">
              <w:rPr>
                <w:rFonts w:ascii="Verdana" w:hAnsi="Verdana" w:cs="Calibri"/>
                <w:color w:val="000000"/>
                <w:sz w:val="18"/>
                <w:szCs w:val="18"/>
              </w:rPr>
              <w:t>581</w:t>
            </w:r>
          </w:p>
        </w:tc>
      </w:tr>
    </w:tbl>
    <w:p w:rsidR="008B5819" w:rsidP="00654798" w:rsidRDefault="008B5819" w14:paraId="561AEBE0" w14:textId="77777777">
      <w:pPr>
        <w:spacing w:line="240" w:lineRule="atLeast"/>
        <w:ind w:left="284" w:hanging="284"/>
        <w:outlineLvl w:val="0"/>
        <w:rPr>
          <w:rFonts w:ascii="Verdana" w:hAnsi="Verdana"/>
          <w:i/>
          <w:iCs/>
          <w:sz w:val="18"/>
          <w:szCs w:val="18"/>
        </w:rPr>
      </w:pPr>
    </w:p>
    <w:p w:rsidR="008B5819" w:rsidP="00654798" w:rsidRDefault="008B5819" w14:paraId="0C4AF8BB" w14:textId="77777777">
      <w:pPr>
        <w:spacing w:line="240" w:lineRule="atLeast"/>
        <w:ind w:left="284" w:hanging="284"/>
        <w:outlineLvl w:val="0"/>
        <w:rPr>
          <w:rFonts w:ascii="Verdana" w:hAnsi="Verdana"/>
          <w:i/>
          <w:iCs/>
          <w:sz w:val="18"/>
          <w:szCs w:val="18"/>
        </w:rPr>
      </w:pPr>
    </w:p>
    <w:p w:rsidRPr="00752D50" w:rsidR="0039050C" w:rsidP="00654798" w:rsidRDefault="51825749" w14:paraId="079F4A82" w14:textId="296138BE">
      <w:pPr>
        <w:spacing w:line="240" w:lineRule="atLeast"/>
        <w:rPr>
          <w:rFonts w:ascii="Verdana" w:hAnsi="Verdana"/>
          <w:color w:val="000000" w:themeColor="text1"/>
          <w:sz w:val="18"/>
          <w:szCs w:val="18"/>
        </w:rPr>
      </w:pPr>
      <w:r w:rsidRPr="51825749">
        <w:rPr>
          <w:rFonts w:ascii="Verdana" w:hAnsi="Verdana"/>
          <w:b/>
          <w:bCs/>
          <w:sz w:val="18"/>
          <w:szCs w:val="18"/>
        </w:rPr>
        <w:t>3.</w:t>
      </w:r>
      <w:r w:rsidRPr="51825749">
        <w:rPr>
          <w:rFonts w:ascii="Verdana" w:hAnsi="Verdana"/>
          <w:b/>
          <w:bCs/>
          <w:sz w:val="18"/>
          <w:szCs w:val="18"/>
          <w:u w:val="single"/>
        </w:rPr>
        <w:t xml:space="preserve"> Artikel 3: Wetgeving en controle Tweede Kamer</w:t>
      </w:r>
      <w:r w:rsidRPr="00930BB8">
        <w:rPr>
          <w:rFonts w:ascii="Verdana" w:hAnsi="Verdana"/>
          <w:b/>
          <w:bCs/>
          <w:sz w:val="18"/>
          <w:szCs w:val="18"/>
          <w:u w:val="single"/>
        </w:rPr>
        <w:t xml:space="preserve"> </w:t>
      </w:r>
      <w:r w:rsidRPr="00930BB8">
        <w:rPr>
          <w:rStyle w:val="Zwaar"/>
          <w:rFonts w:ascii="Verdana" w:hAnsi="Verdana"/>
          <w:color w:val="000000" w:themeColor="text1"/>
          <w:sz w:val="18"/>
          <w:szCs w:val="18"/>
          <w:u w:val="single"/>
        </w:rPr>
        <w:t>Volksvertegenwoordiging</w:t>
      </w:r>
    </w:p>
    <w:p w:rsidRPr="00752D50" w:rsidR="0039050C" w:rsidP="00654798" w:rsidRDefault="51825749" w14:paraId="04FA1833" w14:textId="740E609C">
      <w:pPr>
        <w:pStyle w:val="Normaalweb"/>
        <w:spacing w:before="0" w:beforeAutospacing="0" w:after="0" w:afterAutospacing="0" w:line="240" w:lineRule="atLeast"/>
        <w:rPr>
          <w:rFonts w:ascii="Verdana" w:hAnsi="Verdana"/>
          <w:color w:val="000000" w:themeColor="text1"/>
          <w:sz w:val="18"/>
          <w:szCs w:val="18"/>
        </w:rPr>
      </w:pPr>
      <w:r w:rsidRPr="0062640D">
        <w:rPr>
          <w:rFonts w:ascii="Verdana" w:hAnsi="Verdana"/>
          <w:color w:val="000000" w:themeColor="text1"/>
          <w:sz w:val="18"/>
          <w:szCs w:val="18"/>
        </w:rPr>
        <w:t>Als volksvertegenwoordiging heeft de Tweede Kamer twee hoofdtaken: controle van de regering en (mede)wetgeving. Deze taken vloeien voort uit de</w:t>
      </w:r>
      <w:r w:rsidRPr="0062640D" w:rsidR="00752D50">
        <w:rPr>
          <w:rFonts w:ascii="Verdana" w:hAnsi="Verdana"/>
          <w:color w:val="000000" w:themeColor="text1"/>
          <w:sz w:val="18"/>
          <w:szCs w:val="18"/>
        </w:rPr>
        <w:t xml:space="preserve"> </w:t>
      </w:r>
      <w:hyperlink r:id="rId17">
        <w:r w:rsidRPr="0062640D">
          <w:rPr>
            <w:rStyle w:val="Hyperlink"/>
            <w:rFonts w:ascii="Verdana" w:hAnsi="Verdana"/>
            <w:color w:val="01689B"/>
            <w:sz w:val="18"/>
            <w:szCs w:val="18"/>
          </w:rPr>
          <w:t>artikelen 50 (vertegenwoordiging van het gehele Nederlandse volk)</w:t>
        </w:r>
      </w:hyperlink>
      <w:r w:rsidRPr="0062640D">
        <w:rPr>
          <w:rFonts w:ascii="Verdana" w:hAnsi="Verdana"/>
          <w:color w:val="000000" w:themeColor="text1"/>
          <w:sz w:val="18"/>
          <w:szCs w:val="18"/>
        </w:rPr>
        <w:t>,</w:t>
      </w:r>
      <w:r w:rsidRPr="0062640D" w:rsidR="00752D50">
        <w:rPr>
          <w:rFonts w:ascii="Verdana" w:hAnsi="Verdana"/>
          <w:color w:val="000000" w:themeColor="text1"/>
          <w:sz w:val="18"/>
          <w:szCs w:val="18"/>
        </w:rPr>
        <w:t xml:space="preserve"> </w:t>
      </w:r>
      <w:hyperlink r:id="rId18">
        <w:r w:rsidRPr="0062640D">
          <w:rPr>
            <w:rStyle w:val="Hyperlink"/>
            <w:rFonts w:ascii="Verdana" w:hAnsi="Verdana"/>
            <w:color w:val="01689B"/>
            <w:sz w:val="18"/>
            <w:szCs w:val="18"/>
          </w:rPr>
          <w:t>65 tot en met 72 (werkwijze)</w:t>
        </w:r>
      </w:hyperlink>
      <w:r w:rsidRPr="0062640D">
        <w:rPr>
          <w:rFonts w:ascii="Verdana" w:hAnsi="Verdana"/>
          <w:color w:val="000000" w:themeColor="text1"/>
          <w:sz w:val="18"/>
          <w:szCs w:val="18"/>
        </w:rPr>
        <w:t>,</w:t>
      </w:r>
      <w:r w:rsidRPr="0062640D" w:rsidR="00752D50">
        <w:rPr>
          <w:rFonts w:ascii="Verdana" w:hAnsi="Verdana"/>
          <w:color w:val="000000" w:themeColor="text1"/>
          <w:sz w:val="18"/>
          <w:szCs w:val="18"/>
        </w:rPr>
        <w:t xml:space="preserve"> </w:t>
      </w:r>
      <w:hyperlink r:id="rId19">
        <w:r w:rsidRPr="0062640D">
          <w:rPr>
            <w:rStyle w:val="Hyperlink"/>
            <w:rFonts w:ascii="Verdana" w:hAnsi="Verdana"/>
            <w:color w:val="01689B"/>
            <w:sz w:val="18"/>
            <w:szCs w:val="18"/>
          </w:rPr>
          <w:t>81 tot en met 87 (wetten en andere voorschriften)</w:t>
        </w:r>
      </w:hyperlink>
      <w:r w:rsidRPr="0062640D">
        <w:rPr>
          <w:rFonts w:ascii="Verdana" w:hAnsi="Verdana"/>
          <w:color w:val="000000" w:themeColor="text1"/>
          <w:sz w:val="18"/>
          <w:szCs w:val="18"/>
        </w:rPr>
        <w:t>,</w:t>
      </w:r>
      <w:r w:rsidRPr="0062640D" w:rsidR="00752D50">
        <w:rPr>
          <w:rFonts w:ascii="Verdana" w:hAnsi="Verdana"/>
          <w:color w:val="000000" w:themeColor="text1"/>
          <w:sz w:val="18"/>
          <w:szCs w:val="18"/>
        </w:rPr>
        <w:t xml:space="preserve"> </w:t>
      </w:r>
      <w:hyperlink r:id="rId20">
        <w:r w:rsidRPr="0062640D">
          <w:rPr>
            <w:rStyle w:val="Hyperlink"/>
            <w:rFonts w:ascii="Verdana" w:hAnsi="Verdana"/>
            <w:color w:val="01689B"/>
            <w:sz w:val="18"/>
            <w:szCs w:val="18"/>
          </w:rPr>
          <w:t>105 (begrotingen)</w:t>
        </w:r>
      </w:hyperlink>
      <w:r w:rsidRPr="0062640D">
        <w:rPr>
          <w:rFonts w:ascii="Verdana" w:hAnsi="Verdana"/>
          <w:color w:val="000000" w:themeColor="text1"/>
          <w:sz w:val="18"/>
          <w:szCs w:val="18"/>
        </w:rPr>
        <w:t>, en</w:t>
      </w:r>
      <w:r w:rsidRPr="0062640D" w:rsidR="00752D50">
        <w:rPr>
          <w:rFonts w:ascii="Verdana" w:hAnsi="Verdana"/>
          <w:color w:val="000000" w:themeColor="text1"/>
          <w:sz w:val="18"/>
          <w:szCs w:val="18"/>
        </w:rPr>
        <w:t xml:space="preserve"> </w:t>
      </w:r>
      <w:hyperlink r:id="rId21">
        <w:r w:rsidRPr="0062640D">
          <w:rPr>
            <w:rStyle w:val="Hyperlink"/>
            <w:rFonts w:ascii="Verdana" w:hAnsi="Verdana"/>
            <w:color w:val="01689B"/>
            <w:sz w:val="18"/>
            <w:szCs w:val="18"/>
          </w:rPr>
          <w:t>137 en 138 (grondwetgeving)</w:t>
        </w:r>
      </w:hyperlink>
      <w:r w:rsidRPr="0062640D" w:rsidR="00752D50">
        <w:rPr>
          <w:rFonts w:ascii="Verdana" w:hAnsi="Verdana"/>
          <w:color w:val="000000" w:themeColor="text1"/>
          <w:sz w:val="18"/>
          <w:szCs w:val="18"/>
        </w:rPr>
        <w:t xml:space="preserve"> </w:t>
      </w:r>
      <w:r w:rsidRPr="0062640D">
        <w:rPr>
          <w:rFonts w:ascii="Verdana" w:hAnsi="Verdana"/>
          <w:color w:val="000000" w:themeColor="text1"/>
          <w:sz w:val="18"/>
          <w:szCs w:val="18"/>
        </w:rPr>
        <w:t>van de grondwet en enkele andere (grond)wetsartikelen.</w:t>
      </w:r>
    </w:p>
    <w:p w:rsidR="00752D50" w:rsidP="00654798" w:rsidRDefault="00752D50" w14:paraId="598C86EE" w14:textId="77777777">
      <w:pPr>
        <w:pStyle w:val="tussenkop"/>
        <w:spacing w:before="0" w:beforeAutospacing="0" w:after="0" w:afterAutospacing="0" w:line="240" w:lineRule="atLeast"/>
        <w:rPr>
          <w:rStyle w:val="Zwaar"/>
          <w:rFonts w:ascii="Verdana" w:hAnsi="Verdana"/>
          <w:color w:val="000000" w:themeColor="text1"/>
        </w:rPr>
      </w:pPr>
    </w:p>
    <w:p w:rsidRPr="002D7E22" w:rsidR="0039050C" w:rsidP="00654798" w:rsidRDefault="51825749" w14:paraId="097F0E22" w14:textId="48F42717">
      <w:pPr>
        <w:pStyle w:val="tussenkop"/>
        <w:spacing w:before="0" w:beforeAutospacing="0" w:after="0" w:afterAutospacing="0" w:line="240" w:lineRule="atLeast"/>
        <w:rPr>
          <w:rFonts w:ascii="Verdana" w:hAnsi="Verdana"/>
          <w:color w:val="000000" w:themeColor="text1"/>
          <w:sz w:val="18"/>
          <w:szCs w:val="18"/>
        </w:rPr>
      </w:pPr>
      <w:r w:rsidRPr="002D7E22">
        <w:rPr>
          <w:rStyle w:val="Zwaar"/>
          <w:rFonts w:ascii="Verdana" w:hAnsi="Verdana"/>
          <w:color w:val="000000" w:themeColor="text1"/>
          <w:sz w:val="18"/>
          <w:szCs w:val="18"/>
        </w:rPr>
        <w:t>De ambtelijke diensten</w:t>
      </w:r>
    </w:p>
    <w:p w:rsidRPr="002D7E22" w:rsidR="0039050C" w:rsidP="00654798" w:rsidRDefault="00662138" w14:paraId="6A4DEB44" w14:textId="701C389F">
      <w:pPr>
        <w:pStyle w:val="Normaalweb"/>
        <w:spacing w:before="0" w:beforeAutospacing="0" w:after="0" w:afterAutospacing="0" w:line="240" w:lineRule="atLeast"/>
        <w:rPr>
          <w:rFonts w:ascii="Verdana" w:hAnsi="Verdana"/>
          <w:color w:val="000000" w:themeColor="text1"/>
          <w:sz w:val="18"/>
          <w:szCs w:val="18"/>
        </w:rPr>
      </w:pPr>
      <w:r w:rsidRPr="002D7E22">
        <w:rPr>
          <w:rFonts w:ascii="Verdana" w:hAnsi="Verdana"/>
          <w:color w:val="000000" w:themeColor="text1"/>
          <w:sz w:val="18"/>
          <w:szCs w:val="18"/>
        </w:rPr>
        <w:t xml:space="preserve">De ambtelijke diensten </w:t>
      </w:r>
      <w:r w:rsidRPr="002D7E22" w:rsidR="51825749">
        <w:rPr>
          <w:rFonts w:ascii="Verdana" w:hAnsi="Verdana"/>
          <w:color w:val="000000" w:themeColor="text1"/>
          <w:sz w:val="18"/>
          <w:szCs w:val="18"/>
        </w:rPr>
        <w:t>ondersteunen het constitutioneel proces. Dit doen de ambtelijke diensten door middel van het bieden van een politiek neutrale, adequate en innovatieve ondersteuning van de Kamerleden in alle facetten van hun werk als volksvertegenwoordiger. De politieke prioriteiten, zoals door de Kamer bepaald, zijn daarbij leidend.</w:t>
      </w:r>
    </w:p>
    <w:p w:rsidRPr="00DB632D" w:rsidR="00850BB5" w:rsidP="00654798" w:rsidRDefault="00850BB5" w14:paraId="738A70D6" w14:textId="77777777">
      <w:pPr>
        <w:spacing w:line="240" w:lineRule="atLeast"/>
        <w:rPr>
          <w:rFonts w:ascii="Verdana" w:hAnsi="Verdana"/>
          <w:sz w:val="18"/>
          <w:szCs w:val="18"/>
          <w:highlight w:val="yellow"/>
        </w:rPr>
      </w:pPr>
    </w:p>
    <w:p w:rsidRPr="002D7E22" w:rsidR="00AE25CB" w:rsidP="00654798" w:rsidRDefault="0093551D" w14:paraId="2117B4FC" w14:textId="4A4451EE">
      <w:pPr>
        <w:spacing w:line="240" w:lineRule="atLeast"/>
        <w:rPr>
          <w:rFonts w:ascii="Verdana" w:hAnsi="Verdana"/>
          <w:sz w:val="18"/>
          <w:szCs w:val="18"/>
        </w:rPr>
      </w:pPr>
      <w:r w:rsidRPr="002D7E22">
        <w:rPr>
          <w:rFonts w:ascii="Verdana" w:hAnsi="Verdana"/>
          <w:sz w:val="18"/>
          <w:szCs w:val="18"/>
        </w:rPr>
        <w:t>De</w:t>
      </w:r>
      <w:r w:rsidRPr="002D7E22" w:rsidR="51825749">
        <w:rPr>
          <w:rFonts w:ascii="Verdana" w:hAnsi="Verdana"/>
          <w:sz w:val="18"/>
          <w:szCs w:val="18"/>
        </w:rPr>
        <w:t xml:space="preserve"> </w:t>
      </w:r>
      <w:r w:rsidRPr="002D7E22" w:rsidR="00C75089">
        <w:rPr>
          <w:rFonts w:ascii="Verdana" w:hAnsi="Verdana"/>
          <w:sz w:val="18"/>
          <w:szCs w:val="18"/>
        </w:rPr>
        <w:t xml:space="preserve">aandachtspunten </w:t>
      </w:r>
      <w:r w:rsidR="002D7E22">
        <w:rPr>
          <w:rFonts w:ascii="Verdana" w:hAnsi="Verdana"/>
          <w:sz w:val="18"/>
          <w:szCs w:val="18"/>
        </w:rPr>
        <w:t>voor de Raming 202</w:t>
      </w:r>
      <w:r w:rsidR="00800F8F">
        <w:rPr>
          <w:rFonts w:ascii="Verdana" w:hAnsi="Verdana"/>
          <w:sz w:val="18"/>
          <w:szCs w:val="18"/>
        </w:rPr>
        <w:t>6</w:t>
      </w:r>
      <w:r w:rsidRPr="002D7E22" w:rsidR="51825749">
        <w:rPr>
          <w:rFonts w:ascii="Verdana" w:hAnsi="Verdana"/>
          <w:sz w:val="18"/>
          <w:szCs w:val="18"/>
        </w:rPr>
        <w:t xml:space="preserve"> </w:t>
      </w:r>
      <w:r w:rsidRPr="002D7E22" w:rsidR="006E2B2F">
        <w:rPr>
          <w:rFonts w:ascii="Verdana" w:hAnsi="Verdana"/>
          <w:sz w:val="18"/>
          <w:szCs w:val="18"/>
        </w:rPr>
        <w:t xml:space="preserve">zijn </w:t>
      </w:r>
      <w:r w:rsidRPr="002D7E22" w:rsidR="51825749">
        <w:rPr>
          <w:rFonts w:ascii="Verdana" w:hAnsi="Verdana"/>
          <w:sz w:val="18"/>
          <w:szCs w:val="18"/>
        </w:rPr>
        <w:t xml:space="preserve">toegelicht in de </w:t>
      </w:r>
      <w:r w:rsidRPr="002D7E22" w:rsidR="00374847">
        <w:rPr>
          <w:rFonts w:ascii="Verdana" w:hAnsi="Verdana"/>
          <w:sz w:val="18"/>
          <w:szCs w:val="18"/>
        </w:rPr>
        <w:t>be</w:t>
      </w:r>
      <w:r w:rsidRPr="002D7E22" w:rsidR="51825749">
        <w:rPr>
          <w:rFonts w:ascii="Verdana" w:hAnsi="Verdana"/>
          <w:sz w:val="18"/>
          <w:szCs w:val="18"/>
        </w:rPr>
        <w:t>geleidende brief (</w:t>
      </w:r>
      <w:r w:rsidRPr="002D7E22" w:rsidR="00671274">
        <w:rPr>
          <w:rFonts w:ascii="Verdana" w:hAnsi="Verdana"/>
          <w:sz w:val="18"/>
          <w:szCs w:val="18"/>
        </w:rPr>
        <w:t>s</w:t>
      </w:r>
      <w:r w:rsidRPr="002D7E22" w:rsidR="00B36A0B">
        <w:rPr>
          <w:rFonts w:ascii="Verdana" w:hAnsi="Verdana"/>
          <w:sz w:val="18"/>
          <w:szCs w:val="18"/>
        </w:rPr>
        <w:t>tuknummer</w:t>
      </w:r>
      <w:r w:rsidRPr="002D7E22" w:rsidR="51825749">
        <w:rPr>
          <w:rFonts w:ascii="Verdana" w:hAnsi="Verdana"/>
          <w:sz w:val="18"/>
          <w:szCs w:val="18"/>
        </w:rPr>
        <w:t xml:space="preserve"> 1). </w:t>
      </w:r>
    </w:p>
    <w:p w:rsidRPr="002D7E22" w:rsidR="00162928" w:rsidP="00654798" w:rsidRDefault="6A329A42" w14:paraId="7E97226F" w14:textId="773CCF78">
      <w:pPr>
        <w:spacing w:line="240" w:lineRule="atLeast"/>
        <w:rPr>
          <w:rFonts w:ascii="Verdana" w:hAnsi="Verdana"/>
          <w:sz w:val="18"/>
          <w:szCs w:val="18"/>
        </w:rPr>
      </w:pPr>
      <w:r w:rsidRPr="002D7E22">
        <w:rPr>
          <w:rFonts w:ascii="Verdana" w:hAnsi="Verdana"/>
          <w:sz w:val="18"/>
          <w:szCs w:val="18"/>
        </w:rPr>
        <w:t xml:space="preserve">De uitgangspositie voor dit artikel is het </w:t>
      </w:r>
      <w:proofErr w:type="spellStart"/>
      <w:r w:rsidRPr="002D7E22">
        <w:rPr>
          <w:rFonts w:ascii="Verdana" w:hAnsi="Verdana"/>
          <w:sz w:val="18"/>
          <w:szCs w:val="18"/>
        </w:rPr>
        <w:t>meerjarencijfer</w:t>
      </w:r>
      <w:proofErr w:type="spellEnd"/>
      <w:r w:rsidRPr="002D7E22">
        <w:rPr>
          <w:rFonts w:ascii="Verdana" w:hAnsi="Verdana"/>
          <w:sz w:val="18"/>
          <w:szCs w:val="18"/>
        </w:rPr>
        <w:t xml:space="preserve"> bezien vanuit de </w:t>
      </w:r>
      <w:r w:rsidRPr="002D7E22" w:rsidR="003403D3">
        <w:rPr>
          <w:rFonts w:ascii="Verdana" w:hAnsi="Verdana"/>
          <w:sz w:val="18"/>
          <w:szCs w:val="18"/>
        </w:rPr>
        <w:t xml:space="preserve">begroting </w:t>
      </w:r>
      <w:r w:rsidRPr="002D7E22" w:rsidR="002D7E22">
        <w:rPr>
          <w:rFonts w:ascii="Verdana" w:hAnsi="Verdana"/>
          <w:sz w:val="18"/>
          <w:szCs w:val="18"/>
        </w:rPr>
        <w:t>202</w:t>
      </w:r>
      <w:r w:rsidR="00800F8F">
        <w:rPr>
          <w:rFonts w:ascii="Verdana" w:hAnsi="Verdana"/>
          <w:sz w:val="18"/>
          <w:szCs w:val="18"/>
        </w:rPr>
        <w:t>5</w:t>
      </w:r>
      <w:r w:rsidRPr="002D7E22">
        <w:rPr>
          <w:rFonts w:ascii="Verdana" w:hAnsi="Verdana"/>
          <w:sz w:val="18"/>
          <w:szCs w:val="18"/>
        </w:rPr>
        <w:t xml:space="preserve"> </w:t>
      </w:r>
      <w:r w:rsidRPr="00C81E4A" w:rsidR="00C81E4A">
        <w:rPr>
          <w:rFonts w:ascii="Verdana" w:hAnsi="Verdana"/>
          <w:sz w:val="18"/>
          <w:szCs w:val="18"/>
        </w:rPr>
        <w:t xml:space="preserve">(Kamerstuk </w:t>
      </w:r>
      <w:r w:rsidRPr="00D23D56" w:rsidR="00C81E4A">
        <w:rPr>
          <w:rFonts w:ascii="Verdana" w:hAnsi="Verdana"/>
          <w:sz w:val="18"/>
          <w:szCs w:val="18"/>
        </w:rPr>
        <w:t>3</w:t>
      </w:r>
      <w:r w:rsidRPr="00D23D56" w:rsidR="00D23D56">
        <w:rPr>
          <w:rFonts w:ascii="Verdana" w:hAnsi="Verdana"/>
          <w:sz w:val="18"/>
          <w:szCs w:val="18"/>
        </w:rPr>
        <w:t>6</w:t>
      </w:r>
      <w:r w:rsidR="005E47D2">
        <w:rPr>
          <w:rFonts w:ascii="Verdana" w:hAnsi="Verdana"/>
          <w:sz w:val="18"/>
          <w:szCs w:val="18"/>
        </w:rPr>
        <w:t xml:space="preserve"> </w:t>
      </w:r>
      <w:r w:rsidRPr="00D23D56" w:rsidR="00D23D56">
        <w:rPr>
          <w:rFonts w:ascii="Verdana" w:hAnsi="Verdana"/>
          <w:sz w:val="18"/>
          <w:szCs w:val="18"/>
        </w:rPr>
        <w:t>600</w:t>
      </w:r>
      <w:r w:rsidRPr="00D23D56" w:rsidR="00C81E4A">
        <w:rPr>
          <w:rFonts w:ascii="Verdana" w:hAnsi="Verdana"/>
          <w:sz w:val="18"/>
          <w:szCs w:val="18"/>
        </w:rPr>
        <w:t>-IIA</w:t>
      </w:r>
      <w:r w:rsidRPr="00C81E4A" w:rsidR="003403D3">
        <w:rPr>
          <w:rFonts w:ascii="Verdana" w:hAnsi="Verdana"/>
          <w:sz w:val="18"/>
          <w:szCs w:val="18"/>
        </w:rPr>
        <w:t>)</w:t>
      </w:r>
      <w:r w:rsidRPr="002D7E22" w:rsidR="003403D3">
        <w:rPr>
          <w:rFonts w:ascii="Verdana" w:hAnsi="Verdana"/>
          <w:sz w:val="18"/>
          <w:szCs w:val="18"/>
        </w:rPr>
        <w:t xml:space="preserve"> </w:t>
      </w:r>
      <w:r w:rsidRPr="002D7E22">
        <w:rPr>
          <w:rFonts w:ascii="Verdana" w:hAnsi="Verdana"/>
          <w:sz w:val="18"/>
          <w:szCs w:val="18"/>
        </w:rPr>
        <w:t>aangevuld met (structurele doorwerking van) de mutaties naar aanleiding van de Voorjaarsnota 2</w:t>
      </w:r>
      <w:r w:rsidRPr="002D7E22" w:rsidR="002D7E22">
        <w:rPr>
          <w:rFonts w:ascii="Verdana" w:hAnsi="Verdana"/>
          <w:sz w:val="18"/>
          <w:szCs w:val="18"/>
        </w:rPr>
        <w:t>02</w:t>
      </w:r>
      <w:r w:rsidR="00800F8F">
        <w:rPr>
          <w:rFonts w:ascii="Verdana" w:hAnsi="Verdana"/>
          <w:sz w:val="18"/>
          <w:szCs w:val="18"/>
        </w:rPr>
        <w:t>5</w:t>
      </w:r>
      <w:r w:rsidRPr="002D7E22">
        <w:rPr>
          <w:rFonts w:ascii="Verdana" w:hAnsi="Verdana"/>
          <w:sz w:val="18"/>
          <w:szCs w:val="18"/>
        </w:rPr>
        <w:t>. De Tweede Kamer heeft ‘Voorjaarsnotamutatie(s)’ (suppletoire begrotingswijziging bij gelegenheid van de Voorjaarsnota</w:t>
      </w:r>
      <w:r w:rsidRPr="002D7E22" w:rsidR="002D7E22">
        <w:rPr>
          <w:rFonts w:ascii="Verdana" w:hAnsi="Verdana"/>
          <w:sz w:val="18"/>
          <w:szCs w:val="18"/>
        </w:rPr>
        <w:t xml:space="preserve"> 202</w:t>
      </w:r>
      <w:r w:rsidR="00800F8F">
        <w:rPr>
          <w:rFonts w:ascii="Verdana" w:hAnsi="Verdana"/>
          <w:sz w:val="18"/>
          <w:szCs w:val="18"/>
        </w:rPr>
        <w:t>5</w:t>
      </w:r>
      <w:r w:rsidRPr="002D7E22">
        <w:rPr>
          <w:rFonts w:ascii="Verdana" w:hAnsi="Verdana"/>
          <w:sz w:val="18"/>
          <w:szCs w:val="18"/>
        </w:rPr>
        <w:t>) aangemeld bij het ministerie van B</w:t>
      </w:r>
      <w:r w:rsidRPr="002D7E22" w:rsidR="002D3677">
        <w:rPr>
          <w:rFonts w:ascii="Verdana" w:hAnsi="Verdana"/>
          <w:sz w:val="18"/>
          <w:szCs w:val="18"/>
        </w:rPr>
        <w:t xml:space="preserve">innenlandse Zaken en </w:t>
      </w:r>
    </w:p>
    <w:p w:rsidR="00D67FE2" w:rsidP="00654798" w:rsidRDefault="002D3677" w14:paraId="4070D705" w14:textId="1FE4BB01">
      <w:pPr>
        <w:spacing w:line="240" w:lineRule="atLeast"/>
        <w:rPr>
          <w:rFonts w:ascii="Verdana" w:hAnsi="Verdana"/>
          <w:sz w:val="18"/>
          <w:szCs w:val="18"/>
        </w:rPr>
      </w:pPr>
      <w:r w:rsidRPr="002D7E22">
        <w:rPr>
          <w:rFonts w:ascii="Verdana" w:hAnsi="Verdana"/>
          <w:sz w:val="18"/>
          <w:szCs w:val="18"/>
        </w:rPr>
        <w:t>Koninkrijksrelaties</w:t>
      </w:r>
      <w:r w:rsidRPr="002D7E22" w:rsidR="6A329A42">
        <w:rPr>
          <w:rFonts w:ascii="Verdana" w:hAnsi="Verdana"/>
          <w:sz w:val="18"/>
          <w:szCs w:val="18"/>
        </w:rPr>
        <w:t>.</w:t>
      </w:r>
      <w:r w:rsidRPr="00B53737" w:rsidR="6A329A42">
        <w:rPr>
          <w:rFonts w:ascii="Verdana" w:hAnsi="Verdana"/>
          <w:sz w:val="18"/>
          <w:szCs w:val="18"/>
        </w:rPr>
        <w:t xml:space="preserve"> </w:t>
      </w:r>
    </w:p>
    <w:p w:rsidR="00E7568F" w:rsidP="00654798" w:rsidRDefault="00E7568F" w14:paraId="2C169871" w14:textId="77777777">
      <w:pPr>
        <w:spacing w:line="240" w:lineRule="atLeast"/>
        <w:rPr>
          <w:rFonts w:ascii="Verdana" w:hAnsi="Verdana"/>
          <w:sz w:val="18"/>
          <w:szCs w:val="18"/>
        </w:rPr>
      </w:pPr>
    </w:p>
    <w:p w:rsidR="00DC63F0" w:rsidP="00654798" w:rsidRDefault="00DC63F0" w14:paraId="421BCAF8" w14:textId="25F956CC">
      <w:pPr>
        <w:spacing w:line="240" w:lineRule="atLeast"/>
        <w:rPr>
          <w:rFonts w:ascii="Verdana" w:hAnsi="Verdana"/>
          <w:i/>
          <w:iCs/>
          <w:sz w:val="18"/>
          <w:szCs w:val="18"/>
        </w:rPr>
      </w:pPr>
      <w:r w:rsidRPr="51825749">
        <w:rPr>
          <w:rFonts w:ascii="Verdana" w:hAnsi="Verdana"/>
          <w:i/>
          <w:iCs/>
          <w:sz w:val="18"/>
          <w:szCs w:val="18"/>
        </w:rPr>
        <w:t>Tabel 4 Budgettaire gevolgen van beleid</w:t>
      </w:r>
    </w:p>
    <w:tbl>
      <w:tblPr>
        <w:tblW w:w="10180" w:type="dxa"/>
        <w:tblCellMar>
          <w:left w:w="70" w:type="dxa"/>
          <w:right w:w="70" w:type="dxa"/>
        </w:tblCellMar>
        <w:tblLook w:val="04A0" w:firstRow="1" w:lastRow="0" w:firstColumn="1" w:lastColumn="0" w:noHBand="0" w:noVBand="1"/>
      </w:tblPr>
      <w:tblGrid>
        <w:gridCol w:w="4180"/>
        <w:gridCol w:w="1000"/>
        <w:gridCol w:w="1000"/>
        <w:gridCol w:w="1000"/>
        <w:gridCol w:w="1000"/>
        <w:gridCol w:w="1000"/>
        <w:gridCol w:w="1000"/>
      </w:tblGrid>
      <w:tr w:rsidRPr="00C41028" w:rsidR="00C41028" w:rsidTr="00C41028" w14:paraId="6DD384A9" w14:textId="77777777">
        <w:trPr>
          <w:trHeight w:val="300"/>
        </w:trPr>
        <w:tc>
          <w:tcPr>
            <w:tcW w:w="4180" w:type="dxa"/>
            <w:tcBorders>
              <w:top w:val="nil"/>
              <w:left w:val="nil"/>
              <w:bottom w:val="nil"/>
              <w:right w:val="nil"/>
            </w:tcBorders>
            <w:shd w:val="clear" w:color="000000" w:fill="002060"/>
            <w:vAlign w:val="center"/>
            <w:hideMark/>
          </w:tcPr>
          <w:p w:rsidRPr="00C41028" w:rsidR="00C41028" w:rsidP="00C41028" w:rsidRDefault="00C41028" w14:paraId="58C25CC2" w14:textId="77777777">
            <w:pPr>
              <w:rPr>
                <w:rFonts w:ascii="Verdana" w:hAnsi="Verdana" w:cs="Calibri"/>
                <w:b/>
                <w:bCs/>
                <w:color w:val="FFFFFF"/>
                <w:sz w:val="18"/>
                <w:szCs w:val="18"/>
              </w:rPr>
            </w:pPr>
            <w:r w:rsidRPr="00C41028">
              <w:rPr>
                <w:rFonts w:ascii="Verdana" w:hAnsi="Verdana" w:cs="Calibri"/>
                <w:b/>
                <w:bCs/>
                <w:color w:val="FFFFFF"/>
                <w:sz w:val="18"/>
                <w:szCs w:val="18"/>
              </w:rPr>
              <w:t xml:space="preserve">Artikel 3: Wetgeving en controle </w:t>
            </w:r>
          </w:p>
        </w:tc>
        <w:tc>
          <w:tcPr>
            <w:tcW w:w="1000" w:type="dxa"/>
            <w:tcBorders>
              <w:top w:val="nil"/>
              <w:left w:val="nil"/>
              <w:bottom w:val="nil"/>
              <w:right w:val="nil"/>
            </w:tcBorders>
            <w:shd w:val="clear" w:color="000000" w:fill="002060"/>
            <w:noWrap/>
            <w:vAlign w:val="center"/>
            <w:hideMark/>
          </w:tcPr>
          <w:p w:rsidRPr="00C41028" w:rsidR="00C41028" w:rsidP="00C41028" w:rsidRDefault="00C41028" w14:paraId="336D5E50"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2025</w:t>
            </w:r>
          </w:p>
        </w:tc>
        <w:tc>
          <w:tcPr>
            <w:tcW w:w="1000" w:type="dxa"/>
            <w:tcBorders>
              <w:top w:val="nil"/>
              <w:left w:val="nil"/>
              <w:bottom w:val="nil"/>
              <w:right w:val="nil"/>
            </w:tcBorders>
            <w:shd w:val="clear" w:color="000000" w:fill="002060"/>
            <w:noWrap/>
            <w:vAlign w:val="center"/>
            <w:hideMark/>
          </w:tcPr>
          <w:p w:rsidRPr="00C41028" w:rsidR="00C41028" w:rsidP="00C41028" w:rsidRDefault="00C41028" w14:paraId="05C7E2C1"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2026</w:t>
            </w:r>
          </w:p>
        </w:tc>
        <w:tc>
          <w:tcPr>
            <w:tcW w:w="1000" w:type="dxa"/>
            <w:tcBorders>
              <w:top w:val="nil"/>
              <w:left w:val="nil"/>
              <w:bottom w:val="nil"/>
              <w:right w:val="nil"/>
            </w:tcBorders>
            <w:shd w:val="clear" w:color="000000" w:fill="002060"/>
            <w:noWrap/>
            <w:vAlign w:val="center"/>
            <w:hideMark/>
          </w:tcPr>
          <w:p w:rsidRPr="00C41028" w:rsidR="00C41028" w:rsidP="00C41028" w:rsidRDefault="00C41028" w14:paraId="6052C8B9"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2027</w:t>
            </w:r>
          </w:p>
        </w:tc>
        <w:tc>
          <w:tcPr>
            <w:tcW w:w="1000" w:type="dxa"/>
            <w:tcBorders>
              <w:top w:val="nil"/>
              <w:left w:val="nil"/>
              <w:bottom w:val="nil"/>
              <w:right w:val="nil"/>
            </w:tcBorders>
            <w:shd w:val="clear" w:color="000000" w:fill="002060"/>
            <w:noWrap/>
            <w:vAlign w:val="center"/>
            <w:hideMark/>
          </w:tcPr>
          <w:p w:rsidRPr="00C41028" w:rsidR="00C41028" w:rsidP="00C41028" w:rsidRDefault="00C41028" w14:paraId="62EB4D67"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2028</w:t>
            </w:r>
          </w:p>
        </w:tc>
        <w:tc>
          <w:tcPr>
            <w:tcW w:w="1000" w:type="dxa"/>
            <w:tcBorders>
              <w:top w:val="nil"/>
              <w:left w:val="nil"/>
              <w:bottom w:val="nil"/>
              <w:right w:val="nil"/>
            </w:tcBorders>
            <w:shd w:val="clear" w:color="000000" w:fill="002060"/>
            <w:vAlign w:val="center"/>
            <w:hideMark/>
          </w:tcPr>
          <w:p w:rsidRPr="00C41028" w:rsidR="00C41028" w:rsidP="00C41028" w:rsidRDefault="00C41028" w14:paraId="78054D58"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2029</w:t>
            </w:r>
          </w:p>
        </w:tc>
        <w:tc>
          <w:tcPr>
            <w:tcW w:w="1000" w:type="dxa"/>
            <w:tcBorders>
              <w:top w:val="nil"/>
              <w:left w:val="nil"/>
              <w:bottom w:val="nil"/>
              <w:right w:val="nil"/>
            </w:tcBorders>
            <w:shd w:val="clear" w:color="000000" w:fill="002060"/>
            <w:vAlign w:val="center"/>
            <w:hideMark/>
          </w:tcPr>
          <w:p w:rsidRPr="00C41028" w:rsidR="00C41028" w:rsidP="00C41028" w:rsidRDefault="00C41028" w14:paraId="7E751C81"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2030</w:t>
            </w:r>
          </w:p>
        </w:tc>
      </w:tr>
      <w:tr w:rsidRPr="00C41028" w:rsidR="00C41028" w:rsidTr="00C41028" w14:paraId="3DBA1BB1" w14:textId="77777777">
        <w:trPr>
          <w:trHeight w:val="300"/>
        </w:trPr>
        <w:tc>
          <w:tcPr>
            <w:tcW w:w="4180" w:type="dxa"/>
            <w:tcBorders>
              <w:top w:val="nil"/>
              <w:left w:val="nil"/>
              <w:bottom w:val="nil"/>
              <w:right w:val="nil"/>
            </w:tcBorders>
            <w:shd w:val="clear" w:color="000000" w:fill="002060"/>
            <w:vAlign w:val="center"/>
            <w:hideMark/>
          </w:tcPr>
          <w:p w:rsidRPr="00C41028" w:rsidR="00C41028" w:rsidP="00C41028" w:rsidRDefault="00C41028" w14:paraId="669534B6" w14:textId="77777777">
            <w:pPr>
              <w:rPr>
                <w:rFonts w:ascii="Verdana" w:hAnsi="Verdana" w:cs="Calibri"/>
                <w:b/>
                <w:bCs/>
                <w:color w:val="FFFFFF"/>
                <w:sz w:val="18"/>
                <w:szCs w:val="18"/>
              </w:rPr>
            </w:pPr>
            <w:r w:rsidRPr="00C41028">
              <w:rPr>
                <w:rFonts w:ascii="Verdana" w:hAnsi="Verdana" w:cs="Calibri"/>
                <w:b/>
                <w:bCs/>
                <w:color w:val="FFFFFF"/>
                <w:sz w:val="18"/>
                <w:szCs w:val="18"/>
              </w:rPr>
              <w:t>Tweede Kamer (in €1 000)</w:t>
            </w:r>
          </w:p>
        </w:tc>
        <w:tc>
          <w:tcPr>
            <w:tcW w:w="1000" w:type="dxa"/>
            <w:tcBorders>
              <w:top w:val="nil"/>
              <w:left w:val="nil"/>
              <w:bottom w:val="nil"/>
              <w:right w:val="nil"/>
            </w:tcBorders>
            <w:shd w:val="clear" w:color="000000" w:fill="002060"/>
            <w:noWrap/>
            <w:vAlign w:val="center"/>
            <w:hideMark/>
          </w:tcPr>
          <w:p w:rsidRPr="00C41028" w:rsidR="00C41028" w:rsidP="00C41028" w:rsidRDefault="00C41028" w14:paraId="05142AEC"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 </w:t>
            </w:r>
          </w:p>
        </w:tc>
        <w:tc>
          <w:tcPr>
            <w:tcW w:w="1000" w:type="dxa"/>
            <w:tcBorders>
              <w:top w:val="nil"/>
              <w:left w:val="nil"/>
              <w:bottom w:val="nil"/>
              <w:right w:val="nil"/>
            </w:tcBorders>
            <w:shd w:val="clear" w:color="000000" w:fill="002060"/>
            <w:noWrap/>
            <w:vAlign w:val="center"/>
            <w:hideMark/>
          </w:tcPr>
          <w:p w:rsidRPr="00C41028" w:rsidR="00C41028" w:rsidP="00C41028" w:rsidRDefault="00C41028" w14:paraId="71BF5C6C"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 </w:t>
            </w:r>
          </w:p>
        </w:tc>
        <w:tc>
          <w:tcPr>
            <w:tcW w:w="1000" w:type="dxa"/>
            <w:tcBorders>
              <w:top w:val="nil"/>
              <w:left w:val="nil"/>
              <w:bottom w:val="nil"/>
              <w:right w:val="nil"/>
            </w:tcBorders>
            <w:shd w:val="clear" w:color="000000" w:fill="002060"/>
            <w:noWrap/>
            <w:vAlign w:val="center"/>
            <w:hideMark/>
          </w:tcPr>
          <w:p w:rsidRPr="00C41028" w:rsidR="00C41028" w:rsidP="00C41028" w:rsidRDefault="00C41028" w14:paraId="5549A062"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 </w:t>
            </w:r>
          </w:p>
        </w:tc>
        <w:tc>
          <w:tcPr>
            <w:tcW w:w="1000" w:type="dxa"/>
            <w:tcBorders>
              <w:top w:val="nil"/>
              <w:left w:val="nil"/>
              <w:bottom w:val="nil"/>
              <w:right w:val="nil"/>
            </w:tcBorders>
            <w:shd w:val="clear" w:color="000000" w:fill="002060"/>
            <w:noWrap/>
            <w:vAlign w:val="center"/>
            <w:hideMark/>
          </w:tcPr>
          <w:p w:rsidRPr="00C41028" w:rsidR="00C41028" w:rsidP="00C41028" w:rsidRDefault="00C41028" w14:paraId="049AA0E7"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 </w:t>
            </w:r>
          </w:p>
        </w:tc>
        <w:tc>
          <w:tcPr>
            <w:tcW w:w="1000" w:type="dxa"/>
            <w:tcBorders>
              <w:top w:val="nil"/>
              <w:left w:val="nil"/>
              <w:bottom w:val="nil"/>
              <w:right w:val="nil"/>
            </w:tcBorders>
            <w:shd w:val="clear" w:color="000000" w:fill="002060"/>
            <w:vAlign w:val="center"/>
            <w:hideMark/>
          </w:tcPr>
          <w:p w:rsidRPr="00C41028" w:rsidR="00C41028" w:rsidP="00C41028" w:rsidRDefault="00C41028" w14:paraId="3B1B7477"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 </w:t>
            </w:r>
          </w:p>
        </w:tc>
        <w:tc>
          <w:tcPr>
            <w:tcW w:w="1000" w:type="dxa"/>
            <w:tcBorders>
              <w:top w:val="nil"/>
              <w:left w:val="nil"/>
              <w:bottom w:val="nil"/>
              <w:right w:val="nil"/>
            </w:tcBorders>
            <w:shd w:val="clear" w:color="000000" w:fill="002060"/>
            <w:vAlign w:val="center"/>
            <w:hideMark/>
          </w:tcPr>
          <w:p w:rsidRPr="00C41028" w:rsidR="00C41028" w:rsidP="00C41028" w:rsidRDefault="00C41028" w14:paraId="274FDC10" w14:textId="77777777">
            <w:pPr>
              <w:jc w:val="center"/>
              <w:rPr>
                <w:rFonts w:ascii="Verdana" w:hAnsi="Verdana" w:cs="Calibri"/>
                <w:b/>
                <w:bCs/>
                <w:color w:val="FFFFFF"/>
                <w:sz w:val="18"/>
                <w:szCs w:val="18"/>
              </w:rPr>
            </w:pPr>
            <w:r w:rsidRPr="00C41028">
              <w:rPr>
                <w:rFonts w:ascii="Verdana" w:hAnsi="Verdana" w:cs="Calibri"/>
                <w:b/>
                <w:bCs/>
                <w:color w:val="FFFFFF"/>
                <w:sz w:val="18"/>
                <w:szCs w:val="18"/>
              </w:rPr>
              <w:t> </w:t>
            </w:r>
          </w:p>
        </w:tc>
      </w:tr>
      <w:tr w:rsidRPr="00C41028" w:rsidR="00C41028" w:rsidTr="00C41028" w14:paraId="75B8ED83"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27C532E3"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Verplichtingen</w:t>
            </w:r>
          </w:p>
        </w:tc>
        <w:tc>
          <w:tcPr>
            <w:tcW w:w="1000" w:type="dxa"/>
            <w:tcBorders>
              <w:top w:val="nil"/>
              <w:left w:val="nil"/>
              <w:bottom w:val="nil"/>
              <w:right w:val="nil"/>
            </w:tcBorders>
            <w:shd w:val="clear" w:color="auto" w:fill="auto"/>
            <w:vAlign w:val="center"/>
            <w:hideMark/>
          </w:tcPr>
          <w:p w:rsidRPr="00C41028" w:rsidR="00C41028" w:rsidP="00C41028" w:rsidRDefault="00C41028" w14:paraId="533E0348" w14:textId="77777777">
            <w:pPr>
              <w:jc w:val="right"/>
              <w:rPr>
                <w:rFonts w:ascii="Verdana" w:hAnsi="Verdana" w:cs="Calibri"/>
                <w:b/>
                <w:bCs/>
                <w:color w:val="000000"/>
                <w:sz w:val="18"/>
                <w:szCs w:val="18"/>
              </w:rPr>
            </w:pPr>
            <w:r w:rsidRPr="00C41028">
              <w:rPr>
                <w:rFonts w:ascii="Verdana" w:hAnsi="Verdana" w:cs="Calibri"/>
                <w:b/>
                <w:bCs/>
                <w:color w:val="000000"/>
                <w:sz w:val="18"/>
                <w:szCs w:val="18"/>
              </w:rPr>
              <w:t>206.615</w:t>
            </w:r>
          </w:p>
        </w:tc>
        <w:tc>
          <w:tcPr>
            <w:tcW w:w="1000" w:type="dxa"/>
            <w:tcBorders>
              <w:top w:val="nil"/>
              <w:left w:val="nil"/>
              <w:bottom w:val="nil"/>
              <w:right w:val="nil"/>
            </w:tcBorders>
            <w:shd w:val="clear" w:color="auto" w:fill="auto"/>
            <w:vAlign w:val="center"/>
            <w:hideMark/>
          </w:tcPr>
          <w:p w:rsidRPr="00C41028" w:rsidR="00C41028" w:rsidP="00C41028" w:rsidRDefault="00C41028" w14:paraId="0D10D2AD" w14:textId="77777777">
            <w:pPr>
              <w:jc w:val="right"/>
              <w:rPr>
                <w:rFonts w:ascii="Verdana" w:hAnsi="Verdana" w:cs="Calibri"/>
                <w:b/>
                <w:bCs/>
                <w:color w:val="000000"/>
                <w:sz w:val="18"/>
                <w:szCs w:val="18"/>
              </w:rPr>
            </w:pPr>
            <w:r w:rsidRPr="00C41028">
              <w:rPr>
                <w:rFonts w:ascii="Verdana" w:hAnsi="Verdana" w:cs="Calibri"/>
                <w:b/>
                <w:bCs/>
                <w:color w:val="000000"/>
                <w:sz w:val="18"/>
                <w:szCs w:val="18"/>
              </w:rPr>
              <w:t>200.858</w:t>
            </w:r>
          </w:p>
        </w:tc>
        <w:tc>
          <w:tcPr>
            <w:tcW w:w="1000" w:type="dxa"/>
            <w:tcBorders>
              <w:top w:val="nil"/>
              <w:left w:val="nil"/>
              <w:bottom w:val="nil"/>
              <w:right w:val="nil"/>
            </w:tcBorders>
            <w:shd w:val="clear" w:color="auto" w:fill="auto"/>
            <w:vAlign w:val="center"/>
            <w:hideMark/>
          </w:tcPr>
          <w:p w:rsidRPr="00C41028" w:rsidR="00C41028" w:rsidP="00C41028" w:rsidRDefault="00C41028" w14:paraId="596EF171" w14:textId="77777777">
            <w:pPr>
              <w:jc w:val="right"/>
              <w:rPr>
                <w:rFonts w:ascii="Verdana" w:hAnsi="Verdana" w:cs="Calibri"/>
                <w:b/>
                <w:bCs/>
                <w:color w:val="000000"/>
                <w:sz w:val="18"/>
                <w:szCs w:val="18"/>
              </w:rPr>
            </w:pPr>
            <w:r w:rsidRPr="00C41028">
              <w:rPr>
                <w:rFonts w:ascii="Verdana" w:hAnsi="Verdana" w:cs="Calibri"/>
                <w:b/>
                <w:bCs/>
                <w:color w:val="000000"/>
                <w:sz w:val="18"/>
                <w:szCs w:val="18"/>
              </w:rPr>
              <w:t>192.832</w:t>
            </w:r>
          </w:p>
        </w:tc>
        <w:tc>
          <w:tcPr>
            <w:tcW w:w="1000" w:type="dxa"/>
            <w:tcBorders>
              <w:top w:val="nil"/>
              <w:left w:val="nil"/>
              <w:bottom w:val="nil"/>
              <w:right w:val="nil"/>
            </w:tcBorders>
            <w:shd w:val="clear" w:color="auto" w:fill="auto"/>
            <w:vAlign w:val="center"/>
            <w:hideMark/>
          </w:tcPr>
          <w:p w:rsidRPr="00C41028" w:rsidR="00C41028" w:rsidP="00C41028" w:rsidRDefault="00C41028" w14:paraId="1031578B" w14:textId="77777777">
            <w:pPr>
              <w:jc w:val="right"/>
              <w:rPr>
                <w:rFonts w:ascii="Verdana" w:hAnsi="Verdana" w:cs="Calibri"/>
                <w:b/>
                <w:bCs/>
                <w:color w:val="000000"/>
                <w:sz w:val="18"/>
                <w:szCs w:val="18"/>
              </w:rPr>
            </w:pPr>
            <w:r w:rsidRPr="00C41028">
              <w:rPr>
                <w:rFonts w:ascii="Verdana" w:hAnsi="Verdana" w:cs="Calibri"/>
                <w:b/>
                <w:bCs/>
                <w:color w:val="000000"/>
                <w:sz w:val="18"/>
                <w:szCs w:val="18"/>
              </w:rPr>
              <w:t>198.398</w:t>
            </w:r>
          </w:p>
        </w:tc>
        <w:tc>
          <w:tcPr>
            <w:tcW w:w="1000" w:type="dxa"/>
            <w:tcBorders>
              <w:top w:val="nil"/>
              <w:left w:val="nil"/>
              <w:bottom w:val="nil"/>
              <w:right w:val="nil"/>
            </w:tcBorders>
            <w:shd w:val="clear" w:color="auto" w:fill="auto"/>
            <w:vAlign w:val="center"/>
            <w:hideMark/>
          </w:tcPr>
          <w:p w:rsidRPr="00C41028" w:rsidR="00C41028" w:rsidP="00C41028" w:rsidRDefault="00C41028" w14:paraId="4FF81AA7" w14:textId="77777777">
            <w:pPr>
              <w:jc w:val="right"/>
              <w:rPr>
                <w:rFonts w:ascii="Verdana" w:hAnsi="Verdana" w:cs="Calibri"/>
                <w:b/>
                <w:bCs/>
                <w:color w:val="000000"/>
                <w:sz w:val="18"/>
                <w:szCs w:val="18"/>
              </w:rPr>
            </w:pPr>
            <w:r w:rsidRPr="00C41028">
              <w:rPr>
                <w:rFonts w:ascii="Verdana" w:hAnsi="Verdana" w:cs="Calibri"/>
                <w:b/>
                <w:bCs/>
                <w:color w:val="000000"/>
                <w:sz w:val="18"/>
                <w:szCs w:val="18"/>
              </w:rPr>
              <w:t>186.178</w:t>
            </w:r>
          </w:p>
        </w:tc>
        <w:tc>
          <w:tcPr>
            <w:tcW w:w="1000" w:type="dxa"/>
            <w:tcBorders>
              <w:top w:val="nil"/>
              <w:left w:val="nil"/>
              <w:bottom w:val="nil"/>
              <w:right w:val="nil"/>
            </w:tcBorders>
            <w:shd w:val="clear" w:color="auto" w:fill="auto"/>
            <w:vAlign w:val="center"/>
            <w:hideMark/>
          </w:tcPr>
          <w:p w:rsidRPr="00C41028" w:rsidR="00C41028" w:rsidP="00C41028" w:rsidRDefault="00C41028" w14:paraId="7C236A7B" w14:textId="77777777">
            <w:pPr>
              <w:jc w:val="right"/>
              <w:rPr>
                <w:rFonts w:ascii="Verdana" w:hAnsi="Verdana" w:cs="Calibri"/>
                <w:b/>
                <w:bCs/>
                <w:color w:val="000000"/>
                <w:sz w:val="18"/>
                <w:szCs w:val="18"/>
              </w:rPr>
            </w:pPr>
            <w:r w:rsidRPr="00C41028">
              <w:rPr>
                <w:rFonts w:ascii="Verdana" w:hAnsi="Verdana" w:cs="Calibri"/>
                <w:b/>
                <w:bCs/>
                <w:color w:val="000000"/>
                <w:sz w:val="18"/>
                <w:szCs w:val="18"/>
              </w:rPr>
              <w:t>186.178</w:t>
            </w:r>
          </w:p>
        </w:tc>
      </w:tr>
      <w:tr w:rsidRPr="00C41028" w:rsidR="00C41028" w:rsidTr="00C41028" w14:paraId="07648070"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527CAC1B"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Uitgaven*</w:t>
            </w:r>
          </w:p>
        </w:tc>
        <w:tc>
          <w:tcPr>
            <w:tcW w:w="1000" w:type="dxa"/>
            <w:tcBorders>
              <w:top w:val="nil"/>
              <w:left w:val="nil"/>
              <w:bottom w:val="nil"/>
              <w:right w:val="nil"/>
            </w:tcBorders>
            <w:shd w:val="clear" w:color="auto" w:fill="auto"/>
            <w:vAlign w:val="center"/>
            <w:hideMark/>
          </w:tcPr>
          <w:p w:rsidRPr="00C41028" w:rsidR="00C41028" w:rsidP="00C41028" w:rsidRDefault="00C41028" w14:paraId="13E368D8" w14:textId="77777777">
            <w:pPr>
              <w:jc w:val="right"/>
              <w:rPr>
                <w:rFonts w:ascii="Verdana" w:hAnsi="Verdana" w:cs="Calibri"/>
                <w:b/>
                <w:bCs/>
                <w:color w:val="000000"/>
                <w:sz w:val="18"/>
                <w:szCs w:val="18"/>
              </w:rPr>
            </w:pPr>
            <w:r w:rsidRPr="00C41028">
              <w:rPr>
                <w:rFonts w:ascii="Verdana" w:hAnsi="Verdana" w:cs="Calibri"/>
                <w:b/>
                <w:bCs/>
                <w:color w:val="000000"/>
                <w:sz w:val="18"/>
                <w:szCs w:val="18"/>
              </w:rPr>
              <w:t>206.615</w:t>
            </w:r>
          </w:p>
        </w:tc>
        <w:tc>
          <w:tcPr>
            <w:tcW w:w="1000" w:type="dxa"/>
            <w:tcBorders>
              <w:top w:val="nil"/>
              <w:left w:val="nil"/>
              <w:bottom w:val="nil"/>
              <w:right w:val="nil"/>
            </w:tcBorders>
            <w:shd w:val="clear" w:color="auto" w:fill="auto"/>
            <w:vAlign w:val="center"/>
            <w:hideMark/>
          </w:tcPr>
          <w:p w:rsidRPr="00C41028" w:rsidR="00C41028" w:rsidP="00C41028" w:rsidRDefault="00C41028" w14:paraId="1639E290" w14:textId="77777777">
            <w:pPr>
              <w:jc w:val="right"/>
              <w:rPr>
                <w:rFonts w:ascii="Verdana" w:hAnsi="Verdana" w:cs="Calibri"/>
                <w:b/>
                <w:bCs/>
                <w:color w:val="000000"/>
                <w:sz w:val="18"/>
                <w:szCs w:val="18"/>
              </w:rPr>
            </w:pPr>
            <w:r w:rsidRPr="00C41028">
              <w:rPr>
                <w:rFonts w:ascii="Verdana" w:hAnsi="Verdana" w:cs="Calibri"/>
                <w:b/>
                <w:bCs/>
                <w:color w:val="000000"/>
                <w:sz w:val="18"/>
                <w:szCs w:val="18"/>
              </w:rPr>
              <w:t>200.858</w:t>
            </w:r>
          </w:p>
        </w:tc>
        <w:tc>
          <w:tcPr>
            <w:tcW w:w="1000" w:type="dxa"/>
            <w:tcBorders>
              <w:top w:val="nil"/>
              <w:left w:val="nil"/>
              <w:bottom w:val="nil"/>
              <w:right w:val="nil"/>
            </w:tcBorders>
            <w:shd w:val="clear" w:color="auto" w:fill="auto"/>
            <w:vAlign w:val="center"/>
            <w:hideMark/>
          </w:tcPr>
          <w:p w:rsidRPr="00C41028" w:rsidR="00C41028" w:rsidP="00C41028" w:rsidRDefault="00C41028" w14:paraId="45B57BB7" w14:textId="77777777">
            <w:pPr>
              <w:jc w:val="right"/>
              <w:rPr>
                <w:rFonts w:ascii="Verdana" w:hAnsi="Verdana" w:cs="Calibri"/>
                <w:b/>
                <w:bCs/>
                <w:color w:val="000000"/>
                <w:sz w:val="18"/>
                <w:szCs w:val="18"/>
              </w:rPr>
            </w:pPr>
            <w:r w:rsidRPr="00C41028">
              <w:rPr>
                <w:rFonts w:ascii="Verdana" w:hAnsi="Verdana" w:cs="Calibri"/>
                <w:b/>
                <w:bCs/>
                <w:color w:val="000000"/>
                <w:sz w:val="18"/>
                <w:szCs w:val="18"/>
              </w:rPr>
              <w:t>192.832</w:t>
            </w:r>
          </w:p>
        </w:tc>
        <w:tc>
          <w:tcPr>
            <w:tcW w:w="1000" w:type="dxa"/>
            <w:tcBorders>
              <w:top w:val="nil"/>
              <w:left w:val="nil"/>
              <w:bottom w:val="nil"/>
              <w:right w:val="nil"/>
            </w:tcBorders>
            <w:shd w:val="clear" w:color="auto" w:fill="auto"/>
            <w:vAlign w:val="center"/>
            <w:hideMark/>
          </w:tcPr>
          <w:p w:rsidRPr="00C41028" w:rsidR="00C41028" w:rsidP="00C41028" w:rsidRDefault="00C41028" w14:paraId="5E57E74E" w14:textId="77777777">
            <w:pPr>
              <w:jc w:val="right"/>
              <w:rPr>
                <w:rFonts w:ascii="Verdana" w:hAnsi="Verdana" w:cs="Calibri"/>
                <w:b/>
                <w:bCs/>
                <w:color w:val="000000"/>
                <w:sz w:val="18"/>
                <w:szCs w:val="18"/>
              </w:rPr>
            </w:pPr>
            <w:r w:rsidRPr="00C41028">
              <w:rPr>
                <w:rFonts w:ascii="Verdana" w:hAnsi="Verdana" w:cs="Calibri"/>
                <w:b/>
                <w:bCs/>
                <w:color w:val="000000"/>
                <w:sz w:val="18"/>
                <w:szCs w:val="18"/>
              </w:rPr>
              <w:t>198.398</w:t>
            </w:r>
          </w:p>
        </w:tc>
        <w:tc>
          <w:tcPr>
            <w:tcW w:w="1000" w:type="dxa"/>
            <w:tcBorders>
              <w:top w:val="nil"/>
              <w:left w:val="nil"/>
              <w:bottom w:val="nil"/>
              <w:right w:val="nil"/>
            </w:tcBorders>
            <w:shd w:val="clear" w:color="auto" w:fill="auto"/>
            <w:vAlign w:val="center"/>
            <w:hideMark/>
          </w:tcPr>
          <w:p w:rsidRPr="00C41028" w:rsidR="00C41028" w:rsidP="00C41028" w:rsidRDefault="00C41028" w14:paraId="6D5194A4" w14:textId="77777777">
            <w:pPr>
              <w:jc w:val="right"/>
              <w:rPr>
                <w:rFonts w:ascii="Verdana" w:hAnsi="Verdana" w:cs="Calibri"/>
                <w:b/>
                <w:bCs/>
                <w:color w:val="000000"/>
                <w:sz w:val="18"/>
                <w:szCs w:val="18"/>
              </w:rPr>
            </w:pPr>
            <w:r w:rsidRPr="00C41028">
              <w:rPr>
                <w:rFonts w:ascii="Verdana" w:hAnsi="Verdana" w:cs="Calibri"/>
                <w:b/>
                <w:bCs/>
                <w:color w:val="000000"/>
                <w:sz w:val="18"/>
                <w:szCs w:val="18"/>
              </w:rPr>
              <w:t>186.178</w:t>
            </w:r>
          </w:p>
        </w:tc>
        <w:tc>
          <w:tcPr>
            <w:tcW w:w="1000" w:type="dxa"/>
            <w:tcBorders>
              <w:top w:val="nil"/>
              <w:left w:val="nil"/>
              <w:bottom w:val="nil"/>
              <w:right w:val="nil"/>
            </w:tcBorders>
            <w:shd w:val="clear" w:color="auto" w:fill="auto"/>
            <w:vAlign w:val="center"/>
            <w:hideMark/>
          </w:tcPr>
          <w:p w:rsidRPr="00C41028" w:rsidR="00C41028" w:rsidP="00C41028" w:rsidRDefault="00C41028" w14:paraId="6DC05AB3" w14:textId="77777777">
            <w:pPr>
              <w:jc w:val="right"/>
              <w:rPr>
                <w:rFonts w:ascii="Verdana" w:hAnsi="Verdana" w:cs="Calibri"/>
                <w:b/>
                <w:bCs/>
                <w:color w:val="000000"/>
                <w:sz w:val="18"/>
                <w:szCs w:val="18"/>
              </w:rPr>
            </w:pPr>
            <w:r w:rsidRPr="00C41028">
              <w:rPr>
                <w:rFonts w:ascii="Verdana" w:hAnsi="Verdana" w:cs="Calibri"/>
                <w:b/>
                <w:bCs/>
                <w:color w:val="000000"/>
                <w:sz w:val="18"/>
                <w:szCs w:val="18"/>
              </w:rPr>
              <w:t>186.178</w:t>
            </w:r>
          </w:p>
        </w:tc>
      </w:tr>
      <w:tr w:rsidRPr="00C41028" w:rsidR="00C41028" w:rsidTr="00C41028" w14:paraId="0F0B5023"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35A00275"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3.1: apparaat</w:t>
            </w:r>
          </w:p>
        </w:tc>
        <w:tc>
          <w:tcPr>
            <w:tcW w:w="1000" w:type="dxa"/>
            <w:tcBorders>
              <w:top w:val="nil"/>
              <w:left w:val="nil"/>
              <w:bottom w:val="nil"/>
              <w:right w:val="nil"/>
            </w:tcBorders>
            <w:shd w:val="clear" w:color="auto" w:fill="auto"/>
            <w:vAlign w:val="center"/>
            <w:hideMark/>
          </w:tcPr>
          <w:p w:rsidRPr="00C41028" w:rsidR="00C41028" w:rsidP="00C41028" w:rsidRDefault="00C41028" w14:paraId="568B1E11" w14:textId="77777777">
            <w:pPr>
              <w:jc w:val="right"/>
              <w:rPr>
                <w:rFonts w:ascii="Verdana" w:hAnsi="Verdana" w:cs="Calibri"/>
                <w:color w:val="000000"/>
                <w:sz w:val="18"/>
                <w:szCs w:val="18"/>
              </w:rPr>
            </w:pPr>
            <w:r w:rsidRPr="00C41028">
              <w:rPr>
                <w:rFonts w:ascii="Verdana" w:hAnsi="Verdana" w:cs="Calibri"/>
                <w:color w:val="000000"/>
                <w:sz w:val="18"/>
                <w:szCs w:val="18"/>
              </w:rPr>
              <w:t>139.866</w:t>
            </w:r>
          </w:p>
        </w:tc>
        <w:tc>
          <w:tcPr>
            <w:tcW w:w="1000" w:type="dxa"/>
            <w:tcBorders>
              <w:top w:val="nil"/>
              <w:left w:val="nil"/>
              <w:bottom w:val="nil"/>
              <w:right w:val="nil"/>
            </w:tcBorders>
            <w:shd w:val="clear" w:color="auto" w:fill="auto"/>
            <w:vAlign w:val="center"/>
            <w:hideMark/>
          </w:tcPr>
          <w:p w:rsidRPr="00C41028" w:rsidR="00C41028" w:rsidP="00C41028" w:rsidRDefault="00C41028" w14:paraId="320D4AAB" w14:textId="77777777">
            <w:pPr>
              <w:jc w:val="right"/>
              <w:rPr>
                <w:rFonts w:ascii="Verdana" w:hAnsi="Verdana" w:cs="Calibri"/>
                <w:color w:val="000000"/>
                <w:sz w:val="18"/>
                <w:szCs w:val="18"/>
              </w:rPr>
            </w:pPr>
            <w:r w:rsidRPr="00C41028">
              <w:rPr>
                <w:rFonts w:ascii="Verdana" w:hAnsi="Verdana" w:cs="Calibri"/>
                <w:color w:val="000000"/>
                <w:sz w:val="18"/>
                <w:szCs w:val="18"/>
              </w:rPr>
              <w:t>137.146</w:t>
            </w:r>
          </w:p>
        </w:tc>
        <w:tc>
          <w:tcPr>
            <w:tcW w:w="1000" w:type="dxa"/>
            <w:tcBorders>
              <w:top w:val="nil"/>
              <w:left w:val="nil"/>
              <w:bottom w:val="nil"/>
              <w:right w:val="nil"/>
            </w:tcBorders>
            <w:shd w:val="clear" w:color="auto" w:fill="auto"/>
            <w:vAlign w:val="center"/>
            <w:hideMark/>
          </w:tcPr>
          <w:p w:rsidRPr="00C41028" w:rsidR="00C41028" w:rsidP="00C41028" w:rsidRDefault="00C41028" w14:paraId="42F64974" w14:textId="77777777">
            <w:pPr>
              <w:jc w:val="right"/>
              <w:rPr>
                <w:rFonts w:ascii="Verdana" w:hAnsi="Verdana" w:cs="Calibri"/>
                <w:color w:val="000000"/>
                <w:sz w:val="18"/>
                <w:szCs w:val="18"/>
              </w:rPr>
            </w:pPr>
            <w:r w:rsidRPr="00C41028">
              <w:rPr>
                <w:rFonts w:ascii="Verdana" w:hAnsi="Verdana" w:cs="Calibri"/>
                <w:color w:val="000000"/>
                <w:sz w:val="18"/>
                <w:szCs w:val="18"/>
              </w:rPr>
              <w:t>132.754</w:t>
            </w:r>
          </w:p>
        </w:tc>
        <w:tc>
          <w:tcPr>
            <w:tcW w:w="1000" w:type="dxa"/>
            <w:tcBorders>
              <w:top w:val="nil"/>
              <w:left w:val="nil"/>
              <w:bottom w:val="nil"/>
              <w:right w:val="nil"/>
            </w:tcBorders>
            <w:shd w:val="clear" w:color="auto" w:fill="auto"/>
            <w:vAlign w:val="center"/>
            <w:hideMark/>
          </w:tcPr>
          <w:p w:rsidRPr="00C41028" w:rsidR="00C41028" w:rsidP="00C41028" w:rsidRDefault="00C41028" w14:paraId="7D6CBDFB" w14:textId="77777777">
            <w:pPr>
              <w:jc w:val="right"/>
              <w:rPr>
                <w:rFonts w:ascii="Verdana" w:hAnsi="Verdana" w:cs="Calibri"/>
                <w:color w:val="000000"/>
                <w:sz w:val="18"/>
                <w:szCs w:val="18"/>
              </w:rPr>
            </w:pPr>
            <w:r w:rsidRPr="00C41028">
              <w:rPr>
                <w:rFonts w:ascii="Verdana" w:hAnsi="Verdana" w:cs="Calibri"/>
                <w:color w:val="000000"/>
                <w:sz w:val="18"/>
                <w:szCs w:val="18"/>
              </w:rPr>
              <w:t>131.520</w:t>
            </w:r>
          </w:p>
        </w:tc>
        <w:tc>
          <w:tcPr>
            <w:tcW w:w="1000" w:type="dxa"/>
            <w:tcBorders>
              <w:top w:val="nil"/>
              <w:left w:val="nil"/>
              <w:bottom w:val="nil"/>
              <w:right w:val="nil"/>
            </w:tcBorders>
            <w:shd w:val="clear" w:color="auto" w:fill="auto"/>
            <w:vAlign w:val="center"/>
            <w:hideMark/>
          </w:tcPr>
          <w:p w:rsidRPr="00C41028" w:rsidR="00C41028" w:rsidP="00C41028" w:rsidRDefault="00C41028" w14:paraId="4FC13407" w14:textId="77777777">
            <w:pPr>
              <w:jc w:val="right"/>
              <w:rPr>
                <w:rFonts w:ascii="Verdana" w:hAnsi="Verdana" w:cs="Calibri"/>
                <w:color w:val="000000"/>
                <w:sz w:val="18"/>
                <w:szCs w:val="18"/>
              </w:rPr>
            </w:pPr>
            <w:r w:rsidRPr="00C41028">
              <w:rPr>
                <w:rFonts w:ascii="Verdana" w:hAnsi="Verdana" w:cs="Calibri"/>
                <w:color w:val="000000"/>
                <w:sz w:val="18"/>
                <w:szCs w:val="18"/>
              </w:rPr>
              <w:t>129.553</w:t>
            </w:r>
          </w:p>
        </w:tc>
        <w:tc>
          <w:tcPr>
            <w:tcW w:w="1000" w:type="dxa"/>
            <w:tcBorders>
              <w:top w:val="nil"/>
              <w:left w:val="nil"/>
              <w:bottom w:val="nil"/>
              <w:right w:val="nil"/>
            </w:tcBorders>
            <w:shd w:val="clear" w:color="auto" w:fill="auto"/>
            <w:vAlign w:val="center"/>
            <w:hideMark/>
          </w:tcPr>
          <w:p w:rsidRPr="00C41028" w:rsidR="00C41028" w:rsidP="00C41028" w:rsidRDefault="00C41028" w14:paraId="41F5D579" w14:textId="77777777">
            <w:pPr>
              <w:jc w:val="right"/>
              <w:rPr>
                <w:rFonts w:ascii="Verdana" w:hAnsi="Verdana" w:cs="Calibri"/>
                <w:color w:val="000000"/>
                <w:sz w:val="18"/>
                <w:szCs w:val="18"/>
              </w:rPr>
            </w:pPr>
            <w:r w:rsidRPr="00C41028">
              <w:rPr>
                <w:rFonts w:ascii="Verdana" w:hAnsi="Verdana" w:cs="Calibri"/>
                <w:color w:val="000000"/>
                <w:sz w:val="18"/>
                <w:szCs w:val="18"/>
              </w:rPr>
              <w:t>129.553</w:t>
            </w:r>
          </w:p>
        </w:tc>
      </w:tr>
      <w:tr w:rsidRPr="00C41028" w:rsidR="00C41028" w:rsidTr="00C41028" w14:paraId="62B56441" w14:textId="77777777">
        <w:trPr>
          <w:trHeight w:val="450"/>
        </w:trPr>
        <w:tc>
          <w:tcPr>
            <w:tcW w:w="4180" w:type="dxa"/>
            <w:tcBorders>
              <w:top w:val="nil"/>
              <w:left w:val="nil"/>
              <w:bottom w:val="nil"/>
              <w:right w:val="nil"/>
            </w:tcBorders>
            <w:shd w:val="clear" w:color="auto" w:fill="auto"/>
            <w:vAlign w:val="center"/>
            <w:hideMark/>
          </w:tcPr>
          <w:p w:rsidRPr="00C41028" w:rsidR="00C41028" w:rsidP="00C41028" w:rsidRDefault="00C41028" w14:paraId="400E05A3"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Mutaties n.a.v. de Voorjaarsnota 2025</w:t>
            </w:r>
          </w:p>
        </w:tc>
        <w:tc>
          <w:tcPr>
            <w:tcW w:w="1000" w:type="dxa"/>
            <w:tcBorders>
              <w:top w:val="nil"/>
              <w:left w:val="nil"/>
              <w:bottom w:val="nil"/>
              <w:right w:val="nil"/>
            </w:tcBorders>
            <w:shd w:val="clear" w:color="auto" w:fill="auto"/>
            <w:vAlign w:val="center"/>
            <w:hideMark/>
          </w:tcPr>
          <w:p w:rsidRPr="00C41028" w:rsidR="00C41028" w:rsidP="00C41028" w:rsidRDefault="00C41028" w14:paraId="74FB1D85" w14:textId="77777777">
            <w:pPr>
              <w:ind w:firstLine="360" w:firstLineChars="200"/>
              <w:rPr>
                <w:rFonts w:ascii="Verdana" w:hAnsi="Verdana" w:cs="Calibri"/>
                <w:color w:val="000000"/>
                <w:sz w:val="18"/>
                <w:szCs w:val="18"/>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60A87951"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3A42F7F6"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362F628C"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52E467F4"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1F74E657" w14:textId="77777777">
            <w:pPr>
              <w:rPr>
                <w:rFonts w:ascii="Times New Roman" w:hAnsi="Times New Roman"/>
              </w:rPr>
            </w:pPr>
          </w:p>
        </w:tc>
      </w:tr>
      <w:tr w:rsidRPr="00C41028" w:rsidR="00C41028" w:rsidTr="00C41028" w14:paraId="18A350B4"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63D40AD8" w14:textId="77777777">
            <w:pPr>
              <w:ind w:firstLine="360" w:firstLineChars="200"/>
              <w:rPr>
                <w:rFonts w:ascii="Symbol" w:hAnsi="Symbol" w:cs="Calibri"/>
                <w:color w:val="000000"/>
                <w:sz w:val="18"/>
                <w:szCs w:val="18"/>
              </w:rPr>
            </w:pPr>
            <w:r w:rsidRPr="00C41028">
              <w:rPr>
                <w:rFonts w:ascii="Symbol" w:hAnsi="Symbol" w:cs="Calibri"/>
                <w:color w:val="000000"/>
                <w:sz w:val="18"/>
                <w:szCs w:val="18"/>
              </w:rPr>
              <w:t>·</w:t>
            </w:r>
            <w:r w:rsidRPr="00C41028">
              <w:rPr>
                <w:rFonts w:ascii="Times New Roman" w:hAnsi="Times New Roman"/>
                <w:color w:val="000000"/>
                <w:sz w:val="14"/>
                <w:szCs w:val="14"/>
              </w:rPr>
              <w:t xml:space="preserve">         </w:t>
            </w:r>
            <w:r w:rsidRPr="00C41028">
              <w:rPr>
                <w:rFonts w:ascii="Verdana" w:hAnsi="Verdana" w:cs="Calibri"/>
                <w:color w:val="000000"/>
                <w:sz w:val="18"/>
                <w:szCs w:val="18"/>
              </w:rPr>
              <w:t>Uitvoeren moties</w:t>
            </w:r>
          </w:p>
        </w:tc>
        <w:tc>
          <w:tcPr>
            <w:tcW w:w="1000" w:type="dxa"/>
            <w:tcBorders>
              <w:top w:val="nil"/>
              <w:left w:val="nil"/>
              <w:bottom w:val="nil"/>
              <w:right w:val="nil"/>
            </w:tcBorders>
            <w:shd w:val="clear" w:color="auto" w:fill="auto"/>
            <w:vAlign w:val="center"/>
            <w:hideMark/>
          </w:tcPr>
          <w:p w:rsidRPr="00C41028" w:rsidR="00C41028" w:rsidP="00C41028" w:rsidRDefault="00C41028" w14:paraId="58B0FCA0" w14:textId="77777777">
            <w:pPr>
              <w:jc w:val="right"/>
              <w:rPr>
                <w:rFonts w:ascii="Verdana" w:hAnsi="Verdana" w:cs="Calibri"/>
                <w:color w:val="000000"/>
                <w:sz w:val="18"/>
                <w:szCs w:val="18"/>
              </w:rPr>
            </w:pPr>
            <w:r w:rsidRPr="00C41028">
              <w:rPr>
                <w:rFonts w:ascii="Verdana" w:hAnsi="Verdana" w:cs="Calibri"/>
                <w:color w:val="000000"/>
                <w:sz w:val="18"/>
                <w:szCs w:val="18"/>
              </w:rPr>
              <w:t>535</w:t>
            </w:r>
          </w:p>
        </w:tc>
        <w:tc>
          <w:tcPr>
            <w:tcW w:w="1000" w:type="dxa"/>
            <w:tcBorders>
              <w:top w:val="nil"/>
              <w:left w:val="nil"/>
              <w:bottom w:val="nil"/>
              <w:right w:val="nil"/>
            </w:tcBorders>
            <w:shd w:val="clear" w:color="auto" w:fill="auto"/>
            <w:vAlign w:val="center"/>
            <w:hideMark/>
          </w:tcPr>
          <w:p w:rsidRPr="00C41028" w:rsidR="00C41028" w:rsidP="00C41028" w:rsidRDefault="00C41028" w14:paraId="18D85F24" w14:textId="77777777">
            <w:pPr>
              <w:jc w:val="right"/>
              <w:rPr>
                <w:rFonts w:ascii="Verdana" w:hAnsi="Verdana" w:cs="Calibri"/>
                <w:color w:val="000000"/>
                <w:sz w:val="18"/>
                <w:szCs w:val="18"/>
              </w:rPr>
            </w:pPr>
            <w:r w:rsidRPr="00C41028">
              <w:rPr>
                <w:rFonts w:ascii="Verdana" w:hAnsi="Verdana" w:cs="Calibri"/>
                <w:color w:val="000000"/>
                <w:sz w:val="18"/>
                <w:szCs w:val="18"/>
              </w:rPr>
              <w:t>535</w:t>
            </w:r>
          </w:p>
        </w:tc>
        <w:tc>
          <w:tcPr>
            <w:tcW w:w="1000" w:type="dxa"/>
            <w:tcBorders>
              <w:top w:val="nil"/>
              <w:left w:val="nil"/>
              <w:bottom w:val="nil"/>
              <w:right w:val="nil"/>
            </w:tcBorders>
            <w:shd w:val="clear" w:color="auto" w:fill="auto"/>
            <w:vAlign w:val="center"/>
            <w:hideMark/>
          </w:tcPr>
          <w:p w:rsidRPr="00C41028" w:rsidR="00C41028" w:rsidP="00C41028" w:rsidRDefault="00C41028" w14:paraId="3FC6B9D3" w14:textId="77777777">
            <w:pPr>
              <w:jc w:val="right"/>
              <w:rPr>
                <w:rFonts w:ascii="Verdana" w:hAnsi="Verdana" w:cs="Calibri"/>
                <w:color w:val="000000"/>
                <w:sz w:val="18"/>
                <w:szCs w:val="18"/>
              </w:rPr>
            </w:pPr>
            <w:r w:rsidRPr="00C41028">
              <w:rPr>
                <w:rFonts w:ascii="Verdana" w:hAnsi="Verdana" w:cs="Calibri"/>
                <w:color w:val="000000"/>
                <w:sz w:val="18"/>
                <w:szCs w:val="18"/>
              </w:rPr>
              <w:t>535</w:t>
            </w:r>
          </w:p>
        </w:tc>
        <w:tc>
          <w:tcPr>
            <w:tcW w:w="1000" w:type="dxa"/>
            <w:tcBorders>
              <w:top w:val="nil"/>
              <w:left w:val="nil"/>
              <w:bottom w:val="nil"/>
              <w:right w:val="nil"/>
            </w:tcBorders>
            <w:shd w:val="clear" w:color="auto" w:fill="auto"/>
            <w:vAlign w:val="center"/>
            <w:hideMark/>
          </w:tcPr>
          <w:p w:rsidRPr="00C41028" w:rsidR="00C41028" w:rsidP="00C41028" w:rsidRDefault="00C41028" w14:paraId="45D3B403" w14:textId="77777777">
            <w:pPr>
              <w:jc w:val="right"/>
              <w:rPr>
                <w:rFonts w:ascii="Verdana" w:hAnsi="Verdana" w:cs="Calibri"/>
                <w:color w:val="000000"/>
                <w:sz w:val="18"/>
                <w:szCs w:val="18"/>
              </w:rPr>
            </w:pPr>
            <w:r w:rsidRPr="00C41028">
              <w:rPr>
                <w:rFonts w:ascii="Verdana" w:hAnsi="Verdana" w:cs="Calibri"/>
                <w:color w:val="000000"/>
                <w:sz w:val="18"/>
                <w:szCs w:val="18"/>
              </w:rPr>
              <w:t>535</w:t>
            </w:r>
          </w:p>
        </w:tc>
        <w:tc>
          <w:tcPr>
            <w:tcW w:w="1000" w:type="dxa"/>
            <w:tcBorders>
              <w:top w:val="nil"/>
              <w:left w:val="nil"/>
              <w:bottom w:val="nil"/>
              <w:right w:val="nil"/>
            </w:tcBorders>
            <w:shd w:val="clear" w:color="auto" w:fill="auto"/>
            <w:vAlign w:val="center"/>
            <w:hideMark/>
          </w:tcPr>
          <w:p w:rsidRPr="00C41028" w:rsidR="00C41028" w:rsidP="00C41028" w:rsidRDefault="00C41028" w14:paraId="65ADA131"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510DC74A" w14:textId="77777777">
            <w:pPr>
              <w:jc w:val="right"/>
              <w:rPr>
                <w:rFonts w:ascii="Verdana" w:hAnsi="Verdana" w:cs="Calibri"/>
                <w:color w:val="000000"/>
                <w:sz w:val="18"/>
                <w:szCs w:val="18"/>
              </w:rPr>
            </w:pPr>
            <w:r w:rsidRPr="00C41028">
              <w:rPr>
                <w:rFonts w:ascii="Verdana" w:hAnsi="Verdana" w:cs="Calibri"/>
                <w:color w:val="000000"/>
                <w:sz w:val="18"/>
                <w:szCs w:val="18"/>
              </w:rPr>
              <w:t>0</w:t>
            </w:r>
          </w:p>
        </w:tc>
      </w:tr>
      <w:tr w:rsidRPr="00C41028" w:rsidR="00C41028" w:rsidTr="00C41028" w14:paraId="7703C329" w14:textId="77777777">
        <w:trPr>
          <w:trHeight w:val="465"/>
        </w:trPr>
        <w:tc>
          <w:tcPr>
            <w:tcW w:w="4180" w:type="dxa"/>
            <w:tcBorders>
              <w:top w:val="nil"/>
              <w:left w:val="nil"/>
              <w:bottom w:val="nil"/>
              <w:right w:val="nil"/>
            </w:tcBorders>
            <w:shd w:val="clear" w:color="auto" w:fill="auto"/>
            <w:vAlign w:val="center"/>
            <w:hideMark/>
          </w:tcPr>
          <w:p w:rsidRPr="00C41028" w:rsidR="00C41028" w:rsidP="00C41028" w:rsidRDefault="00C41028" w14:paraId="4C5BD5AB" w14:textId="77777777">
            <w:pPr>
              <w:ind w:firstLine="360" w:firstLineChars="200"/>
              <w:rPr>
                <w:rFonts w:ascii="Symbol" w:hAnsi="Symbol" w:cs="Calibri"/>
                <w:color w:val="000000"/>
                <w:sz w:val="18"/>
                <w:szCs w:val="18"/>
              </w:rPr>
            </w:pPr>
            <w:r w:rsidRPr="00C41028">
              <w:rPr>
                <w:rFonts w:ascii="Symbol" w:hAnsi="Symbol" w:cs="Calibri"/>
                <w:color w:val="000000"/>
                <w:sz w:val="18"/>
                <w:szCs w:val="18"/>
              </w:rPr>
              <w:t>·</w:t>
            </w:r>
            <w:r w:rsidRPr="00C41028">
              <w:rPr>
                <w:rFonts w:ascii="Times New Roman" w:hAnsi="Times New Roman"/>
                <w:color w:val="000000"/>
                <w:sz w:val="14"/>
                <w:szCs w:val="14"/>
              </w:rPr>
              <w:t xml:space="preserve">         </w:t>
            </w:r>
            <w:r w:rsidRPr="00C41028">
              <w:rPr>
                <w:rFonts w:ascii="Verdana" w:hAnsi="Verdana" w:cs="Calibri"/>
                <w:color w:val="000000"/>
                <w:sz w:val="18"/>
                <w:szCs w:val="18"/>
              </w:rPr>
              <w:t xml:space="preserve">Uitwerking hoofdlijnen akkoord </w:t>
            </w:r>
            <w:r w:rsidRPr="00C41028">
              <w:rPr>
                <w:rFonts w:ascii="Verdana" w:hAnsi="Verdana" w:cs="Calibri"/>
                <w:color w:val="000000"/>
                <w:sz w:val="18"/>
                <w:szCs w:val="18"/>
              </w:rPr>
              <w:br/>
              <w:t xml:space="preserve">      en regeerprogramma</w:t>
            </w:r>
          </w:p>
        </w:tc>
        <w:tc>
          <w:tcPr>
            <w:tcW w:w="1000" w:type="dxa"/>
            <w:tcBorders>
              <w:top w:val="nil"/>
              <w:left w:val="nil"/>
              <w:bottom w:val="nil"/>
              <w:right w:val="nil"/>
            </w:tcBorders>
            <w:shd w:val="clear" w:color="auto" w:fill="auto"/>
            <w:vAlign w:val="center"/>
            <w:hideMark/>
          </w:tcPr>
          <w:p w:rsidRPr="00C41028" w:rsidR="00C41028" w:rsidP="00C41028" w:rsidRDefault="00C41028" w14:paraId="7A20D783" w14:textId="77777777">
            <w:pPr>
              <w:jc w:val="right"/>
              <w:rPr>
                <w:rFonts w:ascii="Verdana" w:hAnsi="Verdana" w:cs="Calibri"/>
                <w:color w:val="000000"/>
                <w:sz w:val="18"/>
                <w:szCs w:val="18"/>
              </w:rPr>
            </w:pPr>
            <w:r w:rsidRPr="00C41028">
              <w:rPr>
                <w:rFonts w:ascii="Verdana" w:hAnsi="Verdana" w:cs="Calibri"/>
                <w:color w:val="000000"/>
                <w:sz w:val="18"/>
                <w:szCs w:val="18"/>
              </w:rPr>
              <w:t>1.044</w:t>
            </w:r>
          </w:p>
        </w:tc>
        <w:tc>
          <w:tcPr>
            <w:tcW w:w="1000" w:type="dxa"/>
            <w:tcBorders>
              <w:top w:val="nil"/>
              <w:left w:val="nil"/>
              <w:bottom w:val="nil"/>
              <w:right w:val="nil"/>
            </w:tcBorders>
            <w:shd w:val="clear" w:color="auto" w:fill="auto"/>
            <w:vAlign w:val="center"/>
            <w:hideMark/>
          </w:tcPr>
          <w:p w:rsidRPr="00C41028" w:rsidR="00C41028" w:rsidP="00C41028" w:rsidRDefault="00C41028" w14:paraId="58F8A6FD" w14:textId="77777777">
            <w:pPr>
              <w:jc w:val="right"/>
              <w:rPr>
                <w:rFonts w:ascii="Verdana" w:hAnsi="Verdana" w:cs="Calibri"/>
                <w:color w:val="000000"/>
                <w:sz w:val="18"/>
                <w:szCs w:val="18"/>
              </w:rPr>
            </w:pPr>
            <w:r w:rsidRPr="00C41028">
              <w:rPr>
                <w:rFonts w:ascii="Verdana" w:hAnsi="Verdana" w:cs="Calibri"/>
                <w:color w:val="000000"/>
                <w:sz w:val="18"/>
                <w:szCs w:val="18"/>
              </w:rPr>
              <w:t>1.127</w:t>
            </w:r>
          </w:p>
        </w:tc>
        <w:tc>
          <w:tcPr>
            <w:tcW w:w="1000" w:type="dxa"/>
            <w:tcBorders>
              <w:top w:val="nil"/>
              <w:left w:val="nil"/>
              <w:bottom w:val="nil"/>
              <w:right w:val="nil"/>
            </w:tcBorders>
            <w:shd w:val="clear" w:color="auto" w:fill="auto"/>
            <w:vAlign w:val="center"/>
            <w:hideMark/>
          </w:tcPr>
          <w:p w:rsidRPr="00C41028" w:rsidR="00C41028" w:rsidP="00C41028" w:rsidRDefault="00C41028" w14:paraId="562B0F0D" w14:textId="77777777">
            <w:pPr>
              <w:jc w:val="right"/>
              <w:rPr>
                <w:rFonts w:ascii="Verdana" w:hAnsi="Verdana" w:cs="Calibri"/>
                <w:color w:val="000000"/>
                <w:sz w:val="18"/>
                <w:szCs w:val="18"/>
              </w:rPr>
            </w:pPr>
            <w:r w:rsidRPr="00C41028">
              <w:rPr>
                <w:rFonts w:ascii="Verdana" w:hAnsi="Verdana" w:cs="Calibri"/>
                <w:color w:val="000000"/>
                <w:sz w:val="18"/>
                <w:szCs w:val="18"/>
              </w:rPr>
              <w:t>1.127</w:t>
            </w:r>
          </w:p>
        </w:tc>
        <w:tc>
          <w:tcPr>
            <w:tcW w:w="1000" w:type="dxa"/>
            <w:tcBorders>
              <w:top w:val="nil"/>
              <w:left w:val="nil"/>
              <w:bottom w:val="nil"/>
              <w:right w:val="nil"/>
            </w:tcBorders>
            <w:shd w:val="clear" w:color="auto" w:fill="auto"/>
            <w:vAlign w:val="center"/>
            <w:hideMark/>
          </w:tcPr>
          <w:p w:rsidRPr="00C41028" w:rsidR="00C41028" w:rsidP="00C41028" w:rsidRDefault="00C41028" w14:paraId="4CED4914" w14:textId="77777777">
            <w:pPr>
              <w:jc w:val="right"/>
              <w:rPr>
                <w:rFonts w:ascii="Verdana" w:hAnsi="Verdana" w:cs="Calibri"/>
                <w:color w:val="000000"/>
                <w:sz w:val="18"/>
                <w:szCs w:val="18"/>
              </w:rPr>
            </w:pPr>
            <w:r w:rsidRPr="00C41028">
              <w:rPr>
                <w:rFonts w:ascii="Verdana" w:hAnsi="Verdana" w:cs="Calibri"/>
                <w:color w:val="000000"/>
                <w:sz w:val="18"/>
                <w:szCs w:val="18"/>
              </w:rPr>
              <w:t>1.127</w:t>
            </w:r>
          </w:p>
        </w:tc>
        <w:tc>
          <w:tcPr>
            <w:tcW w:w="1000" w:type="dxa"/>
            <w:tcBorders>
              <w:top w:val="nil"/>
              <w:left w:val="nil"/>
              <w:bottom w:val="nil"/>
              <w:right w:val="nil"/>
            </w:tcBorders>
            <w:shd w:val="clear" w:color="auto" w:fill="auto"/>
            <w:vAlign w:val="center"/>
            <w:hideMark/>
          </w:tcPr>
          <w:p w:rsidRPr="00C41028" w:rsidR="00C41028" w:rsidP="00C41028" w:rsidRDefault="00C41028" w14:paraId="4619588F" w14:textId="77777777">
            <w:pPr>
              <w:jc w:val="right"/>
              <w:rPr>
                <w:rFonts w:ascii="Verdana" w:hAnsi="Verdana" w:cs="Calibri"/>
                <w:color w:val="000000"/>
                <w:sz w:val="18"/>
                <w:szCs w:val="18"/>
              </w:rPr>
            </w:pPr>
            <w:r w:rsidRPr="00C41028">
              <w:rPr>
                <w:rFonts w:ascii="Verdana" w:hAnsi="Verdana" w:cs="Calibri"/>
                <w:color w:val="000000"/>
                <w:sz w:val="18"/>
                <w:szCs w:val="18"/>
              </w:rPr>
              <w:t>1.127</w:t>
            </w:r>
          </w:p>
        </w:tc>
        <w:tc>
          <w:tcPr>
            <w:tcW w:w="1000" w:type="dxa"/>
            <w:tcBorders>
              <w:top w:val="nil"/>
              <w:left w:val="nil"/>
              <w:bottom w:val="nil"/>
              <w:right w:val="nil"/>
            </w:tcBorders>
            <w:shd w:val="clear" w:color="auto" w:fill="auto"/>
            <w:vAlign w:val="center"/>
            <w:hideMark/>
          </w:tcPr>
          <w:p w:rsidRPr="00C41028" w:rsidR="00C41028" w:rsidP="00C41028" w:rsidRDefault="00C41028" w14:paraId="55674D0D" w14:textId="77777777">
            <w:pPr>
              <w:jc w:val="right"/>
              <w:rPr>
                <w:rFonts w:ascii="Verdana" w:hAnsi="Verdana" w:cs="Calibri"/>
                <w:color w:val="000000"/>
                <w:sz w:val="18"/>
                <w:szCs w:val="18"/>
              </w:rPr>
            </w:pPr>
            <w:r w:rsidRPr="00C41028">
              <w:rPr>
                <w:rFonts w:ascii="Verdana" w:hAnsi="Verdana" w:cs="Calibri"/>
                <w:color w:val="000000"/>
                <w:sz w:val="18"/>
                <w:szCs w:val="18"/>
              </w:rPr>
              <w:t>1.127</w:t>
            </w:r>
          </w:p>
        </w:tc>
      </w:tr>
      <w:tr w:rsidRPr="00C41028" w:rsidR="00C41028" w:rsidTr="00C41028" w14:paraId="0CF9F982" w14:textId="77777777">
        <w:trPr>
          <w:trHeight w:val="492"/>
        </w:trPr>
        <w:tc>
          <w:tcPr>
            <w:tcW w:w="4180" w:type="dxa"/>
            <w:tcBorders>
              <w:top w:val="nil"/>
              <w:left w:val="nil"/>
              <w:bottom w:val="nil"/>
              <w:right w:val="nil"/>
            </w:tcBorders>
            <w:shd w:val="clear" w:color="auto" w:fill="auto"/>
            <w:vAlign w:val="center"/>
            <w:hideMark/>
          </w:tcPr>
          <w:p w:rsidRPr="00C41028" w:rsidR="00C41028" w:rsidP="00C41028" w:rsidRDefault="00C41028" w14:paraId="6662FB1F" w14:textId="77777777">
            <w:pPr>
              <w:ind w:firstLine="360" w:firstLineChars="200"/>
              <w:rPr>
                <w:rFonts w:ascii="Symbol" w:hAnsi="Symbol" w:cs="Calibri"/>
                <w:color w:val="000000"/>
                <w:sz w:val="18"/>
                <w:szCs w:val="18"/>
              </w:rPr>
            </w:pPr>
            <w:r w:rsidRPr="00C41028">
              <w:rPr>
                <w:rFonts w:ascii="Symbol" w:hAnsi="Symbol" w:cs="Calibri"/>
                <w:color w:val="000000"/>
                <w:sz w:val="18"/>
                <w:szCs w:val="18"/>
              </w:rPr>
              <w:t>·</w:t>
            </w:r>
            <w:r w:rsidRPr="00C41028">
              <w:rPr>
                <w:rFonts w:ascii="Times New Roman" w:hAnsi="Times New Roman"/>
                <w:color w:val="000000"/>
                <w:sz w:val="14"/>
                <w:szCs w:val="14"/>
              </w:rPr>
              <w:t xml:space="preserve">         </w:t>
            </w:r>
            <w:r w:rsidRPr="00C41028">
              <w:rPr>
                <w:rFonts w:ascii="Verdana" w:hAnsi="Verdana" w:cs="Calibri"/>
                <w:color w:val="000000"/>
                <w:sz w:val="18"/>
                <w:szCs w:val="18"/>
              </w:rPr>
              <w:t>Integrale veiligheid</w:t>
            </w:r>
          </w:p>
        </w:tc>
        <w:tc>
          <w:tcPr>
            <w:tcW w:w="1000" w:type="dxa"/>
            <w:tcBorders>
              <w:top w:val="nil"/>
              <w:left w:val="nil"/>
              <w:bottom w:val="nil"/>
              <w:right w:val="nil"/>
            </w:tcBorders>
            <w:shd w:val="clear" w:color="auto" w:fill="auto"/>
            <w:vAlign w:val="center"/>
            <w:hideMark/>
          </w:tcPr>
          <w:p w:rsidRPr="00C41028" w:rsidR="00C41028" w:rsidP="00C41028" w:rsidRDefault="00C41028" w14:paraId="7E48BE95" w14:textId="77777777">
            <w:pPr>
              <w:jc w:val="right"/>
              <w:rPr>
                <w:rFonts w:ascii="Verdana" w:hAnsi="Verdana" w:cs="Calibri"/>
                <w:color w:val="000000"/>
                <w:sz w:val="18"/>
                <w:szCs w:val="18"/>
              </w:rPr>
            </w:pPr>
            <w:r w:rsidRPr="00C41028">
              <w:rPr>
                <w:rFonts w:ascii="Verdana" w:hAnsi="Verdana" w:cs="Calibri"/>
                <w:color w:val="000000"/>
                <w:sz w:val="18"/>
                <w:szCs w:val="18"/>
              </w:rPr>
              <w:t>3.493</w:t>
            </w:r>
          </w:p>
        </w:tc>
        <w:tc>
          <w:tcPr>
            <w:tcW w:w="1000" w:type="dxa"/>
            <w:tcBorders>
              <w:top w:val="nil"/>
              <w:left w:val="nil"/>
              <w:bottom w:val="nil"/>
              <w:right w:val="nil"/>
            </w:tcBorders>
            <w:shd w:val="clear" w:color="auto" w:fill="auto"/>
            <w:vAlign w:val="center"/>
            <w:hideMark/>
          </w:tcPr>
          <w:p w:rsidRPr="00C41028" w:rsidR="00C41028" w:rsidP="00C41028" w:rsidRDefault="00C41028" w14:paraId="47C450AA" w14:textId="77777777">
            <w:pPr>
              <w:jc w:val="right"/>
              <w:rPr>
                <w:rFonts w:ascii="Verdana" w:hAnsi="Verdana" w:cs="Calibri"/>
                <w:color w:val="000000"/>
                <w:sz w:val="18"/>
                <w:szCs w:val="18"/>
              </w:rPr>
            </w:pPr>
            <w:r w:rsidRPr="00C41028">
              <w:rPr>
                <w:rFonts w:ascii="Verdana" w:hAnsi="Verdana" w:cs="Calibri"/>
                <w:color w:val="000000"/>
                <w:sz w:val="18"/>
                <w:szCs w:val="18"/>
              </w:rPr>
              <w:t>1.237</w:t>
            </w:r>
          </w:p>
        </w:tc>
        <w:tc>
          <w:tcPr>
            <w:tcW w:w="1000" w:type="dxa"/>
            <w:tcBorders>
              <w:top w:val="nil"/>
              <w:left w:val="nil"/>
              <w:bottom w:val="nil"/>
              <w:right w:val="nil"/>
            </w:tcBorders>
            <w:shd w:val="clear" w:color="auto" w:fill="auto"/>
            <w:vAlign w:val="center"/>
            <w:hideMark/>
          </w:tcPr>
          <w:p w:rsidRPr="00C41028" w:rsidR="00C41028" w:rsidP="00C41028" w:rsidRDefault="00C41028" w14:paraId="51577162" w14:textId="77777777">
            <w:pPr>
              <w:jc w:val="right"/>
              <w:rPr>
                <w:rFonts w:ascii="Verdana" w:hAnsi="Verdana" w:cs="Calibri"/>
                <w:color w:val="000000"/>
                <w:sz w:val="18"/>
                <w:szCs w:val="18"/>
              </w:rPr>
            </w:pPr>
            <w:r w:rsidRPr="00C41028">
              <w:rPr>
                <w:rFonts w:ascii="Verdana" w:hAnsi="Verdana" w:cs="Calibri"/>
                <w:color w:val="000000"/>
                <w:sz w:val="18"/>
                <w:szCs w:val="18"/>
              </w:rPr>
              <w:t>1.237</w:t>
            </w:r>
          </w:p>
        </w:tc>
        <w:tc>
          <w:tcPr>
            <w:tcW w:w="1000" w:type="dxa"/>
            <w:tcBorders>
              <w:top w:val="nil"/>
              <w:left w:val="nil"/>
              <w:bottom w:val="nil"/>
              <w:right w:val="nil"/>
            </w:tcBorders>
            <w:shd w:val="clear" w:color="auto" w:fill="auto"/>
            <w:vAlign w:val="center"/>
            <w:hideMark/>
          </w:tcPr>
          <w:p w:rsidRPr="00C41028" w:rsidR="00C41028" w:rsidP="00C41028" w:rsidRDefault="00C41028" w14:paraId="22A59E76" w14:textId="77777777">
            <w:pPr>
              <w:jc w:val="right"/>
              <w:rPr>
                <w:rFonts w:ascii="Verdana" w:hAnsi="Verdana" w:cs="Calibri"/>
                <w:color w:val="000000"/>
                <w:sz w:val="18"/>
                <w:szCs w:val="18"/>
              </w:rPr>
            </w:pPr>
            <w:r w:rsidRPr="00C41028">
              <w:rPr>
                <w:rFonts w:ascii="Verdana" w:hAnsi="Verdana" w:cs="Calibri"/>
                <w:color w:val="000000"/>
                <w:sz w:val="18"/>
                <w:szCs w:val="18"/>
              </w:rPr>
              <w:t>1.237</w:t>
            </w:r>
          </w:p>
        </w:tc>
        <w:tc>
          <w:tcPr>
            <w:tcW w:w="1000" w:type="dxa"/>
            <w:tcBorders>
              <w:top w:val="nil"/>
              <w:left w:val="nil"/>
              <w:bottom w:val="nil"/>
              <w:right w:val="nil"/>
            </w:tcBorders>
            <w:shd w:val="clear" w:color="auto" w:fill="auto"/>
            <w:vAlign w:val="center"/>
            <w:hideMark/>
          </w:tcPr>
          <w:p w:rsidRPr="00C41028" w:rsidR="00C41028" w:rsidP="00C41028" w:rsidRDefault="00C41028" w14:paraId="46BCD0E2" w14:textId="77777777">
            <w:pPr>
              <w:jc w:val="right"/>
              <w:rPr>
                <w:rFonts w:ascii="Verdana" w:hAnsi="Verdana" w:cs="Calibri"/>
                <w:color w:val="000000"/>
                <w:sz w:val="18"/>
                <w:szCs w:val="18"/>
              </w:rPr>
            </w:pPr>
            <w:r w:rsidRPr="00C41028">
              <w:rPr>
                <w:rFonts w:ascii="Verdana" w:hAnsi="Verdana" w:cs="Calibri"/>
                <w:color w:val="000000"/>
                <w:sz w:val="18"/>
                <w:szCs w:val="18"/>
              </w:rPr>
              <w:t>1.237</w:t>
            </w:r>
          </w:p>
        </w:tc>
        <w:tc>
          <w:tcPr>
            <w:tcW w:w="1000" w:type="dxa"/>
            <w:tcBorders>
              <w:top w:val="nil"/>
              <w:left w:val="nil"/>
              <w:bottom w:val="nil"/>
              <w:right w:val="nil"/>
            </w:tcBorders>
            <w:shd w:val="clear" w:color="auto" w:fill="auto"/>
            <w:vAlign w:val="center"/>
            <w:hideMark/>
          </w:tcPr>
          <w:p w:rsidRPr="00C41028" w:rsidR="00C41028" w:rsidP="00C41028" w:rsidRDefault="00C41028" w14:paraId="54A65AE6" w14:textId="77777777">
            <w:pPr>
              <w:jc w:val="right"/>
              <w:rPr>
                <w:rFonts w:ascii="Verdana" w:hAnsi="Verdana" w:cs="Calibri"/>
                <w:color w:val="000000"/>
                <w:sz w:val="18"/>
                <w:szCs w:val="18"/>
              </w:rPr>
            </w:pPr>
            <w:r w:rsidRPr="00C41028">
              <w:rPr>
                <w:rFonts w:ascii="Verdana" w:hAnsi="Verdana" w:cs="Calibri"/>
                <w:color w:val="000000"/>
                <w:sz w:val="18"/>
                <w:szCs w:val="18"/>
              </w:rPr>
              <w:t>1.237</w:t>
            </w:r>
          </w:p>
        </w:tc>
      </w:tr>
      <w:tr w:rsidRPr="00C41028" w:rsidR="00C41028" w:rsidTr="00C41028" w14:paraId="1A074E6E"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6CE59C6F" w14:textId="77777777">
            <w:pPr>
              <w:ind w:firstLine="360" w:firstLineChars="200"/>
              <w:rPr>
                <w:rFonts w:ascii="Symbol" w:hAnsi="Symbol" w:cs="Calibri"/>
                <w:color w:val="000000"/>
                <w:sz w:val="18"/>
                <w:szCs w:val="18"/>
              </w:rPr>
            </w:pPr>
            <w:r w:rsidRPr="00C41028">
              <w:rPr>
                <w:rFonts w:ascii="Symbol" w:hAnsi="Symbol" w:cs="Calibri"/>
                <w:color w:val="000000"/>
                <w:sz w:val="18"/>
                <w:szCs w:val="18"/>
              </w:rPr>
              <w:t>·</w:t>
            </w:r>
            <w:r w:rsidRPr="00C41028">
              <w:rPr>
                <w:rFonts w:ascii="Times New Roman" w:hAnsi="Times New Roman"/>
                <w:color w:val="000000"/>
                <w:sz w:val="14"/>
                <w:szCs w:val="14"/>
              </w:rPr>
              <w:t xml:space="preserve">         </w:t>
            </w:r>
            <w:r w:rsidRPr="00C41028">
              <w:rPr>
                <w:rFonts w:ascii="Verdana" w:hAnsi="Verdana" w:cs="Calibri"/>
                <w:color w:val="000000"/>
                <w:sz w:val="18"/>
                <w:szCs w:val="18"/>
              </w:rPr>
              <w:t>Renovatie en tijdelijke huisvesting</w:t>
            </w:r>
          </w:p>
        </w:tc>
        <w:tc>
          <w:tcPr>
            <w:tcW w:w="1000" w:type="dxa"/>
            <w:tcBorders>
              <w:top w:val="nil"/>
              <w:left w:val="nil"/>
              <w:bottom w:val="nil"/>
              <w:right w:val="nil"/>
            </w:tcBorders>
            <w:shd w:val="clear" w:color="auto" w:fill="auto"/>
            <w:vAlign w:val="center"/>
            <w:hideMark/>
          </w:tcPr>
          <w:p w:rsidRPr="00C41028" w:rsidR="00C41028" w:rsidP="00C41028" w:rsidRDefault="00C41028" w14:paraId="3FAF2E9C"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3E9BD9E2" w14:textId="77777777">
            <w:pPr>
              <w:jc w:val="right"/>
              <w:rPr>
                <w:rFonts w:ascii="Verdana" w:hAnsi="Verdana" w:cs="Calibri"/>
                <w:color w:val="000000"/>
                <w:sz w:val="18"/>
                <w:szCs w:val="18"/>
              </w:rPr>
            </w:pPr>
            <w:r w:rsidRPr="00C41028">
              <w:rPr>
                <w:rFonts w:ascii="Verdana" w:hAnsi="Verdana" w:cs="Calibri"/>
                <w:color w:val="000000"/>
                <w:sz w:val="18"/>
                <w:szCs w:val="18"/>
              </w:rPr>
              <w:t>3.800</w:t>
            </w:r>
          </w:p>
        </w:tc>
        <w:tc>
          <w:tcPr>
            <w:tcW w:w="1000" w:type="dxa"/>
            <w:tcBorders>
              <w:top w:val="nil"/>
              <w:left w:val="nil"/>
              <w:bottom w:val="nil"/>
              <w:right w:val="nil"/>
            </w:tcBorders>
            <w:shd w:val="clear" w:color="auto" w:fill="auto"/>
            <w:vAlign w:val="center"/>
            <w:hideMark/>
          </w:tcPr>
          <w:p w:rsidRPr="00C41028" w:rsidR="00C41028" w:rsidP="00C41028" w:rsidRDefault="00C41028" w14:paraId="7C028A51" w14:textId="77777777">
            <w:pPr>
              <w:jc w:val="right"/>
              <w:rPr>
                <w:rFonts w:ascii="Verdana" w:hAnsi="Verdana" w:cs="Calibri"/>
                <w:color w:val="000000"/>
                <w:sz w:val="18"/>
                <w:szCs w:val="18"/>
              </w:rPr>
            </w:pPr>
            <w:r w:rsidRPr="00C41028">
              <w:rPr>
                <w:rFonts w:ascii="Verdana" w:hAnsi="Verdana" w:cs="Calibri"/>
                <w:color w:val="000000"/>
                <w:sz w:val="18"/>
                <w:szCs w:val="18"/>
              </w:rPr>
              <w:t>3.100</w:t>
            </w:r>
          </w:p>
        </w:tc>
        <w:tc>
          <w:tcPr>
            <w:tcW w:w="1000" w:type="dxa"/>
            <w:tcBorders>
              <w:top w:val="nil"/>
              <w:left w:val="nil"/>
              <w:bottom w:val="nil"/>
              <w:right w:val="nil"/>
            </w:tcBorders>
            <w:shd w:val="clear" w:color="auto" w:fill="auto"/>
            <w:vAlign w:val="center"/>
            <w:hideMark/>
          </w:tcPr>
          <w:p w:rsidRPr="00C41028" w:rsidR="00C41028" w:rsidP="00C41028" w:rsidRDefault="00C41028" w14:paraId="08812FC1" w14:textId="77777777">
            <w:pPr>
              <w:jc w:val="right"/>
              <w:rPr>
                <w:rFonts w:ascii="Verdana" w:hAnsi="Verdana" w:cs="Calibri"/>
                <w:color w:val="000000"/>
                <w:sz w:val="18"/>
                <w:szCs w:val="18"/>
              </w:rPr>
            </w:pPr>
            <w:r w:rsidRPr="00C41028">
              <w:rPr>
                <w:rFonts w:ascii="Verdana" w:hAnsi="Verdana" w:cs="Calibri"/>
                <w:color w:val="000000"/>
                <w:sz w:val="18"/>
                <w:szCs w:val="18"/>
              </w:rPr>
              <w:t>1.900</w:t>
            </w:r>
          </w:p>
        </w:tc>
        <w:tc>
          <w:tcPr>
            <w:tcW w:w="1000" w:type="dxa"/>
            <w:tcBorders>
              <w:top w:val="nil"/>
              <w:left w:val="nil"/>
              <w:bottom w:val="nil"/>
              <w:right w:val="nil"/>
            </w:tcBorders>
            <w:shd w:val="clear" w:color="auto" w:fill="auto"/>
            <w:vAlign w:val="center"/>
            <w:hideMark/>
          </w:tcPr>
          <w:p w:rsidRPr="00C41028" w:rsidR="00C41028" w:rsidP="00C41028" w:rsidRDefault="00C41028" w14:paraId="5F11A8FF"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438D2D15" w14:textId="77777777">
            <w:pPr>
              <w:jc w:val="right"/>
              <w:rPr>
                <w:rFonts w:ascii="Verdana" w:hAnsi="Verdana" w:cs="Calibri"/>
                <w:color w:val="000000"/>
                <w:sz w:val="18"/>
                <w:szCs w:val="18"/>
              </w:rPr>
            </w:pPr>
            <w:r w:rsidRPr="00C41028">
              <w:rPr>
                <w:rFonts w:ascii="Verdana" w:hAnsi="Verdana" w:cs="Calibri"/>
                <w:color w:val="000000"/>
                <w:sz w:val="18"/>
                <w:szCs w:val="18"/>
              </w:rPr>
              <w:t>0</w:t>
            </w:r>
          </w:p>
        </w:tc>
      </w:tr>
      <w:tr w:rsidRPr="00C41028" w:rsidR="00C41028" w:rsidTr="00C41028" w14:paraId="08665EFD"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25589699" w14:textId="77777777">
            <w:pPr>
              <w:ind w:firstLine="360" w:firstLineChars="200"/>
              <w:rPr>
                <w:rFonts w:ascii="Symbol" w:hAnsi="Symbol" w:cs="Calibri"/>
                <w:color w:val="000000"/>
                <w:sz w:val="18"/>
                <w:szCs w:val="18"/>
              </w:rPr>
            </w:pPr>
            <w:r w:rsidRPr="00C41028">
              <w:rPr>
                <w:rFonts w:ascii="Symbol" w:hAnsi="Symbol" w:cs="Calibri"/>
                <w:color w:val="000000"/>
                <w:sz w:val="18"/>
                <w:szCs w:val="18"/>
              </w:rPr>
              <w:t>·</w:t>
            </w:r>
            <w:r w:rsidRPr="00C41028">
              <w:rPr>
                <w:rFonts w:ascii="Times New Roman" w:hAnsi="Times New Roman"/>
                <w:color w:val="000000"/>
                <w:sz w:val="14"/>
                <w:szCs w:val="14"/>
              </w:rPr>
              <w:t xml:space="preserve">         </w:t>
            </w:r>
            <w:r w:rsidRPr="00C41028">
              <w:rPr>
                <w:rFonts w:ascii="Verdana" w:hAnsi="Verdana" w:cs="Calibri"/>
                <w:color w:val="000000"/>
                <w:sz w:val="18"/>
                <w:szCs w:val="18"/>
              </w:rPr>
              <w:t>Bedrijfsvoering</w:t>
            </w:r>
          </w:p>
        </w:tc>
        <w:tc>
          <w:tcPr>
            <w:tcW w:w="1000" w:type="dxa"/>
            <w:tcBorders>
              <w:top w:val="nil"/>
              <w:left w:val="nil"/>
              <w:bottom w:val="nil"/>
              <w:right w:val="nil"/>
            </w:tcBorders>
            <w:shd w:val="clear" w:color="auto" w:fill="auto"/>
            <w:vAlign w:val="center"/>
            <w:hideMark/>
          </w:tcPr>
          <w:p w:rsidRPr="00C41028" w:rsidR="00C41028" w:rsidP="00C41028" w:rsidRDefault="00C41028" w14:paraId="52962DBE" w14:textId="77777777">
            <w:pPr>
              <w:jc w:val="right"/>
              <w:rPr>
                <w:rFonts w:ascii="Verdana" w:hAnsi="Verdana" w:cs="Calibri"/>
                <w:color w:val="000000"/>
                <w:sz w:val="18"/>
                <w:szCs w:val="18"/>
              </w:rPr>
            </w:pPr>
            <w:r w:rsidRPr="00C41028">
              <w:rPr>
                <w:rFonts w:ascii="Verdana" w:hAnsi="Verdana" w:cs="Calibri"/>
                <w:color w:val="000000"/>
                <w:sz w:val="18"/>
                <w:szCs w:val="18"/>
              </w:rPr>
              <w:t>4.023</w:t>
            </w:r>
          </w:p>
        </w:tc>
        <w:tc>
          <w:tcPr>
            <w:tcW w:w="1000" w:type="dxa"/>
            <w:tcBorders>
              <w:top w:val="nil"/>
              <w:left w:val="nil"/>
              <w:bottom w:val="nil"/>
              <w:right w:val="nil"/>
            </w:tcBorders>
            <w:shd w:val="clear" w:color="auto" w:fill="auto"/>
            <w:vAlign w:val="center"/>
            <w:hideMark/>
          </w:tcPr>
          <w:p w:rsidRPr="00C41028" w:rsidR="00C41028" w:rsidP="00C41028" w:rsidRDefault="00C41028" w14:paraId="6665BAC5" w14:textId="77777777">
            <w:pPr>
              <w:jc w:val="right"/>
              <w:rPr>
                <w:rFonts w:ascii="Verdana" w:hAnsi="Verdana" w:cs="Calibri"/>
                <w:color w:val="000000"/>
                <w:sz w:val="18"/>
                <w:szCs w:val="18"/>
              </w:rPr>
            </w:pPr>
            <w:r w:rsidRPr="00C41028">
              <w:rPr>
                <w:rFonts w:ascii="Verdana" w:hAnsi="Verdana" w:cs="Calibri"/>
                <w:color w:val="000000"/>
                <w:sz w:val="18"/>
                <w:szCs w:val="18"/>
              </w:rPr>
              <w:t>906</w:t>
            </w:r>
          </w:p>
        </w:tc>
        <w:tc>
          <w:tcPr>
            <w:tcW w:w="1000" w:type="dxa"/>
            <w:tcBorders>
              <w:top w:val="nil"/>
              <w:left w:val="nil"/>
              <w:bottom w:val="nil"/>
              <w:right w:val="nil"/>
            </w:tcBorders>
            <w:shd w:val="clear" w:color="auto" w:fill="auto"/>
            <w:vAlign w:val="center"/>
            <w:hideMark/>
          </w:tcPr>
          <w:p w:rsidRPr="00C41028" w:rsidR="00C41028" w:rsidP="00C41028" w:rsidRDefault="00C41028" w14:paraId="67BB1538" w14:textId="77777777">
            <w:pPr>
              <w:jc w:val="right"/>
              <w:rPr>
                <w:rFonts w:ascii="Verdana" w:hAnsi="Verdana" w:cs="Calibri"/>
                <w:color w:val="000000"/>
                <w:sz w:val="18"/>
                <w:szCs w:val="18"/>
              </w:rPr>
            </w:pPr>
            <w:r w:rsidRPr="00C41028">
              <w:rPr>
                <w:rFonts w:ascii="Verdana" w:hAnsi="Verdana" w:cs="Calibri"/>
                <w:color w:val="000000"/>
                <w:sz w:val="18"/>
                <w:szCs w:val="18"/>
              </w:rPr>
              <w:t>821</w:t>
            </w:r>
          </w:p>
        </w:tc>
        <w:tc>
          <w:tcPr>
            <w:tcW w:w="1000" w:type="dxa"/>
            <w:tcBorders>
              <w:top w:val="nil"/>
              <w:left w:val="nil"/>
              <w:bottom w:val="nil"/>
              <w:right w:val="nil"/>
            </w:tcBorders>
            <w:shd w:val="clear" w:color="auto" w:fill="auto"/>
            <w:vAlign w:val="center"/>
            <w:hideMark/>
          </w:tcPr>
          <w:p w:rsidRPr="00C41028" w:rsidR="00C41028" w:rsidP="00C41028" w:rsidRDefault="00C41028" w14:paraId="0F29F6A3" w14:textId="77777777">
            <w:pPr>
              <w:jc w:val="right"/>
              <w:rPr>
                <w:rFonts w:ascii="Verdana" w:hAnsi="Verdana" w:cs="Calibri"/>
                <w:color w:val="000000"/>
                <w:sz w:val="18"/>
                <w:szCs w:val="18"/>
              </w:rPr>
            </w:pPr>
            <w:r w:rsidRPr="00C41028">
              <w:rPr>
                <w:rFonts w:ascii="Verdana" w:hAnsi="Verdana" w:cs="Calibri"/>
                <w:color w:val="000000"/>
                <w:sz w:val="18"/>
                <w:szCs w:val="18"/>
              </w:rPr>
              <w:t>821</w:t>
            </w:r>
          </w:p>
        </w:tc>
        <w:tc>
          <w:tcPr>
            <w:tcW w:w="1000" w:type="dxa"/>
            <w:tcBorders>
              <w:top w:val="nil"/>
              <w:left w:val="nil"/>
              <w:bottom w:val="nil"/>
              <w:right w:val="nil"/>
            </w:tcBorders>
            <w:shd w:val="clear" w:color="auto" w:fill="auto"/>
            <w:vAlign w:val="center"/>
            <w:hideMark/>
          </w:tcPr>
          <w:p w:rsidRPr="00C41028" w:rsidR="00C41028" w:rsidP="00C41028" w:rsidRDefault="00C41028" w14:paraId="57E79744" w14:textId="77777777">
            <w:pPr>
              <w:jc w:val="right"/>
              <w:rPr>
                <w:rFonts w:ascii="Verdana" w:hAnsi="Verdana" w:cs="Calibri"/>
                <w:color w:val="000000"/>
                <w:sz w:val="18"/>
                <w:szCs w:val="18"/>
              </w:rPr>
            </w:pPr>
            <w:r w:rsidRPr="00C41028">
              <w:rPr>
                <w:rFonts w:ascii="Verdana" w:hAnsi="Verdana" w:cs="Calibri"/>
                <w:color w:val="000000"/>
                <w:sz w:val="18"/>
                <w:szCs w:val="18"/>
              </w:rPr>
              <w:t>821</w:t>
            </w:r>
          </w:p>
        </w:tc>
        <w:tc>
          <w:tcPr>
            <w:tcW w:w="1000" w:type="dxa"/>
            <w:tcBorders>
              <w:top w:val="nil"/>
              <w:left w:val="nil"/>
              <w:bottom w:val="nil"/>
              <w:right w:val="nil"/>
            </w:tcBorders>
            <w:shd w:val="clear" w:color="auto" w:fill="auto"/>
            <w:vAlign w:val="center"/>
            <w:hideMark/>
          </w:tcPr>
          <w:p w:rsidRPr="00C41028" w:rsidR="00C41028" w:rsidP="00C41028" w:rsidRDefault="00C41028" w14:paraId="6AA2F38D" w14:textId="77777777">
            <w:pPr>
              <w:jc w:val="right"/>
              <w:rPr>
                <w:rFonts w:ascii="Verdana" w:hAnsi="Verdana" w:cs="Calibri"/>
                <w:color w:val="000000"/>
                <w:sz w:val="18"/>
                <w:szCs w:val="18"/>
              </w:rPr>
            </w:pPr>
            <w:r w:rsidRPr="00C41028">
              <w:rPr>
                <w:rFonts w:ascii="Verdana" w:hAnsi="Verdana" w:cs="Calibri"/>
                <w:color w:val="000000"/>
                <w:sz w:val="18"/>
                <w:szCs w:val="18"/>
              </w:rPr>
              <w:t>821</w:t>
            </w:r>
          </w:p>
        </w:tc>
      </w:tr>
      <w:tr w:rsidRPr="00C41028" w:rsidR="00C41028" w:rsidTr="00C41028" w14:paraId="21BA4E73"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5A56BF90" w14:textId="77777777">
            <w:pPr>
              <w:ind w:firstLine="360" w:firstLineChars="200"/>
              <w:rPr>
                <w:rFonts w:ascii="Symbol" w:hAnsi="Symbol" w:cs="Calibri"/>
                <w:color w:val="000000"/>
                <w:sz w:val="18"/>
                <w:szCs w:val="18"/>
              </w:rPr>
            </w:pPr>
            <w:r w:rsidRPr="00C41028">
              <w:rPr>
                <w:rFonts w:ascii="Symbol" w:hAnsi="Symbol" w:cs="Calibri"/>
                <w:color w:val="000000"/>
                <w:sz w:val="18"/>
                <w:szCs w:val="18"/>
              </w:rPr>
              <w:t>·</w:t>
            </w:r>
            <w:r w:rsidRPr="00C41028">
              <w:rPr>
                <w:rFonts w:ascii="Times New Roman" w:hAnsi="Times New Roman"/>
                <w:color w:val="000000"/>
                <w:sz w:val="14"/>
                <w:szCs w:val="14"/>
              </w:rPr>
              <w:t xml:space="preserve">         </w:t>
            </w:r>
            <w:r w:rsidRPr="00C41028">
              <w:rPr>
                <w:rFonts w:ascii="Verdana" w:hAnsi="Verdana" w:cs="Calibri"/>
                <w:color w:val="000000"/>
                <w:sz w:val="18"/>
                <w:szCs w:val="18"/>
              </w:rPr>
              <w:t>Projecten</w:t>
            </w:r>
          </w:p>
        </w:tc>
        <w:tc>
          <w:tcPr>
            <w:tcW w:w="1000" w:type="dxa"/>
            <w:tcBorders>
              <w:top w:val="nil"/>
              <w:left w:val="nil"/>
              <w:bottom w:val="nil"/>
              <w:right w:val="nil"/>
            </w:tcBorders>
            <w:shd w:val="clear" w:color="auto" w:fill="auto"/>
            <w:vAlign w:val="center"/>
            <w:hideMark/>
          </w:tcPr>
          <w:p w:rsidRPr="00C41028" w:rsidR="00C41028" w:rsidP="00C41028" w:rsidRDefault="00C41028" w14:paraId="4CFFE53B" w14:textId="77777777">
            <w:pPr>
              <w:jc w:val="right"/>
              <w:rPr>
                <w:rFonts w:ascii="Verdana" w:hAnsi="Verdana" w:cs="Calibri"/>
                <w:color w:val="000000"/>
                <w:sz w:val="18"/>
                <w:szCs w:val="18"/>
              </w:rPr>
            </w:pPr>
            <w:r w:rsidRPr="00C41028">
              <w:rPr>
                <w:rFonts w:ascii="Verdana" w:hAnsi="Verdana" w:cs="Calibri"/>
                <w:color w:val="000000"/>
                <w:sz w:val="18"/>
                <w:szCs w:val="18"/>
              </w:rPr>
              <w:t>1.500</w:t>
            </w:r>
          </w:p>
        </w:tc>
        <w:tc>
          <w:tcPr>
            <w:tcW w:w="1000" w:type="dxa"/>
            <w:tcBorders>
              <w:top w:val="nil"/>
              <w:left w:val="nil"/>
              <w:bottom w:val="nil"/>
              <w:right w:val="nil"/>
            </w:tcBorders>
            <w:shd w:val="clear" w:color="auto" w:fill="auto"/>
            <w:vAlign w:val="center"/>
            <w:hideMark/>
          </w:tcPr>
          <w:p w:rsidRPr="00C41028" w:rsidR="00C41028" w:rsidP="00C41028" w:rsidRDefault="00C41028" w14:paraId="1009F42F"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noWrap/>
            <w:vAlign w:val="bottom"/>
            <w:hideMark/>
          </w:tcPr>
          <w:p w:rsidRPr="00C41028" w:rsidR="00C41028" w:rsidP="00C41028" w:rsidRDefault="00C41028" w14:paraId="68E96A31" w14:textId="77777777">
            <w:pPr>
              <w:jc w:val="right"/>
              <w:rPr>
                <w:rFonts w:ascii="Verdana" w:hAnsi="Verdana" w:cs="Calibri"/>
                <w:color w:val="000000"/>
                <w:sz w:val="18"/>
                <w:szCs w:val="18"/>
              </w:rPr>
            </w:pPr>
          </w:p>
        </w:tc>
        <w:tc>
          <w:tcPr>
            <w:tcW w:w="1000" w:type="dxa"/>
            <w:tcBorders>
              <w:top w:val="nil"/>
              <w:left w:val="nil"/>
              <w:bottom w:val="nil"/>
              <w:right w:val="nil"/>
            </w:tcBorders>
            <w:shd w:val="clear" w:color="auto" w:fill="auto"/>
            <w:noWrap/>
            <w:vAlign w:val="bottom"/>
            <w:hideMark/>
          </w:tcPr>
          <w:p w:rsidRPr="00C41028" w:rsidR="00C41028" w:rsidP="00C41028" w:rsidRDefault="00C41028" w14:paraId="5D9BBFB4" w14:textId="77777777">
            <w:pPr>
              <w:rPr>
                <w:rFonts w:ascii="Times New Roman" w:hAnsi="Times New Roman"/>
              </w:rPr>
            </w:pPr>
          </w:p>
        </w:tc>
        <w:tc>
          <w:tcPr>
            <w:tcW w:w="1000" w:type="dxa"/>
            <w:tcBorders>
              <w:top w:val="nil"/>
              <w:left w:val="nil"/>
              <w:bottom w:val="nil"/>
              <w:right w:val="nil"/>
            </w:tcBorders>
            <w:shd w:val="clear" w:color="auto" w:fill="auto"/>
            <w:noWrap/>
            <w:vAlign w:val="bottom"/>
            <w:hideMark/>
          </w:tcPr>
          <w:p w:rsidRPr="00C41028" w:rsidR="00C41028" w:rsidP="00C41028" w:rsidRDefault="00C41028" w14:paraId="3B16376E" w14:textId="77777777">
            <w:pPr>
              <w:rPr>
                <w:rFonts w:ascii="Times New Roman" w:hAnsi="Times New Roman"/>
              </w:rPr>
            </w:pPr>
          </w:p>
        </w:tc>
        <w:tc>
          <w:tcPr>
            <w:tcW w:w="1000" w:type="dxa"/>
            <w:tcBorders>
              <w:top w:val="nil"/>
              <w:left w:val="nil"/>
              <w:bottom w:val="nil"/>
              <w:right w:val="nil"/>
            </w:tcBorders>
            <w:shd w:val="clear" w:color="auto" w:fill="auto"/>
            <w:noWrap/>
            <w:vAlign w:val="bottom"/>
            <w:hideMark/>
          </w:tcPr>
          <w:p w:rsidRPr="00C41028" w:rsidR="00C41028" w:rsidP="00C41028" w:rsidRDefault="00C41028" w14:paraId="5E594509" w14:textId="77777777">
            <w:pPr>
              <w:rPr>
                <w:rFonts w:ascii="Times New Roman" w:hAnsi="Times New Roman"/>
              </w:rPr>
            </w:pPr>
          </w:p>
        </w:tc>
      </w:tr>
      <w:tr w:rsidRPr="00C41028" w:rsidR="00C41028" w:rsidTr="00C41028" w14:paraId="01771A23"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03606600"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3.2: kennis en onderzoek</w:t>
            </w:r>
          </w:p>
        </w:tc>
        <w:tc>
          <w:tcPr>
            <w:tcW w:w="1000" w:type="dxa"/>
            <w:tcBorders>
              <w:top w:val="nil"/>
              <w:left w:val="nil"/>
              <w:bottom w:val="nil"/>
              <w:right w:val="nil"/>
            </w:tcBorders>
            <w:shd w:val="clear" w:color="auto" w:fill="auto"/>
            <w:vAlign w:val="center"/>
            <w:hideMark/>
          </w:tcPr>
          <w:p w:rsidRPr="00C41028" w:rsidR="00C41028" w:rsidP="00C41028" w:rsidRDefault="00C41028" w14:paraId="2435C7C6" w14:textId="77777777">
            <w:pPr>
              <w:jc w:val="right"/>
              <w:rPr>
                <w:rFonts w:ascii="Verdana" w:hAnsi="Verdana" w:cs="Calibri"/>
                <w:color w:val="000000"/>
                <w:sz w:val="18"/>
                <w:szCs w:val="18"/>
              </w:rPr>
            </w:pPr>
            <w:r w:rsidRPr="00C41028">
              <w:rPr>
                <w:rFonts w:ascii="Verdana" w:hAnsi="Verdana" w:cs="Calibri"/>
                <w:color w:val="000000"/>
                <w:sz w:val="18"/>
                <w:szCs w:val="18"/>
              </w:rPr>
              <w:t>1.378</w:t>
            </w:r>
          </w:p>
        </w:tc>
        <w:tc>
          <w:tcPr>
            <w:tcW w:w="1000" w:type="dxa"/>
            <w:tcBorders>
              <w:top w:val="nil"/>
              <w:left w:val="nil"/>
              <w:bottom w:val="nil"/>
              <w:right w:val="nil"/>
            </w:tcBorders>
            <w:shd w:val="clear" w:color="auto" w:fill="auto"/>
            <w:vAlign w:val="center"/>
            <w:hideMark/>
          </w:tcPr>
          <w:p w:rsidRPr="00C41028" w:rsidR="00C41028" w:rsidP="00C41028" w:rsidRDefault="00C41028" w14:paraId="3E3DAC21" w14:textId="77777777">
            <w:pPr>
              <w:jc w:val="right"/>
              <w:rPr>
                <w:rFonts w:ascii="Verdana" w:hAnsi="Verdana" w:cs="Calibri"/>
                <w:color w:val="000000"/>
                <w:sz w:val="18"/>
                <w:szCs w:val="18"/>
              </w:rPr>
            </w:pPr>
            <w:r w:rsidRPr="00C41028">
              <w:rPr>
                <w:rFonts w:ascii="Verdana" w:hAnsi="Verdana" w:cs="Calibri"/>
                <w:color w:val="000000"/>
                <w:sz w:val="18"/>
                <w:szCs w:val="18"/>
              </w:rPr>
              <w:t>1.378</w:t>
            </w:r>
          </w:p>
        </w:tc>
        <w:tc>
          <w:tcPr>
            <w:tcW w:w="1000" w:type="dxa"/>
            <w:tcBorders>
              <w:top w:val="nil"/>
              <w:left w:val="nil"/>
              <w:bottom w:val="nil"/>
              <w:right w:val="nil"/>
            </w:tcBorders>
            <w:shd w:val="clear" w:color="auto" w:fill="auto"/>
            <w:vAlign w:val="center"/>
            <w:hideMark/>
          </w:tcPr>
          <w:p w:rsidRPr="00C41028" w:rsidR="00C41028" w:rsidP="00C41028" w:rsidRDefault="00C41028" w14:paraId="5F01467A" w14:textId="77777777">
            <w:pPr>
              <w:jc w:val="right"/>
              <w:rPr>
                <w:rFonts w:ascii="Verdana" w:hAnsi="Verdana" w:cs="Calibri"/>
                <w:color w:val="000000"/>
                <w:sz w:val="18"/>
                <w:szCs w:val="18"/>
              </w:rPr>
            </w:pPr>
            <w:r w:rsidRPr="00C41028">
              <w:rPr>
                <w:rFonts w:ascii="Verdana" w:hAnsi="Verdana" w:cs="Calibri"/>
                <w:color w:val="000000"/>
                <w:sz w:val="18"/>
                <w:szCs w:val="18"/>
              </w:rPr>
              <w:t>1.378</w:t>
            </w:r>
          </w:p>
        </w:tc>
        <w:tc>
          <w:tcPr>
            <w:tcW w:w="1000" w:type="dxa"/>
            <w:tcBorders>
              <w:top w:val="nil"/>
              <w:left w:val="nil"/>
              <w:bottom w:val="nil"/>
              <w:right w:val="nil"/>
            </w:tcBorders>
            <w:shd w:val="clear" w:color="auto" w:fill="auto"/>
            <w:vAlign w:val="center"/>
            <w:hideMark/>
          </w:tcPr>
          <w:p w:rsidRPr="00C41028" w:rsidR="00C41028" w:rsidP="00C41028" w:rsidRDefault="00C41028" w14:paraId="4EF9A404" w14:textId="77777777">
            <w:pPr>
              <w:jc w:val="right"/>
              <w:rPr>
                <w:rFonts w:ascii="Verdana" w:hAnsi="Verdana" w:cs="Calibri"/>
                <w:color w:val="000000"/>
                <w:sz w:val="18"/>
                <w:szCs w:val="18"/>
              </w:rPr>
            </w:pPr>
            <w:r w:rsidRPr="00C41028">
              <w:rPr>
                <w:rFonts w:ascii="Verdana" w:hAnsi="Verdana" w:cs="Calibri"/>
                <w:color w:val="000000"/>
                <w:sz w:val="18"/>
                <w:szCs w:val="18"/>
              </w:rPr>
              <w:t>1.378</w:t>
            </w:r>
          </w:p>
        </w:tc>
        <w:tc>
          <w:tcPr>
            <w:tcW w:w="1000" w:type="dxa"/>
            <w:tcBorders>
              <w:top w:val="nil"/>
              <w:left w:val="nil"/>
              <w:bottom w:val="nil"/>
              <w:right w:val="nil"/>
            </w:tcBorders>
            <w:shd w:val="clear" w:color="auto" w:fill="auto"/>
            <w:vAlign w:val="center"/>
            <w:hideMark/>
          </w:tcPr>
          <w:p w:rsidRPr="00C41028" w:rsidR="00C41028" w:rsidP="00C41028" w:rsidRDefault="00C41028" w14:paraId="5A16044B" w14:textId="77777777">
            <w:pPr>
              <w:jc w:val="right"/>
              <w:rPr>
                <w:rFonts w:ascii="Verdana" w:hAnsi="Verdana" w:cs="Calibri"/>
                <w:color w:val="000000"/>
                <w:sz w:val="18"/>
                <w:szCs w:val="18"/>
              </w:rPr>
            </w:pPr>
            <w:r w:rsidRPr="00C41028">
              <w:rPr>
                <w:rFonts w:ascii="Verdana" w:hAnsi="Verdana" w:cs="Calibri"/>
                <w:color w:val="000000"/>
                <w:sz w:val="18"/>
                <w:szCs w:val="18"/>
              </w:rPr>
              <w:t>1.378</w:t>
            </w:r>
          </w:p>
        </w:tc>
        <w:tc>
          <w:tcPr>
            <w:tcW w:w="1000" w:type="dxa"/>
            <w:tcBorders>
              <w:top w:val="nil"/>
              <w:left w:val="nil"/>
              <w:bottom w:val="nil"/>
              <w:right w:val="nil"/>
            </w:tcBorders>
            <w:shd w:val="clear" w:color="auto" w:fill="auto"/>
            <w:vAlign w:val="center"/>
            <w:hideMark/>
          </w:tcPr>
          <w:p w:rsidRPr="00C41028" w:rsidR="00C41028" w:rsidP="00C41028" w:rsidRDefault="00C41028" w14:paraId="19AF9F18" w14:textId="77777777">
            <w:pPr>
              <w:jc w:val="right"/>
              <w:rPr>
                <w:rFonts w:ascii="Verdana" w:hAnsi="Verdana" w:cs="Calibri"/>
                <w:color w:val="000000"/>
                <w:sz w:val="18"/>
                <w:szCs w:val="18"/>
              </w:rPr>
            </w:pPr>
            <w:r w:rsidRPr="00C41028">
              <w:rPr>
                <w:rFonts w:ascii="Verdana" w:hAnsi="Verdana" w:cs="Calibri"/>
                <w:color w:val="000000"/>
                <w:sz w:val="18"/>
                <w:szCs w:val="18"/>
              </w:rPr>
              <w:t>1.378</w:t>
            </w:r>
          </w:p>
        </w:tc>
      </w:tr>
      <w:tr w:rsidRPr="00C41028" w:rsidR="00C41028" w:rsidTr="00C41028" w14:paraId="4F388E1D" w14:textId="77777777">
        <w:trPr>
          <w:trHeight w:val="619"/>
        </w:trPr>
        <w:tc>
          <w:tcPr>
            <w:tcW w:w="4180" w:type="dxa"/>
            <w:tcBorders>
              <w:top w:val="nil"/>
              <w:left w:val="nil"/>
              <w:bottom w:val="nil"/>
              <w:right w:val="nil"/>
            </w:tcBorders>
            <w:shd w:val="clear" w:color="auto" w:fill="auto"/>
            <w:vAlign w:val="center"/>
            <w:hideMark/>
          </w:tcPr>
          <w:p w:rsidRPr="00C41028" w:rsidR="00C41028" w:rsidP="00C41028" w:rsidRDefault="00C41028" w14:paraId="51326FF4"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3.3: publicatie officiële documenten</w:t>
            </w:r>
          </w:p>
        </w:tc>
        <w:tc>
          <w:tcPr>
            <w:tcW w:w="1000" w:type="dxa"/>
            <w:tcBorders>
              <w:top w:val="nil"/>
              <w:left w:val="nil"/>
              <w:bottom w:val="nil"/>
              <w:right w:val="nil"/>
            </w:tcBorders>
            <w:shd w:val="clear" w:color="auto" w:fill="auto"/>
            <w:vAlign w:val="center"/>
            <w:hideMark/>
          </w:tcPr>
          <w:p w:rsidRPr="00C41028" w:rsidR="00C41028" w:rsidP="00C41028" w:rsidRDefault="00C41028" w14:paraId="16FDC92C" w14:textId="77777777">
            <w:pPr>
              <w:jc w:val="right"/>
              <w:rPr>
                <w:rFonts w:ascii="Verdana" w:hAnsi="Verdana" w:cs="Calibri"/>
                <w:color w:val="000000"/>
                <w:sz w:val="18"/>
                <w:szCs w:val="18"/>
              </w:rPr>
            </w:pPr>
            <w:r w:rsidRPr="00C41028">
              <w:rPr>
                <w:rFonts w:ascii="Verdana" w:hAnsi="Verdana" w:cs="Calibri"/>
                <w:color w:val="000000"/>
                <w:sz w:val="18"/>
                <w:szCs w:val="18"/>
              </w:rPr>
              <w:t>2.209</w:t>
            </w:r>
          </w:p>
        </w:tc>
        <w:tc>
          <w:tcPr>
            <w:tcW w:w="1000" w:type="dxa"/>
            <w:tcBorders>
              <w:top w:val="nil"/>
              <w:left w:val="nil"/>
              <w:bottom w:val="nil"/>
              <w:right w:val="nil"/>
            </w:tcBorders>
            <w:shd w:val="clear" w:color="auto" w:fill="auto"/>
            <w:vAlign w:val="center"/>
            <w:hideMark/>
          </w:tcPr>
          <w:p w:rsidRPr="00C41028" w:rsidR="00C41028" w:rsidP="00C41028" w:rsidRDefault="00C41028" w14:paraId="211B60A6" w14:textId="77777777">
            <w:pPr>
              <w:jc w:val="right"/>
              <w:rPr>
                <w:rFonts w:ascii="Verdana" w:hAnsi="Verdana" w:cs="Calibri"/>
                <w:color w:val="000000"/>
                <w:sz w:val="18"/>
                <w:szCs w:val="18"/>
              </w:rPr>
            </w:pPr>
            <w:r w:rsidRPr="00C41028">
              <w:rPr>
                <w:rFonts w:ascii="Verdana" w:hAnsi="Verdana" w:cs="Calibri"/>
                <w:color w:val="000000"/>
                <w:sz w:val="18"/>
                <w:szCs w:val="18"/>
              </w:rPr>
              <w:t>2.209</w:t>
            </w:r>
          </w:p>
        </w:tc>
        <w:tc>
          <w:tcPr>
            <w:tcW w:w="1000" w:type="dxa"/>
            <w:tcBorders>
              <w:top w:val="nil"/>
              <w:left w:val="nil"/>
              <w:bottom w:val="nil"/>
              <w:right w:val="nil"/>
            </w:tcBorders>
            <w:shd w:val="clear" w:color="auto" w:fill="auto"/>
            <w:vAlign w:val="center"/>
            <w:hideMark/>
          </w:tcPr>
          <w:p w:rsidRPr="00C41028" w:rsidR="00C41028" w:rsidP="00C41028" w:rsidRDefault="00C41028" w14:paraId="3257749B" w14:textId="77777777">
            <w:pPr>
              <w:jc w:val="right"/>
              <w:rPr>
                <w:rFonts w:ascii="Verdana" w:hAnsi="Verdana" w:cs="Calibri"/>
                <w:color w:val="000000"/>
                <w:sz w:val="18"/>
                <w:szCs w:val="18"/>
              </w:rPr>
            </w:pPr>
            <w:r w:rsidRPr="00C41028">
              <w:rPr>
                <w:rFonts w:ascii="Verdana" w:hAnsi="Verdana" w:cs="Calibri"/>
                <w:color w:val="000000"/>
                <w:sz w:val="18"/>
                <w:szCs w:val="18"/>
              </w:rPr>
              <w:t>2.209</w:t>
            </w:r>
          </w:p>
        </w:tc>
        <w:tc>
          <w:tcPr>
            <w:tcW w:w="1000" w:type="dxa"/>
            <w:tcBorders>
              <w:top w:val="nil"/>
              <w:left w:val="nil"/>
              <w:bottom w:val="nil"/>
              <w:right w:val="nil"/>
            </w:tcBorders>
            <w:shd w:val="clear" w:color="auto" w:fill="auto"/>
            <w:vAlign w:val="center"/>
            <w:hideMark/>
          </w:tcPr>
          <w:p w:rsidRPr="00C41028" w:rsidR="00C41028" w:rsidP="00C41028" w:rsidRDefault="00C41028" w14:paraId="60212FE7" w14:textId="77777777">
            <w:pPr>
              <w:jc w:val="right"/>
              <w:rPr>
                <w:rFonts w:ascii="Verdana" w:hAnsi="Verdana" w:cs="Calibri"/>
                <w:color w:val="000000"/>
                <w:sz w:val="18"/>
                <w:szCs w:val="18"/>
              </w:rPr>
            </w:pPr>
            <w:r w:rsidRPr="00C41028">
              <w:rPr>
                <w:rFonts w:ascii="Verdana" w:hAnsi="Verdana" w:cs="Calibri"/>
                <w:color w:val="000000"/>
                <w:sz w:val="18"/>
                <w:szCs w:val="18"/>
              </w:rPr>
              <w:t>2.209</w:t>
            </w:r>
          </w:p>
        </w:tc>
        <w:tc>
          <w:tcPr>
            <w:tcW w:w="1000" w:type="dxa"/>
            <w:tcBorders>
              <w:top w:val="nil"/>
              <w:left w:val="nil"/>
              <w:bottom w:val="nil"/>
              <w:right w:val="nil"/>
            </w:tcBorders>
            <w:shd w:val="clear" w:color="auto" w:fill="auto"/>
            <w:vAlign w:val="center"/>
            <w:hideMark/>
          </w:tcPr>
          <w:p w:rsidRPr="00C41028" w:rsidR="00C41028" w:rsidP="00C41028" w:rsidRDefault="00C41028" w14:paraId="7437A9B3" w14:textId="77777777">
            <w:pPr>
              <w:jc w:val="right"/>
              <w:rPr>
                <w:rFonts w:ascii="Verdana" w:hAnsi="Verdana" w:cs="Calibri"/>
                <w:color w:val="000000"/>
                <w:sz w:val="18"/>
                <w:szCs w:val="18"/>
              </w:rPr>
            </w:pPr>
            <w:r w:rsidRPr="00C41028">
              <w:rPr>
                <w:rFonts w:ascii="Verdana" w:hAnsi="Verdana" w:cs="Calibri"/>
                <w:color w:val="000000"/>
                <w:sz w:val="18"/>
                <w:szCs w:val="18"/>
              </w:rPr>
              <w:t>2.209</w:t>
            </w:r>
          </w:p>
        </w:tc>
        <w:tc>
          <w:tcPr>
            <w:tcW w:w="1000" w:type="dxa"/>
            <w:tcBorders>
              <w:top w:val="nil"/>
              <w:left w:val="nil"/>
              <w:bottom w:val="nil"/>
              <w:right w:val="nil"/>
            </w:tcBorders>
            <w:shd w:val="clear" w:color="auto" w:fill="auto"/>
            <w:vAlign w:val="center"/>
            <w:hideMark/>
          </w:tcPr>
          <w:p w:rsidRPr="00C41028" w:rsidR="00C41028" w:rsidP="00C41028" w:rsidRDefault="00C41028" w14:paraId="167630BD" w14:textId="77777777">
            <w:pPr>
              <w:jc w:val="right"/>
              <w:rPr>
                <w:rFonts w:ascii="Verdana" w:hAnsi="Verdana" w:cs="Calibri"/>
                <w:color w:val="000000"/>
                <w:sz w:val="18"/>
                <w:szCs w:val="18"/>
              </w:rPr>
            </w:pPr>
            <w:r w:rsidRPr="00C41028">
              <w:rPr>
                <w:rFonts w:ascii="Verdana" w:hAnsi="Verdana" w:cs="Calibri"/>
                <w:color w:val="000000"/>
                <w:sz w:val="18"/>
                <w:szCs w:val="18"/>
              </w:rPr>
              <w:t>2.209</w:t>
            </w:r>
          </w:p>
        </w:tc>
      </w:tr>
      <w:tr w:rsidRPr="00C41028" w:rsidR="00C41028" w:rsidTr="00C41028" w14:paraId="0411AB87"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47B0C501"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3.4: fractiekosten</w:t>
            </w:r>
          </w:p>
        </w:tc>
        <w:tc>
          <w:tcPr>
            <w:tcW w:w="1000" w:type="dxa"/>
            <w:tcBorders>
              <w:top w:val="nil"/>
              <w:left w:val="nil"/>
              <w:bottom w:val="nil"/>
              <w:right w:val="nil"/>
            </w:tcBorders>
            <w:shd w:val="clear" w:color="auto" w:fill="auto"/>
            <w:vAlign w:val="center"/>
            <w:hideMark/>
          </w:tcPr>
          <w:p w:rsidRPr="00C41028" w:rsidR="00C41028" w:rsidP="00C41028" w:rsidRDefault="00C41028" w14:paraId="6382825D" w14:textId="77777777">
            <w:pPr>
              <w:jc w:val="right"/>
              <w:rPr>
                <w:rFonts w:ascii="Verdana" w:hAnsi="Verdana" w:cs="Calibri"/>
                <w:color w:val="000000"/>
                <w:sz w:val="18"/>
                <w:szCs w:val="18"/>
              </w:rPr>
            </w:pPr>
            <w:r w:rsidRPr="00C41028">
              <w:rPr>
                <w:rFonts w:ascii="Verdana" w:hAnsi="Verdana" w:cs="Calibri"/>
                <w:color w:val="000000"/>
                <w:sz w:val="18"/>
                <w:szCs w:val="18"/>
              </w:rPr>
              <w:t>46.868</w:t>
            </w:r>
          </w:p>
        </w:tc>
        <w:tc>
          <w:tcPr>
            <w:tcW w:w="1000" w:type="dxa"/>
            <w:tcBorders>
              <w:top w:val="nil"/>
              <w:left w:val="nil"/>
              <w:bottom w:val="nil"/>
              <w:right w:val="nil"/>
            </w:tcBorders>
            <w:shd w:val="clear" w:color="auto" w:fill="auto"/>
            <w:vAlign w:val="center"/>
            <w:hideMark/>
          </w:tcPr>
          <w:p w:rsidRPr="00C41028" w:rsidR="00C41028" w:rsidP="00C41028" w:rsidRDefault="00C41028" w14:paraId="20D0232C" w14:textId="77777777">
            <w:pPr>
              <w:jc w:val="right"/>
              <w:rPr>
                <w:rFonts w:ascii="Verdana" w:hAnsi="Verdana" w:cs="Calibri"/>
                <w:color w:val="000000"/>
                <w:sz w:val="18"/>
                <w:szCs w:val="18"/>
              </w:rPr>
            </w:pPr>
            <w:r w:rsidRPr="00C41028">
              <w:rPr>
                <w:rFonts w:ascii="Verdana" w:hAnsi="Verdana" w:cs="Calibri"/>
                <w:color w:val="000000"/>
                <w:sz w:val="18"/>
                <w:szCs w:val="18"/>
              </w:rPr>
              <w:t>46.736</w:t>
            </w:r>
          </w:p>
        </w:tc>
        <w:tc>
          <w:tcPr>
            <w:tcW w:w="1000" w:type="dxa"/>
            <w:tcBorders>
              <w:top w:val="nil"/>
              <w:left w:val="nil"/>
              <w:bottom w:val="nil"/>
              <w:right w:val="nil"/>
            </w:tcBorders>
            <w:shd w:val="clear" w:color="auto" w:fill="auto"/>
            <w:vAlign w:val="center"/>
            <w:hideMark/>
          </w:tcPr>
          <w:p w:rsidRPr="00C41028" w:rsidR="00C41028" w:rsidP="00C41028" w:rsidRDefault="00C41028" w14:paraId="6BE20C59" w14:textId="77777777">
            <w:pPr>
              <w:jc w:val="right"/>
              <w:rPr>
                <w:rFonts w:ascii="Verdana" w:hAnsi="Verdana" w:cs="Calibri"/>
                <w:color w:val="000000"/>
                <w:sz w:val="18"/>
                <w:szCs w:val="18"/>
              </w:rPr>
            </w:pPr>
            <w:r w:rsidRPr="00C41028">
              <w:rPr>
                <w:rFonts w:ascii="Verdana" w:hAnsi="Verdana" w:cs="Calibri"/>
                <w:color w:val="000000"/>
                <w:sz w:val="18"/>
                <w:szCs w:val="18"/>
              </w:rPr>
              <w:t>46.672</w:t>
            </w:r>
          </w:p>
        </w:tc>
        <w:tc>
          <w:tcPr>
            <w:tcW w:w="1000" w:type="dxa"/>
            <w:tcBorders>
              <w:top w:val="nil"/>
              <w:left w:val="nil"/>
              <w:bottom w:val="nil"/>
              <w:right w:val="nil"/>
            </w:tcBorders>
            <w:shd w:val="clear" w:color="auto" w:fill="auto"/>
            <w:vAlign w:val="center"/>
            <w:hideMark/>
          </w:tcPr>
          <w:p w:rsidRPr="00C41028" w:rsidR="00C41028" w:rsidP="00C41028" w:rsidRDefault="00C41028" w14:paraId="5A00A977" w14:textId="77777777">
            <w:pPr>
              <w:jc w:val="right"/>
              <w:rPr>
                <w:rFonts w:ascii="Verdana" w:hAnsi="Verdana" w:cs="Calibri"/>
                <w:color w:val="000000"/>
                <w:sz w:val="18"/>
                <w:szCs w:val="18"/>
              </w:rPr>
            </w:pPr>
            <w:r w:rsidRPr="00C41028">
              <w:rPr>
                <w:rFonts w:ascii="Verdana" w:hAnsi="Verdana" w:cs="Calibri"/>
                <w:color w:val="000000"/>
                <w:sz w:val="18"/>
                <w:szCs w:val="18"/>
              </w:rPr>
              <w:t>54.672</w:t>
            </w:r>
          </w:p>
        </w:tc>
        <w:tc>
          <w:tcPr>
            <w:tcW w:w="1000" w:type="dxa"/>
            <w:tcBorders>
              <w:top w:val="nil"/>
              <w:left w:val="nil"/>
              <w:bottom w:val="nil"/>
              <w:right w:val="nil"/>
            </w:tcBorders>
            <w:shd w:val="clear" w:color="auto" w:fill="auto"/>
            <w:vAlign w:val="center"/>
            <w:hideMark/>
          </w:tcPr>
          <w:p w:rsidRPr="00C41028" w:rsidR="00C41028" w:rsidP="00C41028" w:rsidRDefault="00C41028" w14:paraId="6672333D" w14:textId="77777777">
            <w:pPr>
              <w:jc w:val="right"/>
              <w:rPr>
                <w:rFonts w:ascii="Verdana" w:hAnsi="Verdana" w:cs="Calibri"/>
                <w:color w:val="000000"/>
                <w:sz w:val="18"/>
                <w:szCs w:val="18"/>
              </w:rPr>
            </w:pPr>
            <w:r w:rsidRPr="00C41028">
              <w:rPr>
                <w:rFonts w:ascii="Verdana" w:hAnsi="Verdana" w:cs="Calibri"/>
                <w:color w:val="000000"/>
                <w:sz w:val="18"/>
                <w:szCs w:val="18"/>
              </w:rPr>
              <w:t>46.854</w:t>
            </w:r>
          </w:p>
        </w:tc>
        <w:tc>
          <w:tcPr>
            <w:tcW w:w="1000" w:type="dxa"/>
            <w:tcBorders>
              <w:top w:val="nil"/>
              <w:left w:val="nil"/>
              <w:bottom w:val="nil"/>
              <w:right w:val="nil"/>
            </w:tcBorders>
            <w:shd w:val="clear" w:color="auto" w:fill="auto"/>
            <w:vAlign w:val="center"/>
            <w:hideMark/>
          </w:tcPr>
          <w:p w:rsidRPr="00C41028" w:rsidR="00C41028" w:rsidP="00C41028" w:rsidRDefault="00C41028" w14:paraId="46249269" w14:textId="77777777">
            <w:pPr>
              <w:jc w:val="right"/>
              <w:rPr>
                <w:rFonts w:ascii="Verdana" w:hAnsi="Verdana" w:cs="Calibri"/>
                <w:color w:val="000000"/>
                <w:sz w:val="18"/>
                <w:szCs w:val="18"/>
              </w:rPr>
            </w:pPr>
            <w:r w:rsidRPr="00C41028">
              <w:rPr>
                <w:rFonts w:ascii="Verdana" w:hAnsi="Verdana" w:cs="Calibri"/>
                <w:color w:val="000000"/>
                <w:sz w:val="18"/>
                <w:szCs w:val="18"/>
              </w:rPr>
              <w:t>45.854</w:t>
            </w:r>
          </w:p>
        </w:tc>
      </w:tr>
      <w:tr w:rsidRPr="00C41028" w:rsidR="00C41028" w:rsidTr="00C41028" w14:paraId="269B3EC7"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34EE044E" w14:textId="77777777">
            <w:pPr>
              <w:ind w:firstLine="360" w:firstLineChars="200"/>
              <w:rPr>
                <w:rFonts w:ascii="Symbol" w:hAnsi="Symbol" w:cs="Calibri"/>
                <w:color w:val="000000"/>
                <w:sz w:val="18"/>
                <w:szCs w:val="18"/>
              </w:rPr>
            </w:pPr>
            <w:r w:rsidRPr="00C41028">
              <w:rPr>
                <w:rFonts w:ascii="Symbol" w:hAnsi="Symbol" w:cs="Calibri"/>
                <w:color w:val="000000"/>
                <w:sz w:val="18"/>
                <w:szCs w:val="18"/>
              </w:rPr>
              <w:t>·</w:t>
            </w:r>
            <w:r w:rsidRPr="00C41028">
              <w:rPr>
                <w:rFonts w:ascii="Times New Roman" w:hAnsi="Times New Roman"/>
                <w:color w:val="000000"/>
                <w:sz w:val="14"/>
                <w:szCs w:val="14"/>
              </w:rPr>
              <w:t xml:space="preserve">         </w:t>
            </w:r>
            <w:r w:rsidRPr="00C41028">
              <w:rPr>
                <w:rFonts w:ascii="Verdana" w:hAnsi="Verdana" w:cs="Calibri"/>
                <w:color w:val="000000"/>
                <w:sz w:val="18"/>
                <w:szCs w:val="18"/>
              </w:rPr>
              <w:t>Ramingsbijstelling</w:t>
            </w:r>
          </w:p>
        </w:tc>
        <w:tc>
          <w:tcPr>
            <w:tcW w:w="1000" w:type="dxa"/>
            <w:tcBorders>
              <w:top w:val="nil"/>
              <w:left w:val="nil"/>
              <w:bottom w:val="nil"/>
              <w:right w:val="nil"/>
            </w:tcBorders>
            <w:shd w:val="clear" w:color="auto" w:fill="auto"/>
            <w:vAlign w:val="center"/>
            <w:hideMark/>
          </w:tcPr>
          <w:p w:rsidRPr="00C41028" w:rsidR="00C41028" w:rsidP="00C41028" w:rsidRDefault="00C41028" w14:paraId="2A27E8E6" w14:textId="77777777">
            <w:pPr>
              <w:ind w:firstLine="360" w:firstLineChars="200"/>
              <w:rPr>
                <w:rFonts w:ascii="Symbol" w:hAnsi="Symbol" w:cs="Calibri"/>
                <w:color w:val="000000"/>
                <w:sz w:val="18"/>
                <w:szCs w:val="18"/>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581E7ABF"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2457DE42"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59F660E4"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5BEFFFA4"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212F173D" w14:textId="77777777">
            <w:pPr>
              <w:jc w:val="right"/>
              <w:rPr>
                <w:rFonts w:ascii="Verdana" w:hAnsi="Verdana" w:cs="Calibri"/>
                <w:color w:val="000000"/>
                <w:sz w:val="18"/>
                <w:szCs w:val="18"/>
              </w:rPr>
            </w:pPr>
            <w:r w:rsidRPr="00C41028">
              <w:rPr>
                <w:rFonts w:ascii="Verdana" w:hAnsi="Verdana" w:cs="Calibri"/>
                <w:color w:val="000000"/>
                <w:sz w:val="18"/>
                <w:szCs w:val="18"/>
              </w:rPr>
              <w:t>1.000</w:t>
            </w:r>
          </w:p>
        </w:tc>
      </w:tr>
      <w:tr w:rsidRPr="00C41028" w:rsidR="00C41028" w:rsidTr="00C41028" w14:paraId="78153EEB"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2CC413F0"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3.5: uitzending leden</w:t>
            </w:r>
          </w:p>
        </w:tc>
        <w:tc>
          <w:tcPr>
            <w:tcW w:w="1000" w:type="dxa"/>
            <w:tcBorders>
              <w:top w:val="nil"/>
              <w:left w:val="nil"/>
              <w:bottom w:val="nil"/>
              <w:right w:val="nil"/>
            </w:tcBorders>
            <w:shd w:val="clear" w:color="auto" w:fill="auto"/>
            <w:vAlign w:val="center"/>
            <w:hideMark/>
          </w:tcPr>
          <w:p w:rsidRPr="00C41028" w:rsidR="00C41028" w:rsidP="00C41028" w:rsidRDefault="00C41028" w14:paraId="793DA823" w14:textId="77777777">
            <w:pPr>
              <w:jc w:val="right"/>
              <w:rPr>
                <w:rFonts w:ascii="Verdana" w:hAnsi="Verdana" w:cs="Calibri"/>
                <w:color w:val="000000"/>
                <w:sz w:val="18"/>
                <w:szCs w:val="18"/>
              </w:rPr>
            </w:pPr>
            <w:r w:rsidRPr="00C41028">
              <w:rPr>
                <w:rFonts w:ascii="Verdana" w:hAnsi="Verdana" w:cs="Calibri"/>
                <w:color w:val="000000"/>
                <w:sz w:val="18"/>
                <w:szCs w:val="18"/>
              </w:rPr>
              <w:t>532</w:t>
            </w:r>
          </w:p>
        </w:tc>
        <w:tc>
          <w:tcPr>
            <w:tcW w:w="1000" w:type="dxa"/>
            <w:tcBorders>
              <w:top w:val="nil"/>
              <w:left w:val="nil"/>
              <w:bottom w:val="nil"/>
              <w:right w:val="nil"/>
            </w:tcBorders>
            <w:shd w:val="clear" w:color="auto" w:fill="auto"/>
            <w:vAlign w:val="center"/>
            <w:hideMark/>
          </w:tcPr>
          <w:p w:rsidRPr="00C41028" w:rsidR="00C41028" w:rsidP="00C41028" w:rsidRDefault="00C41028" w14:paraId="4D6851A2" w14:textId="77777777">
            <w:pPr>
              <w:jc w:val="right"/>
              <w:rPr>
                <w:rFonts w:ascii="Verdana" w:hAnsi="Verdana" w:cs="Calibri"/>
                <w:color w:val="000000"/>
                <w:sz w:val="18"/>
                <w:szCs w:val="18"/>
              </w:rPr>
            </w:pPr>
            <w:r w:rsidRPr="00C41028">
              <w:rPr>
                <w:rFonts w:ascii="Verdana" w:hAnsi="Verdana" w:cs="Calibri"/>
                <w:color w:val="000000"/>
                <w:sz w:val="18"/>
                <w:szCs w:val="18"/>
              </w:rPr>
              <w:t>532</w:t>
            </w:r>
          </w:p>
        </w:tc>
        <w:tc>
          <w:tcPr>
            <w:tcW w:w="1000" w:type="dxa"/>
            <w:tcBorders>
              <w:top w:val="nil"/>
              <w:left w:val="nil"/>
              <w:bottom w:val="nil"/>
              <w:right w:val="nil"/>
            </w:tcBorders>
            <w:shd w:val="clear" w:color="auto" w:fill="auto"/>
            <w:vAlign w:val="center"/>
            <w:hideMark/>
          </w:tcPr>
          <w:p w:rsidRPr="00C41028" w:rsidR="00C41028" w:rsidP="00C41028" w:rsidRDefault="00C41028" w14:paraId="361084B3" w14:textId="77777777">
            <w:pPr>
              <w:jc w:val="right"/>
              <w:rPr>
                <w:rFonts w:ascii="Verdana" w:hAnsi="Verdana" w:cs="Calibri"/>
                <w:color w:val="000000"/>
                <w:sz w:val="18"/>
                <w:szCs w:val="18"/>
              </w:rPr>
            </w:pPr>
            <w:r w:rsidRPr="00C41028">
              <w:rPr>
                <w:rFonts w:ascii="Verdana" w:hAnsi="Verdana" w:cs="Calibri"/>
                <w:color w:val="000000"/>
                <w:sz w:val="18"/>
                <w:szCs w:val="18"/>
              </w:rPr>
              <w:t>532</w:t>
            </w:r>
          </w:p>
        </w:tc>
        <w:tc>
          <w:tcPr>
            <w:tcW w:w="1000" w:type="dxa"/>
            <w:tcBorders>
              <w:top w:val="nil"/>
              <w:left w:val="nil"/>
              <w:bottom w:val="nil"/>
              <w:right w:val="nil"/>
            </w:tcBorders>
            <w:shd w:val="clear" w:color="auto" w:fill="auto"/>
            <w:vAlign w:val="center"/>
            <w:hideMark/>
          </w:tcPr>
          <w:p w:rsidRPr="00C41028" w:rsidR="00C41028" w:rsidP="00C41028" w:rsidRDefault="00C41028" w14:paraId="32BFA07E" w14:textId="77777777">
            <w:pPr>
              <w:jc w:val="right"/>
              <w:rPr>
                <w:rFonts w:ascii="Verdana" w:hAnsi="Verdana" w:cs="Calibri"/>
                <w:color w:val="000000"/>
                <w:sz w:val="18"/>
                <w:szCs w:val="18"/>
              </w:rPr>
            </w:pPr>
            <w:r w:rsidRPr="00C41028">
              <w:rPr>
                <w:rFonts w:ascii="Verdana" w:hAnsi="Verdana" w:cs="Calibri"/>
                <w:color w:val="000000"/>
                <w:sz w:val="18"/>
                <w:szCs w:val="18"/>
              </w:rPr>
              <w:t>532</w:t>
            </w:r>
          </w:p>
        </w:tc>
        <w:tc>
          <w:tcPr>
            <w:tcW w:w="1000" w:type="dxa"/>
            <w:tcBorders>
              <w:top w:val="nil"/>
              <w:left w:val="nil"/>
              <w:bottom w:val="nil"/>
              <w:right w:val="nil"/>
            </w:tcBorders>
            <w:shd w:val="clear" w:color="auto" w:fill="auto"/>
            <w:vAlign w:val="center"/>
            <w:hideMark/>
          </w:tcPr>
          <w:p w:rsidRPr="00C41028" w:rsidR="00C41028" w:rsidP="00C41028" w:rsidRDefault="00C41028" w14:paraId="7C7CD6F7" w14:textId="77777777">
            <w:pPr>
              <w:jc w:val="right"/>
              <w:rPr>
                <w:rFonts w:ascii="Verdana" w:hAnsi="Verdana" w:cs="Calibri"/>
                <w:color w:val="000000"/>
                <w:sz w:val="18"/>
                <w:szCs w:val="18"/>
              </w:rPr>
            </w:pPr>
            <w:r w:rsidRPr="00C41028">
              <w:rPr>
                <w:rFonts w:ascii="Verdana" w:hAnsi="Verdana" w:cs="Calibri"/>
                <w:color w:val="000000"/>
                <w:sz w:val="18"/>
                <w:szCs w:val="18"/>
              </w:rPr>
              <w:t>532</w:t>
            </w:r>
          </w:p>
        </w:tc>
        <w:tc>
          <w:tcPr>
            <w:tcW w:w="1000" w:type="dxa"/>
            <w:tcBorders>
              <w:top w:val="nil"/>
              <w:left w:val="nil"/>
              <w:bottom w:val="nil"/>
              <w:right w:val="nil"/>
            </w:tcBorders>
            <w:shd w:val="clear" w:color="auto" w:fill="auto"/>
            <w:vAlign w:val="center"/>
            <w:hideMark/>
          </w:tcPr>
          <w:p w:rsidRPr="00C41028" w:rsidR="00C41028" w:rsidP="00C41028" w:rsidRDefault="00C41028" w14:paraId="5C4FAFB9" w14:textId="77777777">
            <w:pPr>
              <w:jc w:val="right"/>
              <w:rPr>
                <w:rFonts w:ascii="Verdana" w:hAnsi="Verdana" w:cs="Calibri"/>
                <w:color w:val="000000"/>
                <w:sz w:val="18"/>
                <w:szCs w:val="18"/>
              </w:rPr>
            </w:pPr>
            <w:r w:rsidRPr="00C41028">
              <w:rPr>
                <w:rFonts w:ascii="Verdana" w:hAnsi="Verdana" w:cs="Calibri"/>
                <w:color w:val="000000"/>
                <w:sz w:val="18"/>
                <w:szCs w:val="18"/>
              </w:rPr>
              <w:t>532</w:t>
            </w:r>
          </w:p>
        </w:tc>
      </w:tr>
      <w:tr w:rsidRPr="00C41028" w:rsidR="00C41028" w:rsidTr="00C41028" w14:paraId="0841572A"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621BC118"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3.6: parlementaire enquêtes</w:t>
            </w:r>
          </w:p>
        </w:tc>
        <w:tc>
          <w:tcPr>
            <w:tcW w:w="1000" w:type="dxa"/>
            <w:tcBorders>
              <w:top w:val="nil"/>
              <w:left w:val="nil"/>
              <w:bottom w:val="nil"/>
              <w:right w:val="nil"/>
            </w:tcBorders>
            <w:shd w:val="clear" w:color="auto" w:fill="auto"/>
            <w:vAlign w:val="center"/>
            <w:hideMark/>
          </w:tcPr>
          <w:p w:rsidRPr="00C41028" w:rsidR="00C41028" w:rsidP="00C41028" w:rsidRDefault="00C41028" w14:paraId="5DCB9C25" w14:textId="77777777">
            <w:pPr>
              <w:jc w:val="right"/>
              <w:rPr>
                <w:rFonts w:ascii="Verdana" w:hAnsi="Verdana" w:cs="Calibri"/>
                <w:color w:val="000000"/>
                <w:sz w:val="18"/>
                <w:szCs w:val="18"/>
              </w:rPr>
            </w:pPr>
            <w:r w:rsidRPr="00C41028">
              <w:rPr>
                <w:rFonts w:ascii="Verdana" w:hAnsi="Verdana" w:cs="Calibri"/>
                <w:color w:val="000000"/>
                <w:sz w:val="18"/>
                <w:szCs w:val="18"/>
              </w:rPr>
              <w:t>2.700</w:t>
            </w:r>
          </w:p>
        </w:tc>
        <w:tc>
          <w:tcPr>
            <w:tcW w:w="1000" w:type="dxa"/>
            <w:tcBorders>
              <w:top w:val="nil"/>
              <w:left w:val="nil"/>
              <w:bottom w:val="nil"/>
              <w:right w:val="nil"/>
            </w:tcBorders>
            <w:shd w:val="clear" w:color="auto" w:fill="auto"/>
            <w:vAlign w:val="center"/>
            <w:hideMark/>
          </w:tcPr>
          <w:p w:rsidRPr="00C41028" w:rsidR="00C41028" w:rsidP="00C41028" w:rsidRDefault="00C41028" w14:paraId="67321CE4" w14:textId="77777777">
            <w:pPr>
              <w:jc w:val="right"/>
              <w:rPr>
                <w:rFonts w:ascii="Verdana" w:hAnsi="Verdana" w:cs="Calibri"/>
                <w:color w:val="000000"/>
                <w:sz w:val="18"/>
                <w:szCs w:val="18"/>
              </w:rPr>
            </w:pPr>
            <w:r w:rsidRPr="00C41028">
              <w:rPr>
                <w:rFonts w:ascii="Verdana" w:hAnsi="Verdana" w:cs="Calibri"/>
                <w:color w:val="000000"/>
                <w:sz w:val="18"/>
                <w:szCs w:val="18"/>
              </w:rPr>
              <w:t>1.700</w:t>
            </w:r>
          </w:p>
        </w:tc>
        <w:tc>
          <w:tcPr>
            <w:tcW w:w="1000" w:type="dxa"/>
            <w:tcBorders>
              <w:top w:val="nil"/>
              <w:left w:val="nil"/>
              <w:bottom w:val="nil"/>
              <w:right w:val="nil"/>
            </w:tcBorders>
            <w:shd w:val="clear" w:color="auto" w:fill="auto"/>
            <w:vAlign w:val="center"/>
            <w:hideMark/>
          </w:tcPr>
          <w:p w:rsidRPr="00C41028" w:rsidR="00C41028" w:rsidP="00C41028" w:rsidRDefault="00C41028" w14:paraId="088B54C9"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64406375"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15346170"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158AC8AD" w14:textId="77777777">
            <w:pPr>
              <w:jc w:val="right"/>
              <w:rPr>
                <w:rFonts w:ascii="Verdana" w:hAnsi="Verdana" w:cs="Calibri"/>
                <w:color w:val="000000"/>
                <w:sz w:val="18"/>
                <w:szCs w:val="18"/>
              </w:rPr>
            </w:pPr>
            <w:r w:rsidRPr="00C41028">
              <w:rPr>
                <w:rFonts w:ascii="Verdana" w:hAnsi="Verdana" w:cs="Calibri"/>
                <w:color w:val="000000"/>
                <w:sz w:val="18"/>
                <w:szCs w:val="18"/>
              </w:rPr>
              <w:t>0</w:t>
            </w:r>
          </w:p>
        </w:tc>
      </w:tr>
      <w:tr w:rsidRPr="00C41028" w:rsidR="00C41028" w:rsidTr="00C41028" w14:paraId="3DD404BE" w14:textId="77777777">
        <w:trPr>
          <w:trHeight w:val="450"/>
        </w:trPr>
        <w:tc>
          <w:tcPr>
            <w:tcW w:w="4180" w:type="dxa"/>
            <w:tcBorders>
              <w:top w:val="nil"/>
              <w:left w:val="nil"/>
              <w:bottom w:val="nil"/>
              <w:right w:val="nil"/>
            </w:tcBorders>
            <w:shd w:val="clear" w:color="auto" w:fill="auto"/>
            <w:vAlign w:val="center"/>
            <w:hideMark/>
          </w:tcPr>
          <w:p w:rsidRPr="00C41028" w:rsidR="00C41028" w:rsidP="00C41028" w:rsidRDefault="00C41028" w14:paraId="4DB99038"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Mutatie n.a.v. de Voorjaarsnota 2025</w:t>
            </w:r>
          </w:p>
        </w:tc>
        <w:tc>
          <w:tcPr>
            <w:tcW w:w="1000" w:type="dxa"/>
            <w:tcBorders>
              <w:top w:val="nil"/>
              <w:left w:val="nil"/>
              <w:bottom w:val="nil"/>
              <w:right w:val="nil"/>
            </w:tcBorders>
            <w:shd w:val="clear" w:color="auto" w:fill="auto"/>
            <w:vAlign w:val="center"/>
            <w:hideMark/>
          </w:tcPr>
          <w:p w:rsidRPr="00C41028" w:rsidR="00C41028" w:rsidP="00C41028" w:rsidRDefault="00C41028" w14:paraId="62DE8364" w14:textId="77777777">
            <w:pPr>
              <w:ind w:firstLine="360" w:firstLineChars="200"/>
              <w:rPr>
                <w:rFonts w:ascii="Verdana" w:hAnsi="Verdana" w:cs="Calibri"/>
                <w:color w:val="000000"/>
                <w:sz w:val="18"/>
                <w:szCs w:val="18"/>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0D63855F"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3E005285"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2D6A9D52"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6E2226EE"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2F3C77FE" w14:textId="77777777">
            <w:pPr>
              <w:rPr>
                <w:rFonts w:ascii="Times New Roman" w:hAnsi="Times New Roman"/>
              </w:rPr>
            </w:pPr>
          </w:p>
        </w:tc>
      </w:tr>
      <w:tr w:rsidRPr="00C41028" w:rsidR="00C41028" w:rsidTr="00C41028" w14:paraId="1D17CB01"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09C6D314" w14:textId="77777777">
            <w:pPr>
              <w:ind w:firstLine="360" w:firstLineChars="200"/>
              <w:rPr>
                <w:rFonts w:ascii="Symbol" w:hAnsi="Symbol" w:cs="Calibri"/>
                <w:color w:val="000000"/>
                <w:sz w:val="18"/>
                <w:szCs w:val="18"/>
              </w:rPr>
            </w:pPr>
            <w:r w:rsidRPr="00C41028">
              <w:rPr>
                <w:rFonts w:ascii="Symbol" w:hAnsi="Symbol" w:cs="Calibri"/>
                <w:color w:val="000000"/>
                <w:sz w:val="18"/>
                <w:szCs w:val="18"/>
              </w:rPr>
              <w:t>·</w:t>
            </w:r>
            <w:r w:rsidRPr="00C41028">
              <w:rPr>
                <w:rFonts w:ascii="Times New Roman" w:hAnsi="Times New Roman"/>
                <w:color w:val="000000"/>
                <w:sz w:val="14"/>
                <w:szCs w:val="14"/>
              </w:rPr>
              <w:t xml:space="preserve">         </w:t>
            </w:r>
            <w:r w:rsidRPr="00C41028">
              <w:rPr>
                <w:rFonts w:ascii="Verdana" w:hAnsi="Verdana" w:cs="Calibri"/>
                <w:color w:val="000000"/>
                <w:sz w:val="18"/>
                <w:szCs w:val="18"/>
              </w:rPr>
              <w:t>Ramingsbijstelling</w:t>
            </w:r>
          </w:p>
        </w:tc>
        <w:tc>
          <w:tcPr>
            <w:tcW w:w="1000" w:type="dxa"/>
            <w:tcBorders>
              <w:top w:val="nil"/>
              <w:left w:val="nil"/>
              <w:bottom w:val="nil"/>
              <w:right w:val="nil"/>
            </w:tcBorders>
            <w:shd w:val="clear" w:color="auto" w:fill="auto"/>
            <w:vAlign w:val="center"/>
            <w:hideMark/>
          </w:tcPr>
          <w:p w:rsidRPr="00C41028" w:rsidR="00C41028" w:rsidP="00C41028" w:rsidRDefault="00C41028" w14:paraId="2B9C68E1"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2A704593" w14:textId="77777777">
            <w:pPr>
              <w:jc w:val="right"/>
              <w:rPr>
                <w:rFonts w:ascii="Verdana" w:hAnsi="Verdana" w:cs="Calibri"/>
                <w:color w:val="000000"/>
                <w:sz w:val="18"/>
                <w:szCs w:val="18"/>
              </w:rPr>
            </w:pPr>
            <w:r w:rsidRPr="00C41028">
              <w:rPr>
                <w:rFonts w:ascii="Verdana" w:hAnsi="Verdana" w:cs="Calibri"/>
                <w:color w:val="000000"/>
                <w:sz w:val="18"/>
                <w:szCs w:val="18"/>
              </w:rPr>
              <w:t>1.085</w:t>
            </w:r>
          </w:p>
        </w:tc>
        <w:tc>
          <w:tcPr>
            <w:tcW w:w="1000" w:type="dxa"/>
            <w:tcBorders>
              <w:top w:val="nil"/>
              <w:left w:val="nil"/>
              <w:bottom w:val="nil"/>
              <w:right w:val="nil"/>
            </w:tcBorders>
            <w:shd w:val="clear" w:color="auto" w:fill="auto"/>
            <w:vAlign w:val="center"/>
            <w:hideMark/>
          </w:tcPr>
          <w:p w:rsidRPr="00C41028" w:rsidR="00C41028" w:rsidP="00C41028" w:rsidRDefault="00C41028" w14:paraId="3029D6F8"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5028B545"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44BEF55A" w14:textId="77777777">
            <w:pPr>
              <w:jc w:val="right"/>
              <w:rPr>
                <w:rFonts w:ascii="Verdana" w:hAnsi="Verdana" w:cs="Calibri"/>
                <w:color w:val="000000"/>
                <w:sz w:val="18"/>
                <w:szCs w:val="18"/>
              </w:rPr>
            </w:pPr>
            <w:r w:rsidRPr="00C41028">
              <w:rPr>
                <w:rFonts w:ascii="Verdana" w:hAnsi="Verdana" w:cs="Calibri"/>
                <w:color w:val="000000"/>
                <w:sz w:val="18"/>
                <w:szCs w:val="18"/>
              </w:rPr>
              <w:t>0</w:t>
            </w:r>
          </w:p>
        </w:tc>
        <w:tc>
          <w:tcPr>
            <w:tcW w:w="1000" w:type="dxa"/>
            <w:tcBorders>
              <w:top w:val="nil"/>
              <w:left w:val="nil"/>
              <w:bottom w:val="nil"/>
              <w:right w:val="nil"/>
            </w:tcBorders>
            <w:shd w:val="clear" w:color="auto" w:fill="auto"/>
            <w:vAlign w:val="center"/>
            <w:hideMark/>
          </w:tcPr>
          <w:p w:rsidRPr="00C41028" w:rsidR="00C41028" w:rsidP="00C41028" w:rsidRDefault="00C41028" w14:paraId="6CD75D00" w14:textId="77777777">
            <w:pPr>
              <w:jc w:val="right"/>
              <w:rPr>
                <w:rFonts w:ascii="Verdana" w:hAnsi="Verdana" w:cs="Calibri"/>
                <w:color w:val="000000"/>
                <w:sz w:val="18"/>
                <w:szCs w:val="18"/>
              </w:rPr>
            </w:pPr>
            <w:r w:rsidRPr="00C41028">
              <w:rPr>
                <w:rFonts w:ascii="Verdana" w:hAnsi="Verdana" w:cs="Calibri"/>
                <w:color w:val="000000"/>
                <w:sz w:val="18"/>
                <w:szCs w:val="18"/>
              </w:rPr>
              <w:t>0</w:t>
            </w:r>
          </w:p>
        </w:tc>
      </w:tr>
      <w:tr w:rsidRPr="00C41028" w:rsidR="00C41028" w:rsidTr="00C41028" w14:paraId="536CD134"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34D39E89"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 xml:space="preserve">3.7: bijdrage </w:t>
            </w:r>
            <w:proofErr w:type="spellStart"/>
            <w:r w:rsidRPr="00C41028">
              <w:rPr>
                <w:rFonts w:ascii="Verdana" w:hAnsi="Verdana" w:cs="Calibri"/>
                <w:color w:val="000000"/>
                <w:sz w:val="18"/>
                <w:szCs w:val="18"/>
              </w:rPr>
              <w:t>ProDemos</w:t>
            </w:r>
            <w:proofErr w:type="spellEnd"/>
          </w:p>
        </w:tc>
        <w:tc>
          <w:tcPr>
            <w:tcW w:w="1000" w:type="dxa"/>
            <w:tcBorders>
              <w:top w:val="nil"/>
              <w:left w:val="nil"/>
              <w:bottom w:val="nil"/>
              <w:right w:val="nil"/>
            </w:tcBorders>
            <w:shd w:val="clear" w:color="auto" w:fill="auto"/>
            <w:vAlign w:val="center"/>
            <w:hideMark/>
          </w:tcPr>
          <w:p w:rsidRPr="00C41028" w:rsidR="00C41028" w:rsidP="00C41028" w:rsidRDefault="00C41028" w14:paraId="3575B7F3" w14:textId="77777777">
            <w:pPr>
              <w:jc w:val="right"/>
              <w:rPr>
                <w:rFonts w:ascii="Verdana" w:hAnsi="Verdana" w:cs="Calibri"/>
                <w:color w:val="000000"/>
                <w:sz w:val="18"/>
                <w:szCs w:val="18"/>
              </w:rPr>
            </w:pPr>
            <w:r w:rsidRPr="00C41028">
              <w:rPr>
                <w:rFonts w:ascii="Verdana" w:hAnsi="Verdana" w:cs="Calibri"/>
                <w:color w:val="000000"/>
                <w:sz w:val="18"/>
                <w:szCs w:val="18"/>
              </w:rPr>
              <w:t>2.468</w:t>
            </w:r>
          </w:p>
        </w:tc>
        <w:tc>
          <w:tcPr>
            <w:tcW w:w="1000" w:type="dxa"/>
            <w:tcBorders>
              <w:top w:val="nil"/>
              <w:left w:val="nil"/>
              <w:bottom w:val="nil"/>
              <w:right w:val="nil"/>
            </w:tcBorders>
            <w:shd w:val="clear" w:color="auto" w:fill="auto"/>
            <w:vAlign w:val="center"/>
            <w:hideMark/>
          </w:tcPr>
          <w:p w:rsidRPr="00C41028" w:rsidR="00C41028" w:rsidP="00C41028" w:rsidRDefault="00C41028" w14:paraId="001EB861" w14:textId="77777777">
            <w:pPr>
              <w:jc w:val="right"/>
              <w:rPr>
                <w:rFonts w:ascii="Verdana" w:hAnsi="Verdana" w:cs="Calibri"/>
                <w:color w:val="000000"/>
                <w:sz w:val="18"/>
                <w:szCs w:val="18"/>
              </w:rPr>
            </w:pPr>
            <w:r w:rsidRPr="00C41028">
              <w:rPr>
                <w:rFonts w:ascii="Verdana" w:hAnsi="Verdana" w:cs="Calibri"/>
                <w:color w:val="000000"/>
                <w:sz w:val="18"/>
                <w:szCs w:val="18"/>
              </w:rPr>
              <w:t>2.468</w:t>
            </w:r>
          </w:p>
        </w:tc>
        <w:tc>
          <w:tcPr>
            <w:tcW w:w="1000" w:type="dxa"/>
            <w:tcBorders>
              <w:top w:val="nil"/>
              <w:left w:val="nil"/>
              <w:bottom w:val="nil"/>
              <w:right w:val="nil"/>
            </w:tcBorders>
            <w:shd w:val="clear" w:color="auto" w:fill="auto"/>
            <w:vAlign w:val="center"/>
            <w:hideMark/>
          </w:tcPr>
          <w:p w:rsidRPr="00C41028" w:rsidR="00C41028" w:rsidP="00C41028" w:rsidRDefault="00C41028" w14:paraId="3593FF36" w14:textId="77777777">
            <w:pPr>
              <w:jc w:val="right"/>
              <w:rPr>
                <w:rFonts w:ascii="Verdana" w:hAnsi="Verdana" w:cs="Calibri"/>
                <w:color w:val="000000"/>
                <w:sz w:val="18"/>
                <w:szCs w:val="18"/>
              </w:rPr>
            </w:pPr>
            <w:r w:rsidRPr="00C41028">
              <w:rPr>
                <w:rFonts w:ascii="Verdana" w:hAnsi="Verdana" w:cs="Calibri"/>
                <w:color w:val="000000"/>
                <w:sz w:val="18"/>
                <w:szCs w:val="18"/>
              </w:rPr>
              <w:t>2.468</w:t>
            </w:r>
          </w:p>
        </w:tc>
        <w:tc>
          <w:tcPr>
            <w:tcW w:w="1000" w:type="dxa"/>
            <w:tcBorders>
              <w:top w:val="nil"/>
              <w:left w:val="nil"/>
              <w:bottom w:val="nil"/>
              <w:right w:val="nil"/>
            </w:tcBorders>
            <w:shd w:val="clear" w:color="auto" w:fill="auto"/>
            <w:vAlign w:val="center"/>
            <w:hideMark/>
          </w:tcPr>
          <w:p w:rsidRPr="00C41028" w:rsidR="00C41028" w:rsidP="00C41028" w:rsidRDefault="00C41028" w14:paraId="09B28746" w14:textId="77777777">
            <w:pPr>
              <w:jc w:val="right"/>
              <w:rPr>
                <w:rFonts w:ascii="Verdana" w:hAnsi="Verdana" w:cs="Calibri"/>
                <w:color w:val="000000"/>
                <w:sz w:val="18"/>
                <w:szCs w:val="18"/>
              </w:rPr>
            </w:pPr>
            <w:r w:rsidRPr="00C41028">
              <w:rPr>
                <w:rFonts w:ascii="Verdana" w:hAnsi="Verdana" w:cs="Calibri"/>
                <w:color w:val="000000"/>
                <w:sz w:val="18"/>
                <w:szCs w:val="18"/>
              </w:rPr>
              <w:t>2.468</w:t>
            </w:r>
          </w:p>
        </w:tc>
        <w:tc>
          <w:tcPr>
            <w:tcW w:w="1000" w:type="dxa"/>
            <w:tcBorders>
              <w:top w:val="nil"/>
              <w:left w:val="nil"/>
              <w:bottom w:val="nil"/>
              <w:right w:val="nil"/>
            </w:tcBorders>
            <w:shd w:val="clear" w:color="auto" w:fill="auto"/>
            <w:vAlign w:val="center"/>
            <w:hideMark/>
          </w:tcPr>
          <w:p w:rsidRPr="00C41028" w:rsidR="00C41028" w:rsidP="00C41028" w:rsidRDefault="00C41028" w14:paraId="20FC4353" w14:textId="77777777">
            <w:pPr>
              <w:jc w:val="right"/>
              <w:rPr>
                <w:rFonts w:ascii="Verdana" w:hAnsi="Verdana" w:cs="Calibri"/>
                <w:color w:val="000000"/>
                <w:sz w:val="18"/>
                <w:szCs w:val="18"/>
              </w:rPr>
            </w:pPr>
            <w:r w:rsidRPr="00C41028">
              <w:rPr>
                <w:rFonts w:ascii="Verdana" w:hAnsi="Verdana" w:cs="Calibri"/>
                <w:color w:val="000000"/>
                <w:sz w:val="18"/>
                <w:szCs w:val="18"/>
              </w:rPr>
              <w:t>2.468</w:t>
            </w:r>
          </w:p>
        </w:tc>
        <w:tc>
          <w:tcPr>
            <w:tcW w:w="1000" w:type="dxa"/>
            <w:tcBorders>
              <w:top w:val="nil"/>
              <w:left w:val="nil"/>
              <w:bottom w:val="nil"/>
              <w:right w:val="nil"/>
            </w:tcBorders>
            <w:shd w:val="clear" w:color="auto" w:fill="auto"/>
            <w:vAlign w:val="center"/>
            <w:hideMark/>
          </w:tcPr>
          <w:p w:rsidRPr="00C41028" w:rsidR="00C41028" w:rsidP="00C41028" w:rsidRDefault="00C41028" w14:paraId="08AF9827" w14:textId="77777777">
            <w:pPr>
              <w:jc w:val="right"/>
              <w:rPr>
                <w:rFonts w:ascii="Verdana" w:hAnsi="Verdana" w:cs="Calibri"/>
                <w:color w:val="000000"/>
                <w:sz w:val="18"/>
                <w:szCs w:val="18"/>
              </w:rPr>
            </w:pPr>
            <w:r w:rsidRPr="00C41028">
              <w:rPr>
                <w:rFonts w:ascii="Verdana" w:hAnsi="Verdana" w:cs="Calibri"/>
                <w:color w:val="000000"/>
                <w:sz w:val="18"/>
                <w:szCs w:val="18"/>
              </w:rPr>
              <w:t>2.468</w:t>
            </w:r>
          </w:p>
        </w:tc>
      </w:tr>
      <w:tr w:rsidRPr="00C41028" w:rsidR="00C41028" w:rsidTr="00C41028" w14:paraId="51D6EA7E"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10A2AB35" w14:textId="77777777">
            <w:pPr>
              <w:jc w:val="right"/>
              <w:rPr>
                <w:rFonts w:ascii="Verdana" w:hAnsi="Verdana" w:cs="Calibri"/>
                <w:color w:val="000000"/>
                <w:sz w:val="18"/>
                <w:szCs w:val="18"/>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4B8ED8A2" w14:textId="77777777">
            <w:pPr>
              <w:ind w:firstLine="400" w:firstLineChars="200"/>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4219AA86"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6DAFB131"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082D8ED4"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56CD0F64" w14:textId="77777777">
            <w:pPr>
              <w:rPr>
                <w:rFonts w:ascii="Times New Roman" w:hAnsi="Times New Roman"/>
              </w:rPr>
            </w:pPr>
          </w:p>
        </w:tc>
        <w:tc>
          <w:tcPr>
            <w:tcW w:w="1000" w:type="dxa"/>
            <w:tcBorders>
              <w:top w:val="nil"/>
              <w:left w:val="nil"/>
              <w:bottom w:val="nil"/>
              <w:right w:val="nil"/>
            </w:tcBorders>
            <w:shd w:val="clear" w:color="auto" w:fill="auto"/>
            <w:vAlign w:val="center"/>
            <w:hideMark/>
          </w:tcPr>
          <w:p w:rsidRPr="00C41028" w:rsidR="00C41028" w:rsidP="00C41028" w:rsidRDefault="00C41028" w14:paraId="13D447E5" w14:textId="77777777">
            <w:pPr>
              <w:rPr>
                <w:rFonts w:ascii="Times New Roman" w:hAnsi="Times New Roman"/>
              </w:rPr>
            </w:pPr>
          </w:p>
        </w:tc>
      </w:tr>
      <w:tr w:rsidRPr="00C41028" w:rsidR="00C41028" w:rsidTr="00C41028" w14:paraId="1EB802BE"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3CEEB67F"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Ontvangsten*</w:t>
            </w:r>
          </w:p>
        </w:tc>
        <w:tc>
          <w:tcPr>
            <w:tcW w:w="1000" w:type="dxa"/>
            <w:tcBorders>
              <w:top w:val="nil"/>
              <w:left w:val="nil"/>
              <w:bottom w:val="nil"/>
              <w:right w:val="nil"/>
            </w:tcBorders>
            <w:shd w:val="clear" w:color="auto" w:fill="auto"/>
            <w:vAlign w:val="center"/>
            <w:hideMark/>
          </w:tcPr>
          <w:p w:rsidRPr="00C41028" w:rsidR="00C41028" w:rsidP="00C41028" w:rsidRDefault="00C41028" w14:paraId="2CDBEDFF" w14:textId="77777777">
            <w:pPr>
              <w:jc w:val="right"/>
              <w:rPr>
                <w:rFonts w:ascii="Verdana" w:hAnsi="Verdana" w:cs="Calibri"/>
                <w:b/>
                <w:bCs/>
                <w:color w:val="000000"/>
                <w:sz w:val="18"/>
                <w:szCs w:val="18"/>
              </w:rPr>
            </w:pPr>
            <w:r w:rsidRPr="00C41028">
              <w:rPr>
                <w:rFonts w:ascii="Verdana" w:hAnsi="Verdana" w:cs="Calibri"/>
                <w:b/>
                <w:bCs/>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0C460A89" w14:textId="77777777">
            <w:pPr>
              <w:jc w:val="right"/>
              <w:rPr>
                <w:rFonts w:ascii="Verdana" w:hAnsi="Verdana" w:cs="Calibri"/>
                <w:b/>
                <w:bCs/>
                <w:color w:val="000000"/>
                <w:sz w:val="18"/>
                <w:szCs w:val="18"/>
              </w:rPr>
            </w:pPr>
            <w:r w:rsidRPr="00C41028">
              <w:rPr>
                <w:rFonts w:ascii="Verdana" w:hAnsi="Verdana" w:cs="Calibri"/>
                <w:b/>
                <w:bCs/>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760ED467" w14:textId="77777777">
            <w:pPr>
              <w:jc w:val="right"/>
              <w:rPr>
                <w:rFonts w:ascii="Verdana" w:hAnsi="Verdana" w:cs="Calibri"/>
                <w:b/>
                <w:bCs/>
                <w:color w:val="000000"/>
                <w:sz w:val="18"/>
                <w:szCs w:val="18"/>
              </w:rPr>
            </w:pPr>
            <w:r w:rsidRPr="00C41028">
              <w:rPr>
                <w:rFonts w:ascii="Verdana" w:hAnsi="Verdana" w:cs="Calibri"/>
                <w:b/>
                <w:bCs/>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31F75AD2" w14:textId="77777777">
            <w:pPr>
              <w:jc w:val="right"/>
              <w:rPr>
                <w:rFonts w:ascii="Verdana" w:hAnsi="Verdana" w:cs="Calibri"/>
                <w:b/>
                <w:bCs/>
                <w:color w:val="000000"/>
                <w:sz w:val="18"/>
                <w:szCs w:val="18"/>
              </w:rPr>
            </w:pPr>
            <w:r w:rsidRPr="00C41028">
              <w:rPr>
                <w:rFonts w:ascii="Verdana" w:hAnsi="Verdana" w:cs="Calibri"/>
                <w:b/>
                <w:bCs/>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7963F73D" w14:textId="77777777">
            <w:pPr>
              <w:jc w:val="right"/>
              <w:rPr>
                <w:rFonts w:ascii="Verdana" w:hAnsi="Verdana" w:cs="Calibri"/>
                <w:b/>
                <w:bCs/>
                <w:color w:val="000000"/>
                <w:sz w:val="18"/>
                <w:szCs w:val="18"/>
              </w:rPr>
            </w:pPr>
            <w:r w:rsidRPr="00C41028">
              <w:rPr>
                <w:rFonts w:ascii="Verdana" w:hAnsi="Verdana" w:cs="Calibri"/>
                <w:b/>
                <w:bCs/>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0B10CDE8" w14:textId="77777777">
            <w:pPr>
              <w:jc w:val="right"/>
              <w:rPr>
                <w:rFonts w:ascii="Verdana" w:hAnsi="Verdana" w:cs="Calibri"/>
                <w:b/>
                <w:bCs/>
                <w:color w:val="000000"/>
                <w:sz w:val="18"/>
                <w:szCs w:val="18"/>
              </w:rPr>
            </w:pPr>
            <w:r w:rsidRPr="00C41028">
              <w:rPr>
                <w:rFonts w:ascii="Verdana" w:hAnsi="Verdana" w:cs="Calibri"/>
                <w:b/>
                <w:bCs/>
                <w:color w:val="000000"/>
                <w:sz w:val="18"/>
                <w:szCs w:val="18"/>
              </w:rPr>
              <w:t>3.939</w:t>
            </w:r>
          </w:p>
        </w:tc>
      </w:tr>
      <w:tr w:rsidRPr="00C41028" w:rsidR="00C41028" w:rsidTr="00C41028" w14:paraId="7B664DE8" w14:textId="77777777">
        <w:trPr>
          <w:trHeight w:val="300"/>
        </w:trPr>
        <w:tc>
          <w:tcPr>
            <w:tcW w:w="4180" w:type="dxa"/>
            <w:tcBorders>
              <w:top w:val="nil"/>
              <w:left w:val="nil"/>
              <w:bottom w:val="nil"/>
              <w:right w:val="nil"/>
            </w:tcBorders>
            <w:shd w:val="clear" w:color="auto" w:fill="auto"/>
            <w:vAlign w:val="center"/>
            <w:hideMark/>
          </w:tcPr>
          <w:p w:rsidRPr="00C41028" w:rsidR="00C41028" w:rsidP="00C41028" w:rsidRDefault="00C41028" w14:paraId="144DF51D" w14:textId="77777777">
            <w:pPr>
              <w:ind w:firstLine="360" w:firstLineChars="200"/>
              <w:rPr>
                <w:rFonts w:ascii="Verdana" w:hAnsi="Verdana" w:cs="Calibri"/>
                <w:color w:val="000000"/>
                <w:sz w:val="18"/>
                <w:szCs w:val="18"/>
              </w:rPr>
            </w:pPr>
            <w:r w:rsidRPr="00C41028">
              <w:rPr>
                <w:rFonts w:ascii="Verdana" w:hAnsi="Verdana" w:cs="Calibri"/>
                <w:color w:val="000000"/>
                <w:sz w:val="18"/>
                <w:szCs w:val="18"/>
              </w:rPr>
              <w:t>3. Ontvangsten</w:t>
            </w:r>
          </w:p>
        </w:tc>
        <w:tc>
          <w:tcPr>
            <w:tcW w:w="1000" w:type="dxa"/>
            <w:tcBorders>
              <w:top w:val="nil"/>
              <w:left w:val="nil"/>
              <w:bottom w:val="nil"/>
              <w:right w:val="nil"/>
            </w:tcBorders>
            <w:shd w:val="clear" w:color="auto" w:fill="auto"/>
            <w:vAlign w:val="center"/>
            <w:hideMark/>
          </w:tcPr>
          <w:p w:rsidRPr="00C41028" w:rsidR="00C41028" w:rsidP="00C41028" w:rsidRDefault="00C41028" w14:paraId="0DC114F5" w14:textId="77777777">
            <w:pPr>
              <w:jc w:val="right"/>
              <w:rPr>
                <w:rFonts w:ascii="Verdana" w:hAnsi="Verdana" w:cs="Calibri"/>
                <w:color w:val="000000"/>
                <w:sz w:val="18"/>
                <w:szCs w:val="18"/>
              </w:rPr>
            </w:pPr>
            <w:r w:rsidRPr="00C41028">
              <w:rPr>
                <w:rFonts w:ascii="Verdana" w:hAnsi="Verdana" w:cs="Calibri"/>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434DB00E" w14:textId="77777777">
            <w:pPr>
              <w:jc w:val="right"/>
              <w:rPr>
                <w:rFonts w:ascii="Verdana" w:hAnsi="Verdana" w:cs="Calibri"/>
                <w:color w:val="000000"/>
                <w:sz w:val="18"/>
                <w:szCs w:val="18"/>
              </w:rPr>
            </w:pPr>
            <w:r w:rsidRPr="00C41028">
              <w:rPr>
                <w:rFonts w:ascii="Verdana" w:hAnsi="Verdana" w:cs="Calibri"/>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1667D3A4" w14:textId="77777777">
            <w:pPr>
              <w:jc w:val="right"/>
              <w:rPr>
                <w:rFonts w:ascii="Verdana" w:hAnsi="Verdana" w:cs="Calibri"/>
                <w:color w:val="000000"/>
                <w:sz w:val="18"/>
                <w:szCs w:val="18"/>
              </w:rPr>
            </w:pPr>
            <w:r w:rsidRPr="00C41028">
              <w:rPr>
                <w:rFonts w:ascii="Verdana" w:hAnsi="Verdana" w:cs="Calibri"/>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282F0A27" w14:textId="77777777">
            <w:pPr>
              <w:jc w:val="right"/>
              <w:rPr>
                <w:rFonts w:ascii="Verdana" w:hAnsi="Verdana" w:cs="Calibri"/>
                <w:color w:val="000000"/>
                <w:sz w:val="18"/>
                <w:szCs w:val="18"/>
              </w:rPr>
            </w:pPr>
            <w:r w:rsidRPr="00C41028">
              <w:rPr>
                <w:rFonts w:ascii="Verdana" w:hAnsi="Verdana" w:cs="Calibri"/>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2FA55043" w14:textId="77777777">
            <w:pPr>
              <w:jc w:val="right"/>
              <w:rPr>
                <w:rFonts w:ascii="Verdana" w:hAnsi="Verdana" w:cs="Calibri"/>
                <w:color w:val="000000"/>
                <w:sz w:val="18"/>
                <w:szCs w:val="18"/>
              </w:rPr>
            </w:pPr>
            <w:r w:rsidRPr="00C41028">
              <w:rPr>
                <w:rFonts w:ascii="Verdana" w:hAnsi="Verdana" w:cs="Calibri"/>
                <w:color w:val="000000"/>
                <w:sz w:val="18"/>
                <w:szCs w:val="18"/>
              </w:rPr>
              <w:t>3.939</w:t>
            </w:r>
          </w:p>
        </w:tc>
        <w:tc>
          <w:tcPr>
            <w:tcW w:w="1000" w:type="dxa"/>
            <w:tcBorders>
              <w:top w:val="nil"/>
              <w:left w:val="nil"/>
              <w:bottom w:val="nil"/>
              <w:right w:val="nil"/>
            </w:tcBorders>
            <w:shd w:val="clear" w:color="auto" w:fill="auto"/>
            <w:vAlign w:val="center"/>
            <w:hideMark/>
          </w:tcPr>
          <w:p w:rsidRPr="00C41028" w:rsidR="00C41028" w:rsidP="00C41028" w:rsidRDefault="00C41028" w14:paraId="7404E8DD" w14:textId="77777777">
            <w:pPr>
              <w:jc w:val="right"/>
              <w:rPr>
                <w:rFonts w:ascii="Verdana" w:hAnsi="Verdana" w:cs="Calibri"/>
                <w:color w:val="000000"/>
                <w:sz w:val="18"/>
                <w:szCs w:val="18"/>
              </w:rPr>
            </w:pPr>
            <w:r w:rsidRPr="00C41028">
              <w:rPr>
                <w:rFonts w:ascii="Verdana" w:hAnsi="Verdana" w:cs="Calibri"/>
                <w:color w:val="000000"/>
                <w:sz w:val="18"/>
                <w:szCs w:val="18"/>
              </w:rPr>
              <w:t>3.939</w:t>
            </w:r>
          </w:p>
        </w:tc>
      </w:tr>
    </w:tbl>
    <w:p w:rsidRPr="00146FD3" w:rsidR="00146FD3" w:rsidP="00654798" w:rsidRDefault="00146FD3" w14:paraId="5E09DF3F" w14:textId="78ED422D">
      <w:pPr>
        <w:pStyle w:val="Lijstalinea"/>
        <w:widowControl w:val="0"/>
        <w:autoSpaceDE w:val="0"/>
        <w:autoSpaceDN w:val="0"/>
        <w:adjustRightInd w:val="0"/>
        <w:spacing w:line="240" w:lineRule="atLeast"/>
        <w:rPr>
          <w:bCs/>
          <w:szCs w:val="18"/>
        </w:rPr>
      </w:pPr>
    </w:p>
    <w:p w:rsidRPr="00146FD3" w:rsidR="00146FD3" w:rsidP="00654798" w:rsidRDefault="00146FD3" w14:paraId="66384254" w14:textId="68F9DAE8">
      <w:pPr>
        <w:widowControl w:val="0"/>
        <w:autoSpaceDE w:val="0"/>
        <w:autoSpaceDN w:val="0"/>
        <w:adjustRightInd w:val="0"/>
        <w:spacing w:line="240" w:lineRule="atLeast"/>
        <w:rPr>
          <w:rFonts w:ascii="Verdana" w:hAnsi="Verdana"/>
          <w:bCs/>
          <w:i/>
          <w:sz w:val="16"/>
          <w:szCs w:val="16"/>
        </w:rPr>
      </w:pPr>
      <w:r w:rsidRPr="00146FD3">
        <w:rPr>
          <w:rFonts w:ascii="Verdana" w:hAnsi="Verdana"/>
          <w:bCs/>
          <w:i/>
          <w:sz w:val="16"/>
          <w:szCs w:val="16"/>
        </w:rPr>
        <w:t>*</w:t>
      </w:r>
      <w:r w:rsidRPr="00146FD3">
        <w:rPr>
          <w:i/>
          <w:sz w:val="16"/>
          <w:szCs w:val="16"/>
        </w:rPr>
        <w:t xml:space="preserve"> bedragen inclusief Ramingsbijstellingen</w:t>
      </w:r>
    </w:p>
    <w:p w:rsidRPr="00B53737" w:rsidR="00146FD3" w:rsidP="00654798" w:rsidRDefault="00146FD3" w14:paraId="1D331143" w14:textId="77777777">
      <w:pPr>
        <w:widowControl w:val="0"/>
        <w:autoSpaceDE w:val="0"/>
        <w:autoSpaceDN w:val="0"/>
        <w:adjustRightInd w:val="0"/>
        <w:spacing w:line="240" w:lineRule="atLeast"/>
        <w:rPr>
          <w:rFonts w:ascii="Verdana" w:hAnsi="Verdana"/>
          <w:bCs/>
          <w:sz w:val="18"/>
          <w:szCs w:val="18"/>
        </w:rPr>
      </w:pPr>
    </w:p>
    <w:p w:rsidR="00DC63F0" w:rsidP="00654798" w:rsidRDefault="00DC63F0" w14:paraId="0407930E" w14:textId="77777777">
      <w:pPr>
        <w:spacing w:line="240" w:lineRule="atLeast"/>
        <w:rPr>
          <w:rFonts w:ascii="Verdana" w:hAnsi="Verdana"/>
          <w:sz w:val="18"/>
          <w:szCs w:val="18"/>
        </w:rPr>
      </w:pPr>
    </w:p>
    <w:p w:rsidR="009F0083" w:rsidP="00654798" w:rsidRDefault="009F0083" w14:paraId="71EB7831" w14:textId="77777777">
      <w:pPr>
        <w:spacing w:line="240" w:lineRule="atLeast"/>
        <w:rPr>
          <w:rFonts w:ascii="Verdana" w:hAnsi="Verdana"/>
          <w:sz w:val="18"/>
          <w:szCs w:val="18"/>
        </w:rPr>
      </w:pPr>
      <w:r>
        <w:rPr>
          <w:rFonts w:ascii="Verdana" w:hAnsi="Verdana"/>
          <w:sz w:val="18"/>
          <w:szCs w:val="18"/>
        </w:rPr>
        <w:br w:type="page"/>
      </w:r>
    </w:p>
    <w:p w:rsidR="00DC63F0" w:rsidP="00654798" w:rsidRDefault="00BE4E45" w14:paraId="30181409" w14:textId="0BDB2A1E">
      <w:pPr>
        <w:spacing w:line="240" w:lineRule="atLeast"/>
        <w:rPr>
          <w:rFonts w:ascii="Verdana" w:hAnsi="Verdana"/>
          <w:sz w:val="18"/>
          <w:szCs w:val="18"/>
        </w:rPr>
      </w:pPr>
      <w:r>
        <w:rPr>
          <w:rFonts w:ascii="Verdana" w:hAnsi="Verdana"/>
          <w:sz w:val="18"/>
          <w:szCs w:val="18"/>
        </w:rPr>
        <w:t>Toelichting mutaties Voorjaarsnota:</w:t>
      </w:r>
    </w:p>
    <w:p w:rsidR="00011146" w:rsidP="00654798" w:rsidRDefault="00011146" w14:paraId="52979D39" w14:textId="77777777">
      <w:pPr>
        <w:spacing w:line="240" w:lineRule="atLeast"/>
        <w:rPr>
          <w:rFonts w:ascii="Verdana" w:hAnsi="Verdana"/>
          <w:sz w:val="18"/>
          <w:szCs w:val="18"/>
        </w:rPr>
      </w:pPr>
    </w:p>
    <w:p w:rsidR="00714908" w:rsidP="00654798" w:rsidRDefault="51825749" w14:paraId="0943439A" w14:textId="03672835">
      <w:pPr>
        <w:spacing w:line="240" w:lineRule="atLeast"/>
        <w:rPr>
          <w:rFonts w:ascii="Verdana" w:hAnsi="Verdana"/>
          <w:sz w:val="18"/>
          <w:szCs w:val="18"/>
        </w:rPr>
      </w:pPr>
      <w:r w:rsidRPr="009138B2">
        <w:rPr>
          <w:rFonts w:ascii="Verdana" w:hAnsi="Verdana"/>
          <w:sz w:val="18"/>
          <w:szCs w:val="18"/>
        </w:rPr>
        <w:t>Artikel</w:t>
      </w:r>
      <w:r w:rsidR="007A451F">
        <w:rPr>
          <w:rFonts w:ascii="Verdana" w:hAnsi="Verdana"/>
          <w:sz w:val="18"/>
          <w:szCs w:val="18"/>
        </w:rPr>
        <w:t>onderdeel</w:t>
      </w:r>
      <w:r w:rsidRPr="009138B2">
        <w:rPr>
          <w:rFonts w:ascii="Verdana" w:hAnsi="Verdana"/>
          <w:sz w:val="18"/>
          <w:szCs w:val="18"/>
        </w:rPr>
        <w:t xml:space="preserve"> 3.1 Apparaat</w:t>
      </w:r>
    </w:p>
    <w:p w:rsidRPr="00EA0C3D" w:rsidR="00BE4E45" w:rsidP="00654798" w:rsidRDefault="00BE4E45" w14:paraId="1727F52D" w14:textId="07E5A66F">
      <w:pPr>
        <w:spacing w:line="240" w:lineRule="atLeast"/>
        <w:rPr>
          <w:rFonts w:ascii="Verdana" w:hAnsi="Verdana"/>
          <w:i/>
          <w:sz w:val="18"/>
          <w:szCs w:val="18"/>
        </w:rPr>
      </w:pPr>
    </w:p>
    <w:p w:rsidRPr="00EA0C3D" w:rsidR="004A3F8C" w:rsidP="004A3F8C" w:rsidRDefault="004A3F8C" w14:paraId="4E5D9C3C" w14:textId="77777777">
      <w:pPr>
        <w:spacing w:line="240" w:lineRule="atLeast"/>
        <w:rPr>
          <w:rFonts w:ascii="Verdana" w:hAnsi="Verdana"/>
          <w:i/>
          <w:sz w:val="18"/>
          <w:szCs w:val="18"/>
        </w:rPr>
      </w:pPr>
      <w:r w:rsidRPr="00EA0C3D">
        <w:rPr>
          <w:rFonts w:ascii="Verdana" w:hAnsi="Verdana"/>
          <w:i/>
          <w:sz w:val="18"/>
          <w:szCs w:val="18"/>
        </w:rPr>
        <w:t>Algemeen</w:t>
      </w:r>
    </w:p>
    <w:p w:rsidR="00CF5541" w:rsidP="004A3F8C" w:rsidRDefault="00CF5541" w14:paraId="37FE505C" w14:textId="77777777">
      <w:pPr>
        <w:spacing w:line="240" w:lineRule="atLeast"/>
        <w:rPr>
          <w:rFonts w:ascii="Verdana" w:hAnsi="Verdana"/>
          <w:i/>
          <w:sz w:val="18"/>
          <w:szCs w:val="18"/>
        </w:rPr>
      </w:pPr>
    </w:p>
    <w:p w:rsidRPr="00EF7F2D" w:rsidR="00CF5541" w:rsidP="004A3F8C" w:rsidRDefault="00CF5541" w14:paraId="597FAC9F" w14:textId="5DE0AB2C">
      <w:pPr>
        <w:spacing w:line="240" w:lineRule="atLeast"/>
        <w:rPr>
          <w:rFonts w:ascii="Verdana" w:hAnsi="Verdana"/>
          <w:i/>
          <w:sz w:val="18"/>
          <w:szCs w:val="18"/>
        </w:rPr>
      </w:pPr>
      <w:r w:rsidRPr="00EF7F2D">
        <w:rPr>
          <w:rFonts w:ascii="Verdana" w:hAnsi="Verdana"/>
          <w:sz w:val="18"/>
          <w:szCs w:val="18"/>
        </w:rPr>
        <w:t xml:space="preserve">De mutaties in de Voorjaarsnota 2025 op artikelonderdeel 3.1 fluctueren over de periode 2025–2030. Dit heeft te maken met incidentele uitgaven. Zonder deze incidentele uitgaven stijgt dit artikelonderdeel met circa € </w:t>
      </w:r>
      <w:r w:rsidRPr="00EF7F2D" w:rsidR="001B44A6">
        <w:rPr>
          <w:rFonts w:ascii="Verdana" w:hAnsi="Verdana"/>
          <w:sz w:val="18"/>
          <w:szCs w:val="18"/>
        </w:rPr>
        <w:t>3,2 mln.</w:t>
      </w:r>
      <w:r w:rsidRPr="00EF7F2D">
        <w:rPr>
          <w:rFonts w:ascii="Verdana" w:hAnsi="Verdana"/>
          <w:sz w:val="18"/>
          <w:szCs w:val="18"/>
        </w:rPr>
        <w:t xml:space="preserve"> structureel.</w:t>
      </w:r>
    </w:p>
    <w:p w:rsidRPr="00EA0C3D" w:rsidR="00CF5541" w:rsidP="004A3F8C" w:rsidRDefault="00CF5541" w14:paraId="3235C076" w14:textId="77777777">
      <w:pPr>
        <w:spacing w:line="240" w:lineRule="atLeast"/>
        <w:rPr>
          <w:rFonts w:ascii="Verdana" w:hAnsi="Verdana"/>
          <w:i/>
          <w:sz w:val="18"/>
          <w:szCs w:val="18"/>
        </w:rPr>
      </w:pPr>
    </w:p>
    <w:p w:rsidR="004A3F8C" w:rsidP="004A3F8C" w:rsidRDefault="004A3F8C" w14:paraId="783F922B" w14:textId="3A3612C3">
      <w:pPr>
        <w:spacing w:line="240" w:lineRule="atLeast"/>
        <w:rPr>
          <w:rFonts w:ascii="Verdana" w:hAnsi="Verdana"/>
          <w:sz w:val="18"/>
          <w:szCs w:val="18"/>
        </w:rPr>
      </w:pPr>
      <w:r w:rsidRPr="00164560">
        <w:rPr>
          <w:rFonts w:ascii="Verdana" w:hAnsi="Verdana"/>
          <w:sz w:val="18"/>
          <w:szCs w:val="18"/>
        </w:rPr>
        <w:t xml:space="preserve">In 2025 wordt de begroting </w:t>
      </w:r>
      <w:r>
        <w:rPr>
          <w:rFonts w:ascii="Verdana" w:hAnsi="Verdana"/>
          <w:sz w:val="18"/>
          <w:szCs w:val="18"/>
        </w:rPr>
        <w:t xml:space="preserve">van de ambtelijke artikelen </w:t>
      </w:r>
      <w:r w:rsidRPr="00164560">
        <w:rPr>
          <w:rFonts w:ascii="Verdana" w:hAnsi="Verdana"/>
          <w:sz w:val="18"/>
          <w:szCs w:val="18"/>
        </w:rPr>
        <w:t xml:space="preserve">opgehoogd met € </w:t>
      </w:r>
      <w:r w:rsidR="00591E1D">
        <w:rPr>
          <w:rFonts w:ascii="Verdana" w:hAnsi="Verdana"/>
          <w:sz w:val="18"/>
          <w:szCs w:val="18"/>
        </w:rPr>
        <w:t>10,6</w:t>
      </w:r>
      <w:r w:rsidRPr="00164560">
        <w:rPr>
          <w:rFonts w:ascii="Verdana" w:hAnsi="Verdana"/>
          <w:sz w:val="18"/>
          <w:szCs w:val="18"/>
        </w:rPr>
        <w:t xml:space="preserve"> mln. </w:t>
      </w:r>
      <w:r>
        <w:rPr>
          <w:rFonts w:ascii="Verdana" w:hAnsi="Verdana"/>
          <w:sz w:val="18"/>
          <w:szCs w:val="18"/>
        </w:rPr>
        <w:t>Dit</w:t>
      </w:r>
      <w:r w:rsidRPr="00164560">
        <w:rPr>
          <w:rFonts w:ascii="Verdana" w:hAnsi="Verdana"/>
          <w:sz w:val="18"/>
          <w:szCs w:val="18"/>
        </w:rPr>
        <w:t xml:space="preserve"> bedrag </w:t>
      </w:r>
      <w:r>
        <w:rPr>
          <w:rFonts w:ascii="Verdana" w:hAnsi="Verdana"/>
          <w:sz w:val="18"/>
          <w:szCs w:val="18"/>
        </w:rPr>
        <w:t>bestaat voornamelijk uit</w:t>
      </w:r>
      <w:r w:rsidRPr="00164560">
        <w:rPr>
          <w:rFonts w:ascii="Verdana" w:hAnsi="Verdana"/>
          <w:sz w:val="18"/>
          <w:szCs w:val="18"/>
        </w:rPr>
        <w:t xml:space="preserve"> incidentele uitgaven van ca € </w:t>
      </w:r>
      <w:r w:rsidR="00591E1D">
        <w:rPr>
          <w:rFonts w:ascii="Verdana" w:hAnsi="Verdana"/>
          <w:sz w:val="18"/>
          <w:szCs w:val="18"/>
        </w:rPr>
        <w:t>9,1</w:t>
      </w:r>
      <w:r w:rsidRPr="00164560">
        <w:rPr>
          <w:rFonts w:ascii="Verdana" w:hAnsi="Verdana"/>
          <w:sz w:val="18"/>
          <w:szCs w:val="18"/>
        </w:rPr>
        <w:t xml:space="preserve"> mln. voor de uitvoering van beveiligingsmaatregelen, overlap beheercontracten</w:t>
      </w:r>
      <w:r>
        <w:rPr>
          <w:rFonts w:ascii="Verdana" w:hAnsi="Verdana"/>
          <w:sz w:val="18"/>
          <w:szCs w:val="18"/>
        </w:rPr>
        <w:t xml:space="preserve"> van</w:t>
      </w:r>
      <w:r w:rsidRPr="00164560">
        <w:rPr>
          <w:rFonts w:ascii="Verdana" w:hAnsi="Verdana"/>
          <w:sz w:val="18"/>
          <w:szCs w:val="18"/>
        </w:rPr>
        <w:t xml:space="preserve"> dubbele werkplekken en archiefbewerking. </w:t>
      </w:r>
    </w:p>
    <w:p w:rsidRPr="00CF5204" w:rsidR="004A3F8C" w:rsidP="004A3F8C" w:rsidRDefault="004A3F8C" w14:paraId="572E2B48" w14:textId="77777777">
      <w:pPr>
        <w:spacing w:line="240" w:lineRule="atLeast"/>
        <w:rPr>
          <w:rFonts w:ascii="Verdana" w:hAnsi="Verdana"/>
          <w:sz w:val="18"/>
          <w:szCs w:val="18"/>
        </w:rPr>
      </w:pPr>
    </w:p>
    <w:p w:rsidRPr="00793EEA" w:rsidR="004A3F8C" w:rsidP="004A3F8C" w:rsidRDefault="004A3F8C" w14:paraId="39D77CCC" w14:textId="77777777">
      <w:pPr>
        <w:spacing w:line="240" w:lineRule="atLeast"/>
        <w:rPr>
          <w:rFonts w:ascii="Verdana" w:hAnsi="Verdana"/>
          <w:i/>
          <w:sz w:val="18"/>
          <w:szCs w:val="18"/>
        </w:rPr>
      </w:pPr>
      <w:r w:rsidRPr="00793EEA">
        <w:rPr>
          <w:rFonts w:ascii="Verdana" w:hAnsi="Verdana"/>
          <w:i/>
          <w:sz w:val="18"/>
          <w:szCs w:val="18"/>
        </w:rPr>
        <w:t>Toelichting per mutatie uit tabel 4, 3.1: apparaat</w:t>
      </w:r>
    </w:p>
    <w:p w:rsidRPr="00793EEA" w:rsidR="004A3F8C" w:rsidP="004A3F8C" w:rsidRDefault="004A3F8C" w14:paraId="1ADB7DA5" w14:textId="77777777">
      <w:pPr>
        <w:pStyle w:val="Lijstalinea"/>
        <w:numPr>
          <w:ilvl w:val="0"/>
          <w:numId w:val="13"/>
        </w:numPr>
        <w:spacing w:line="240" w:lineRule="atLeast"/>
        <w:rPr>
          <w:i/>
          <w:szCs w:val="18"/>
        </w:rPr>
      </w:pPr>
      <w:bookmarkStart w:name="_Hlk187758949" w:id="1"/>
      <w:bookmarkStart w:name="_Hlk188961164" w:id="2"/>
      <w:r w:rsidRPr="00793EEA">
        <w:rPr>
          <w:i/>
          <w:szCs w:val="18"/>
        </w:rPr>
        <w:t>Uitvoering moties</w:t>
      </w:r>
    </w:p>
    <w:p w:rsidR="004A3F8C" w:rsidP="004A3F8C" w:rsidRDefault="004A3F8C" w14:paraId="716FED1E" w14:textId="19E38EC9">
      <w:pPr>
        <w:pStyle w:val="Lijstalinea"/>
        <w:spacing w:line="240" w:lineRule="atLeast"/>
        <w:rPr>
          <w:szCs w:val="18"/>
        </w:rPr>
      </w:pPr>
      <w:r w:rsidRPr="009D4D34">
        <w:rPr>
          <w:szCs w:val="18"/>
        </w:rPr>
        <w:t xml:space="preserve">Dit betreft noodzakelijke uitgaven voor het ten uitvoer brengen van reeds aangenomen motie m.b.t. het instellen van tijdelijke commissie </w:t>
      </w:r>
      <w:r>
        <w:rPr>
          <w:szCs w:val="18"/>
        </w:rPr>
        <w:t>G</w:t>
      </w:r>
      <w:r w:rsidRPr="009D4D34">
        <w:rPr>
          <w:szCs w:val="18"/>
        </w:rPr>
        <w:t xml:space="preserve">rondrechten en </w:t>
      </w:r>
      <w:r>
        <w:rPr>
          <w:szCs w:val="18"/>
        </w:rPr>
        <w:t>C</w:t>
      </w:r>
      <w:r w:rsidRPr="009D4D34">
        <w:rPr>
          <w:szCs w:val="18"/>
        </w:rPr>
        <w:t>onstitutionele toetsing</w:t>
      </w:r>
      <w:r>
        <w:rPr>
          <w:szCs w:val="18"/>
        </w:rPr>
        <w:t xml:space="preserve"> (G&amp;CT)</w:t>
      </w:r>
      <w:r w:rsidRPr="009D4D34">
        <w:rPr>
          <w:szCs w:val="18"/>
        </w:rPr>
        <w:t xml:space="preserve"> </w:t>
      </w:r>
      <w:r w:rsidRPr="00114CF6">
        <w:rPr>
          <w:szCs w:val="18"/>
        </w:rPr>
        <w:t>(</w:t>
      </w:r>
      <w:r w:rsidRPr="00114CF6" w:rsidR="00114CF6">
        <w:rPr>
          <w:szCs w:val="18"/>
        </w:rPr>
        <w:t>Omtzigt</w:t>
      </w:r>
      <w:r w:rsidRPr="00114CF6">
        <w:rPr>
          <w:szCs w:val="18"/>
        </w:rPr>
        <w:t xml:space="preserve"> 2023–2024, </w:t>
      </w:r>
      <w:r w:rsidR="005E47D2">
        <w:rPr>
          <w:szCs w:val="18"/>
        </w:rPr>
        <w:t xml:space="preserve">Kamerstuk </w:t>
      </w:r>
      <w:r w:rsidRPr="00114CF6">
        <w:rPr>
          <w:szCs w:val="18"/>
        </w:rPr>
        <w:t xml:space="preserve">36 </w:t>
      </w:r>
      <w:r w:rsidRPr="00114CF6" w:rsidR="00114CF6">
        <w:rPr>
          <w:szCs w:val="18"/>
        </w:rPr>
        <w:t>471</w:t>
      </w:r>
      <w:r w:rsidR="00BD2484">
        <w:rPr>
          <w:szCs w:val="18"/>
        </w:rPr>
        <w:t>,</w:t>
      </w:r>
      <w:r w:rsidRPr="00114CF6">
        <w:rPr>
          <w:szCs w:val="18"/>
        </w:rPr>
        <w:t xml:space="preserve"> nr. </w:t>
      </w:r>
      <w:r w:rsidRPr="00114CF6" w:rsidR="00114CF6">
        <w:rPr>
          <w:szCs w:val="18"/>
        </w:rPr>
        <w:t>8</w:t>
      </w:r>
      <w:r w:rsidRPr="00114CF6">
        <w:rPr>
          <w:szCs w:val="18"/>
        </w:rPr>
        <w:t xml:space="preserve">). </w:t>
      </w:r>
      <w:r w:rsidRPr="009D4D34">
        <w:rPr>
          <w:szCs w:val="18"/>
        </w:rPr>
        <w:t>Hiervoor is jaarlijks € 0,53 mln. benodigd tot 2029. D</w:t>
      </w:r>
      <w:r>
        <w:rPr>
          <w:szCs w:val="18"/>
        </w:rPr>
        <w:t>e middelen zijn nodig om de tijdelijke commissie te ondersteunen met een commissie griffier, adjunct-griffier, commissie assistent en 2 wetgevingsadviseurs.</w:t>
      </w:r>
      <w:r w:rsidR="006228F2">
        <w:rPr>
          <w:szCs w:val="18"/>
        </w:rPr>
        <w:t xml:space="preserve"> </w:t>
      </w:r>
    </w:p>
    <w:p w:rsidR="004A3F8C" w:rsidP="004A3F8C" w:rsidRDefault="004A3F8C" w14:paraId="6DE8915B" w14:textId="77777777">
      <w:pPr>
        <w:pStyle w:val="Lijstalinea"/>
        <w:spacing w:line="240" w:lineRule="atLeast"/>
        <w:rPr>
          <w:szCs w:val="18"/>
        </w:rPr>
      </w:pPr>
    </w:p>
    <w:p w:rsidRPr="00536A7B" w:rsidR="004A3F8C" w:rsidP="004A3F8C" w:rsidRDefault="004A3F8C" w14:paraId="0E1D3AD6" w14:textId="77777777">
      <w:pPr>
        <w:pStyle w:val="Lijstalinea"/>
        <w:spacing w:line="240" w:lineRule="atLeast"/>
        <w:rPr>
          <w:szCs w:val="18"/>
        </w:rPr>
      </w:pPr>
      <w:r w:rsidRPr="008D50F9">
        <w:rPr>
          <w:szCs w:val="18"/>
        </w:rPr>
        <w:t>Tijdelijke commissie Grondrechten en Constitutionele Toetsing (G&amp;CT): 0,8 fte commissiegriffier (schaal 13), 0,5 fte adjunct-griffier (schaal 12) en 0,2 fte commissie-assistent (schaal 7).</w:t>
      </w:r>
    </w:p>
    <w:p w:rsidRPr="00536A7B" w:rsidR="004A3F8C" w:rsidP="004A3F8C" w:rsidRDefault="004A3F8C" w14:paraId="1266D114" w14:textId="77777777">
      <w:pPr>
        <w:pStyle w:val="Lijstalinea"/>
        <w:spacing w:line="240" w:lineRule="atLeast"/>
        <w:rPr>
          <w:szCs w:val="18"/>
        </w:rPr>
      </w:pPr>
    </w:p>
    <w:p w:rsidRPr="00793EEA" w:rsidR="004A3F8C" w:rsidP="004A3F8C" w:rsidRDefault="004A3F8C" w14:paraId="0D6F9BA0" w14:textId="14505BDF">
      <w:pPr>
        <w:pStyle w:val="Lijstalinea"/>
        <w:numPr>
          <w:ilvl w:val="0"/>
          <w:numId w:val="13"/>
        </w:numPr>
        <w:spacing w:line="240" w:lineRule="atLeast"/>
        <w:rPr>
          <w:i/>
          <w:szCs w:val="18"/>
        </w:rPr>
      </w:pPr>
      <w:r>
        <w:rPr>
          <w:i/>
          <w:szCs w:val="18"/>
        </w:rPr>
        <w:t>Uitwerking hoofdlijnenakkoord en regeerprogramma</w:t>
      </w:r>
    </w:p>
    <w:p w:rsidR="004A3F8C" w:rsidP="004A3F8C" w:rsidRDefault="004A3F8C" w14:paraId="0DB1F4D0" w14:textId="69E12505">
      <w:pPr>
        <w:pStyle w:val="Lijstalinea"/>
        <w:spacing w:line="240" w:lineRule="atLeast"/>
        <w:rPr>
          <w:szCs w:val="18"/>
        </w:rPr>
      </w:pPr>
      <w:r w:rsidRPr="00643EB5">
        <w:rPr>
          <w:szCs w:val="18"/>
        </w:rPr>
        <w:t xml:space="preserve">Voor de uitwerking van de hoofdlijnenakkoord en regeerprogramma is in 2025 </w:t>
      </w:r>
      <w:r w:rsidR="00D57DBB">
        <w:rPr>
          <w:szCs w:val="18"/>
        </w:rPr>
        <w:t xml:space="preserve">€ </w:t>
      </w:r>
      <w:r w:rsidRPr="00643EB5">
        <w:rPr>
          <w:szCs w:val="18"/>
        </w:rPr>
        <w:t xml:space="preserve">1,04 mln. en vanaf 2026 is structureel </w:t>
      </w:r>
      <w:r w:rsidR="00D57DBB">
        <w:rPr>
          <w:szCs w:val="18"/>
        </w:rPr>
        <w:t>€</w:t>
      </w:r>
      <w:r w:rsidRPr="00643EB5">
        <w:rPr>
          <w:szCs w:val="18"/>
        </w:rPr>
        <w:t xml:space="preserve">1,13 mln. benodigd. </w:t>
      </w:r>
      <w:r w:rsidRPr="008D50F9">
        <w:rPr>
          <w:szCs w:val="18"/>
        </w:rPr>
        <w:t>In navolging van het besluit van het kabinet om drie nieuwe ministeries in te stellen, heeft de Kamer (conform art 7.1 lid 1 van het Reglement van Orde waarin staat dat er een vaste commissie is voor elk ministerie), drie nieuwe commissies ingesteld: de commissie voor Asiel en Migratie (A&amp;M), de commissie voor Volkshuisvesting en Ruimtelijke Ordening (VRO) en de commissie voor Klimaat en Groene Groei (K&amp;GG).</w:t>
      </w:r>
      <w:r w:rsidRPr="00643EB5">
        <w:rPr>
          <w:szCs w:val="18"/>
        </w:rPr>
        <w:t xml:space="preserve"> </w:t>
      </w:r>
      <w:r>
        <w:rPr>
          <w:szCs w:val="18"/>
        </w:rPr>
        <w:t xml:space="preserve">Om deze commissies te ondersteunen is hiervoor structureel 8,6 fte nodig. </w:t>
      </w:r>
    </w:p>
    <w:p w:rsidR="004A3F8C" w:rsidP="004A3F8C" w:rsidRDefault="004A3F8C" w14:paraId="7F097F10" w14:textId="77777777">
      <w:pPr>
        <w:pStyle w:val="Lijstalinea"/>
        <w:spacing w:line="240" w:lineRule="atLeast"/>
        <w:rPr>
          <w:szCs w:val="18"/>
        </w:rPr>
      </w:pPr>
    </w:p>
    <w:p w:rsidR="004A3F8C" w:rsidP="004A3F8C" w:rsidRDefault="004A3F8C" w14:paraId="2A5C8F29" w14:textId="77777777">
      <w:pPr>
        <w:pStyle w:val="Lijstalinea"/>
        <w:spacing w:line="240" w:lineRule="atLeast"/>
        <w:rPr>
          <w:szCs w:val="18"/>
        </w:rPr>
      </w:pPr>
      <w:r>
        <w:rPr>
          <w:szCs w:val="18"/>
        </w:rPr>
        <w:t>3 fte commissiegriffier (schaal 13), 0,6 fte commissie assistent (schaal 7), 1 fte informatiespecialist (schaal 10), 1 fte Kennis coördinator (schaal 13), 1 fte Wetgevingsadviseur (schaal 13) en 2 fte bodes (schaal 5).</w:t>
      </w:r>
    </w:p>
    <w:p w:rsidRPr="004A3F8C" w:rsidR="004A3F8C" w:rsidP="004A3F8C" w:rsidRDefault="004A3F8C" w14:paraId="100B2333" w14:textId="77777777">
      <w:pPr>
        <w:spacing w:line="240" w:lineRule="atLeast"/>
        <w:rPr>
          <w:szCs w:val="18"/>
        </w:rPr>
      </w:pPr>
    </w:p>
    <w:p w:rsidR="004A3F8C" w:rsidP="004A3F8C" w:rsidRDefault="004A3F8C" w14:paraId="1652136D" w14:textId="77777777">
      <w:pPr>
        <w:pStyle w:val="Lijstalinea"/>
        <w:numPr>
          <w:ilvl w:val="0"/>
          <w:numId w:val="13"/>
        </w:numPr>
        <w:spacing w:line="240" w:lineRule="atLeast"/>
        <w:rPr>
          <w:i/>
          <w:szCs w:val="18"/>
        </w:rPr>
      </w:pPr>
      <w:r>
        <w:rPr>
          <w:i/>
          <w:szCs w:val="18"/>
        </w:rPr>
        <w:t>Integrale veiligheid</w:t>
      </w:r>
    </w:p>
    <w:p w:rsidR="004A3F8C" w:rsidP="004A3F8C" w:rsidRDefault="004A3F8C" w14:paraId="65C00367" w14:textId="2CBE34CC">
      <w:pPr>
        <w:pStyle w:val="Lijstalinea"/>
        <w:spacing w:line="240" w:lineRule="atLeast"/>
        <w:rPr>
          <w:szCs w:val="18"/>
        </w:rPr>
      </w:pPr>
      <w:r w:rsidRPr="00FF1CD3">
        <w:rPr>
          <w:szCs w:val="18"/>
        </w:rPr>
        <w:t>De veiligheidssituatie van het pand, de systemen en de leden van de Tweede Kamer vragen om investering</w:t>
      </w:r>
      <w:r>
        <w:rPr>
          <w:szCs w:val="18"/>
        </w:rPr>
        <w:t xml:space="preserve">en in </w:t>
      </w:r>
      <w:r w:rsidRPr="00FF1CD3">
        <w:rPr>
          <w:szCs w:val="18"/>
        </w:rPr>
        <w:t>personeel en materieel</w:t>
      </w:r>
      <w:r>
        <w:rPr>
          <w:szCs w:val="18"/>
        </w:rPr>
        <w:t>.</w:t>
      </w:r>
    </w:p>
    <w:p w:rsidR="004A3F8C" w:rsidP="004A3F8C" w:rsidRDefault="004A3F8C" w14:paraId="4415A026" w14:textId="77777777">
      <w:pPr>
        <w:pStyle w:val="Lijstalinea"/>
        <w:spacing w:line="240" w:lineRule="atLeast"/>
        <w:rPr>
          <w:szCs w:val="18"/>
        </w:rPr>
      </w:pPr>
    </w:p>
    <w:p w:rsidR="00192C76" w:rsidP="00192C76" w:rsidRDefault="00192C76" w14:paraId="20EB62A8" w14:textId="77777777">
      <w:pPr>
        <w:pStyle w:val="Lijstalinea"/>
        <w:numPr>
          <w:ilvl w:val="0"/>
          <w:numId w:val="13"/>
        </w:numPr>
        <w:spacing w:line="240" w:lineRule="atLeast"/>
        <w:rPr>
          <w:i/>
          <w:szCs w:val="18"/>
        </w:rPr>
      </w:pPr>
      <w:r>
        <w:rPr>
          <w:i/>
          <w:szCs w:val="18"/>
        </w:rPr>
        <w:t>Renovatie Binnenhof en tijdelijke huisvesting</w:t>
      </w:r>
    </w:p>
    <w:p w:rsidR="004836B5" w:rsidP="004836B5" w:rsidRDefault="004836B5" w14:paraId="445E441C" w14:textId="49F85A4D">
      <w:pPr>
        <w:pStyle w:val="Lijstalinea"/>
        <w:spacing w:line="240" w:lineRule="atLeast"/>
        <w:rPr>
          <w:iCs/>
          <w:szCs w:val="18"/>
        </w:rPr>
      </w:pPr>
      <w:r>
        <w:rPr>
          <w:iCs/>
          <w:szCs w:val="18"/>
        </w:rPr>
        <w:t>De Tweede Kamer zal</w:t>
      </w:r>
      <w:r w:rsidRPr="00056B07">
        <w:rPr>
          <w:iCs/>
          <w:szCs w:val="18"/>
        </w:rPr>
        <w:t xml:space="preserve"> langer verblijven in de tijdelijke huisvesting van B67. Dat zorgt ervoor dat noodzakelijke</w:t>
      </w:r>
      <w:r>
        <w:rPr>
          <w:iCs/>
          <w:szCs w:val="18"/>
        </w:rPr>
        <w:t xml:space="preserve"> (</w:t>
      </w:r>
      <w:proofErr w:type="spellStart"/>
      <w:r>
        <w:rPr>
          <w:iCs/>
          <w:szCs w:val="18"/>
        </w:rPr>
        <w:t>vervangings</w:t>
      </w:r>
      <w:proofErr w:type="spellEnd"/>
      <w:r>
        <w:rPr>
          <w:iCs/>
          <w:szCs w:val="18"/>
        </w:rPr>
        <w:t>)</w:t>
      </w:r>
      <w:r w:rsidRPr="00056B07">
        <w:rPr>
          <w:iCs/>
          <w:szCs w:val="18"/>
        </w:rPr>
        <w:t>investeringen</w:t>
      </w:r>
      <w:r>
        <w:rPr>
          <w:iCs/>
          <w:szCs w:val="18"/>
        </w:rPr>
        <w:t xml:space="preserve"> gedaan</w:t>
      </w:r>
      <w:r w:rsidRPr="00056B07">
        <w:rPr>
          <w:iCs/>
          <w:szCs w:val="18"/>
        </w:rPr>
        <w:t xml:space="preserve"> moeten </w:t>
      </w:r>
      <w:r>
        <w:rPr>
          <w:iCs/>
          <w:szCs w:val="18"/>
        </w:rPr>
        <w:t>worden</w:t>
      </w:r>
      <w:r w:rsidRPr="00056B07">
        <w:rPr>
          <w:iCs/>
          <w:szCs w:val="18"/>
        </w:rPr>
        <w:t xml:space="preserve"> in verschillende</w:t>
      </w:r>
      <w:r>
        <w:rPr>
          <w:iCs/>
          <w:szCs w:val="18"/>
        </w:rPr>
        <w:t xml:space="preserve"> </w:t>
      </w:r>
      <w:r w:rsidRPr="00056B07">
        <w:rPr>
          <w:iCs/>
          <w:szCs w:val="18"/>
        </w:rPr>
        <w:t>installaties</w:t>
      </w:r>
      <w:r>
        <w:rPr>
          <w:iCs/>
          <w:szCs w:val="18"/>
        </w:rPr>
        <w:t xml:space="preserve">, zoals in de </w:t>
      </w:r>
      <w:r w:rsidRPr="00162101">
        <w:rPr>
          <w:iCs/>
          <w:szCs w:val="18"/>
        </w:rPr>
        <w:t>Beveiligingsinstallaties</w:t>
      </w:r>
      <w:r>
        <w:rPr>
          <w:iCs/>
          <w:szCs w:val="18"/>
        </w:rPr>
        <w:t xml:space="preserve"> en de installaties rondom AV. In totaal is € 8,8 mln. benodigd vanaf 2026 verdeeld over drie jaar om alle installaties een upgrade te geven of te vervangen. De levensduur van deze installaties komt nu in zicht door de langere verblijfsduur in B67.  </w:t>
      </w:r>
    </w:p>
    <w:p w:rsidRPr="00056B07" w:rsidR="004836B5" w:rsidP="004836B5" w:rsidRDefault="004836B5" w14:paraId="1F116A47" w14:textId="77777777">
      <w:pPr>
        <w:pStyle w:val="Lijstalinea"/>
        <w:spacing w:line="240" w:lineRule="atLeast"/>
        <w:rPr>
          <w:iCs/>
          <w:szCs w:val="18"/>
        </w:rPr>
      </w:pPr>
    </w:p>
    <w:p w:rsidR="0018449F" w:rsidRDefault="0018449F" w14:paraId="592C5248" w14:textId="10DFDB1A">
      <w:pPr>
        <w:rPr>
          <w:rFonts w:ascii="Verdana" w:hAnsi="Verdana" w:eastAsia="Calibri"/>
          <w:iCs/>
          <w:sz w:val="18"/>
          <w:szCs w:val="18"/>
          <w:lang w:eastAsia="en-US"/>
        </w:rPr>
      </w:pPr>
      <w:r>
        <w:rPr>
          <w:iCs/>
          <w:szCs w:val="18"/>
        </w:rPr>
        <w:br w:type="page"/>
      </w:r>
    </w:p>
    <w:p w:rsidRPr="00793EEA" w:rsidR="00192C76" w:rsidP="00192C76" w:rsidRDefault="00192C76" w14:paraId="3AAA7935" w14:textId="77777777">
      <w:pPr>
        <w:pStyle w:val="Lijstalinea"/>
        <w:numPr>
          <w:ilvl w:val="0"/>
          <w:numId w:val="13"/>
        </w:numPr>
        <w:spacing w:line="240" w:lineRule="atLeast"/>
        <w:rPr>
          <w:i/>
          <w:szCs w:val="18"/>
        </w:rPr>
      </w:pPr>
      <w:r>
        <w:rPr>
          <w:i/>
          <w:szCs w:val="18"/>
        </w:rPr>
        <w:t>Bedrijfsvoering</w:t>
      </w:r>
      <w:r w:rsidRPr="00793EEA">
        <w:rPr>
          <w:i/>
          <w:szCs w:val="18"/>
        </w:rPr>
        <w:t xml:space="preserve"> </w:t>
      </w:r>
    </w:p>
    <w:p w:rsidRPr="00084E2B" w:rsidR="00084E2B" w:rsidP="00084E2B" w:rsidRDefault="00084E2B" w14:paraId="399327EE" w14:textId="77777777">
      <w:pPr>
        <w:pStyle w:val="Lijstalinea"/>
        <w:spacing w:line="240" w:lineRule="atLeast"/>
        <w:rPr>
          <w:szCs w:val="18"/>
        </w:rPr>
      </w:pPr>
      <w:r w:rsidRPr="00084E2B">
        <w:rPr>
          <w:szCs w:val="18"/>
        </w:rPr>
        <w:t>In 2024 is begonnen met een moderniseringsslag naar een moderne werkplek en het vernieuwen van onze systemen in het datacenter. Dit vraagt om extra investeringen tijdens de transitieperiode waarin tijdelijk beide omgevingen moeten worden ondersteund.</w:t>
      </w:r>
    </w:p>
    <w:p w:rsidRPr="00340314" w:rsidR="00084E2B" w:rsidP="00340314" w:rsidRDefault="00084E2B" w14:paraId="20E9EB8B" w14:textId="319C172B">
      <w:pPr>
        <w:pStyle w:val="Lijstalinea"/>
        <w:spacing w:line="240" w:lineRule="atLeast"/>
        <w:rPr>
          <w:szCs w:val="18"/>
        </w:rPr>
      </w:pPr>
      <w:r w:rsidRPr="00084E2B">
        <w:rPr>
          <w:szCs w:val="18"/>
        </w:rPr>
        <w:t>Voor de vervangingsinvesteringen in het Overheidsdatacenter (ODC) was al budget toegekend via de Raming 2024, de middelen zijn doorgeschoven naar 2025. Bij deze gehele modernisering wordt rekening gehouden met een architectuur waarbij de Tweede Kamer in de toekomst minder afhankelijk wordt van externe inhuur.</w:t>
      </w:r>
      <w:r w:rsidR="00340314">
        <w:rPr>
          <w:szCs w:val="18"/>
        </w:rPr>
        <w:t xml:space="preserve"> </w:t>
      </w:r>
      <w:r w:rsidRPr="00340314">
        <w:rPr>
          <w:szCs w:val="18"/>
        </w:rPr>
        <w:t>In 2025 is eenmalig € 2,8 miljoen extra nodig, naast het beschikbare budget voor de ODC-investeringen. Het IT-budget kan fluctueren bij eventuele importbeperkingen of hogere handelstarieven of uitkomsten van aanbestedingen.</w:t>
      </w:r>
    </w:p>
    <w:p w:rsidR="00084E2B" w:rsidP="00BC53C4" w:rsidRDefault="00084E2B" w14:paraId="15E073AF" w14:textId="77777777">
      <w:pPr>
        <w:pStyle w:val="Lijstalinea"/>
        <w:spacing w:line="240" w:lineRule="atLeast"/>
        <w:rPr>
          <w:szCs w:val="18"/>
        </w:rPr>
      </w:pPr>
    </w:p>
    <w:p w:rsidR="00AD6523" w:rsidP="00222709" w:rsidRDefault="00BC53C4" w14:paraId="73652E33" w14:textId="6E2D87E5">
      <w:pPr>
        <w:pStyle w:val="Lijstalinea"/>
        <w:spacing w:line="240" w:lineRule="atLeast"/>
        <w:rPr>
          <w:szCs w:val="18"/>
        </w:rPr>
      </w:pPr>
      <w:r>
        <w:rPr>
          <w:szCs w:val="18"/>
        </w:rPr>
        <w:t>Vanuit gewijzigde wet- en regelgeving ten aanzien van archiefbewerking zijn verschillende investeringen noodzakelijk</w:t>
      </w:r>
      <w:r w:rsidR="00AD6523">
        <w:rPr>
          <w:szCs w:val="18"/>
        </w:rPr>
        <w:t xml:space="preserve">. </w:t>
      </w:r>
      <w:r w:rsidRPr="00AD6523" w:rsidR="00AD6523">
        <w:rPr>
          <w:szCs w:val="18"/>
        </w:rPr>
        <w:t>De papieren archieven van de Tweede Kamer omvatten no</w:t>
      </w:r>
      <w:r w:rsidR="00AD6523">
        <w:rPr>
          <w:szCs w:val="18"/>
        </w:rPr>
        <w:t>g zo’n</w:t>
      </w:r>
      <w:r w:rsidRPr="00AD6523" w:rsidR="00AD6523">
        <w:rPr>
          <w:szCs w:val="18"/>
        </w:rPr>
        <w:t xml:space="preserve"> </w:t>
      </w:r>
    </w:p>
    <w:p w:rsidR="00BC53C4" w:rsidP="00222709" w:rsidRDefault="00AD6523" w14:paraId="2964E842" w14:textId="6536246A">
      <w:pPr>
        <w:pStyle w:val="Lijstalinea"/>
        <w:spacing w:line="240" w:lineRule="atLeast"/>
        <w:rPr>
          <w:szCs w:val="18"/>
        </w:rPr>
      </w:pPr>
      <w:r w:rsidRPr="00AD6523">
        <w:rPr>
          <w:szCs w:val="18"/>
        </w:rPr>
        <w:t>1</w:t>
      </w:r>
      <w:r>
        <w:rPr>
          <w:szCs w:val="18"/>
        </w:rPr>
        <w:t>.</w:t>
      </w:r>
      <w:r w:rsidRPr="00AD6523">
        <w:rPr>
          <w:szCs w:val="18"/>
        </w:rPr>
        <w:t xml:space="preserve">000 meter. Deze archieven zullen worden bewerkt door een externe partij met als doel deze te ontsluiten voor derden en gereed te maken voor </w:t>
      </w:r>
      <w:r>
        <w:rPr>
          <w:szCs w:val="18"/>
        </w:rPr>
        <w:t xml:space="preserve">de </w:t>
      </w:r>
      <w:r w:rsidRPr="00AD6523">
        <w:rPr>
          <w:szCs w:val="18"/>
        </w:rPr>
        <w:t>overdracht naar het Nationaal Archief</w:t>
      </w:r>
      <w:r>
        <w:rPr>
          <w:szCs w:val="18"/>
        </w:rPr>
        <w:t xml:space="preserve">. </w:t>
      </w:r>
      <w:r w:rsidR="00D712D7">
        <w:rPr>
          <w:szCs w:val="18"/>
        </w:rPr>
        <w:t>V</w:t>
      </w:r>
      <w:r>
        <w:rPr>
          <w:szCs w:val="18"/>
        </w:rPr>
        <w:t xml:space="preserve">oor </w:t>
      </w:r>
      <w:r w:rsidR="00D712D7">
        <w:rPr>
          <w:szCs w:val="18"/>
        </w:rPr>
        <w:t xml:space="preserve">deze omzetting </w:t>
      </w:r>
      <w:r>
        <w:rPr>
          <w:szCs w:val="18"/>
        </w:rPr>
        <w:t xml:space="preserve">is </w:t>
      </w:r>
      <w:r w:rsidR="00CF5541">
        <w:rPr>
          <w:szCs w:val="18"/>
        </w:rPr>
        <w:t>incidenteel</w:t>
      </w:r>
      <w:r>
        <w:rPr>
          <w:szCs w:val="18"/>
        </w:rPr>
        <w:t xml:space="preserve"> </w:t>
      </w:r>
      <w:r w:rsidR="00BC53C4">
        <w:rPr>
          <w:szCs w:val="18"/>
        </w:rPr>
        <w:t>€ 0</w:t>
      </w:r>
      <w:r w:rsidR="00D57DBB">
        <w:rPr>
          <w:szCs w:val="18"/>
        </w:rPr>
        <w:t>,</w:t>
      </w:r>
      <w:r w:rsidR="00BC53C4">
        <w:rPr>
          <w:szCs w:val="18"/>
        </w:rPr>
        <w:t>8 mln.</w:t>
      </w:r>
      <w:r>
        <w:rPr>
          <w:szCs w:val="18"/>
        </w:rPr>
        <w:t xml:space="preserve"> </w:t>
      </w:r>
      <w:r w:rsidR="00BC53C4">
        <w:rPr>
          <w:szCs w:val="18"/>
        </w:rPr>
        <w:t>in 2025</w:t>
      </w:r>
      <w:r w:rsidR="00A914F6">
        <w:rPr>
          <w:szCs w:val="18"/>
        </w:rPr>
        <w:t xml:space="preserve"> en € 0,0</w:t>
      </w:r>
      <w:r w:rsidR="00F23209">
        <w:rPr>
          <w:szCs w:val="18"/>
        </w:rPr>
        <w:t>9</w:t>
      </w:r>
      <w:r w:rsidR="00A914F6">
        <w:rPr>
          <w:szCs w:val="18"/>
        </w:rPr>
        <w:t xml:space="preserve"> mln.</w:t>
      </w:r>
      <w:r w:rsidRPr="00A914F6" w:rsidR="00A914F6">
        <w:rPr>
          <w:szCs w:val="18"/>
        </w:rPr>
        <w:t xml:space="preserve"> </w:t>
      </w:r>
      <w:r w:rsidR="00A914F6">
        <w:rPr>
          <w:szCs w:val="18"/>
        </w:rPr>
        <w:t>in 2026 benodigd</w:t>
      </w:r>
      <w:r w:rsidR="00BC53C4">
        <w:rPr>
          <w:szCs w:val="18"/>
        </w:rPr>
        <w:t xml:space="preserve">. </w:t>
      </w:r>
    </w:p>
    <w:p w:rsidR="00BB1492" w:rsidP="00222709" w:rsidRDefault="00BB1492" w14:paraId="016C8608" w14:textId="77777777">
      <w:pPr>
        <w:pStyle w:val="Lijstalinea"/>
        <w:spacing w:line="240" w:lineRule="atLeast"/>
        <w:rPr>
          <w:szCs w:val="18"/>
        </w:rPr>
      </w:pPr>
    </w:p>
    <w:p w:rsidRPr="008D334B" w:rsidR="00521F0D" w:rsidP="00521F0D" w:rsidRDefault="00521F0D" w14:paraId="2EA7569F" w14:textId="77777777">
      <w:pPr>
        <w:pStyle w:val="Lijstalinea"/>
        <w:spacing w:line="240" w:lineRule="atLeast"/>
        <w:rPr>
          <w:szCs w:val="18"/>
        </w:rPr>
      </w:pPr>
      <w:r w:rsidRPr="008D334B">
        <w:rPr>
          <w:szCs w:val="18"/>
        </w:rPr>
        <w:t xml:space="preserve">Eind 2024 is het definitieve organisatie- en formatierapport vastgesteld voor de </w:t>
      </w:r>
      <w:r w:rsidRPr="008D334B" w:rsidR="00CF5541">
        <w:rPr>
          <w:szCs w:val="18"/>
        </w:rPr>
        <w:t xml:space="preserve">nieuwe </w:t>
      </w:r>
      <w:r w:rsidRPr="008D334B">
        <w:rPr>
          <w:szCs w:val="18"/>
        </w:rPr>
        <w:t xml:space="preserve">Stafdienst Juridische Zaken. Aan de hand van deze vaststelling </w:t>
      </w:r>
      <w:r w:rsidRPr="008D334B" w:rsidR="00CF5541">
        <w:rPr>
          <w:szCs w:val="18"/>
        </w:rPr>
        <w:t xml:space="preserve">zijn </w:t>
      </w:r>
      <w:r w:rsidRPr="008D334B">
        <w:rPr>
          <w:szCs w:val="18"/>
        </w:rPr>
        <w:t>de volgende functies geformaliseerd: 1 fte senior Jurist staats- bestuur en informatierecht (schaal 13),</w:t>
      </w:r>
    </w:p>
    <w:p w:rsidRPr="008D334B" w:rsidR="00A64279" w:rsidP="00521F0D" w:rsidRDefault="00521F0D" w14:paraId="64B2E947" w14:textId="6B167025">
      <w:pPr>
        <w:pStyle w:val="Lijstalinea"/>
        <w:spacing w:line="240" w:lineRule="atLeast"/>
        <w:rPr>
          <w:szCs w:val="18"/>
        </w:rPr>
      </w:pPr>
      <w:r w:rsidRPr="008D334B">
        <w:rPr>
          <w:szCs w:val="18"/>
        </w:rPr>
        <w:t>0,6 fte Functionaris Gegevensbescherming (schaal 12),</w:t>
      </w:r>
      <w:r w:rsidRPr="008D334B" w:rsidR="00F23209">
        <w:rPr>
          <w:szCs w:val="18"/>
        </w:rPr>
        <w:t xml:space="preserve"> </w:t>
      </w:r>
      <w:r w:rsidRPr="008D334B" w:rsidR="009F32C4">
        <w:rPr>
          <w:szCs w:val="18"/>
        </w:rPr>
        <w:t>1 fte Jurist Wet open overheid (schaal 11). In 2025 is € 0,</w:t>
      </w:r>
      <w:r w:rsidRPr="008D334B" w:rsidR="00F23209">
        <w:rPr>
          <w:szCs w:val="18"/>
        </w:rPr>
        <w:t>19</w:t>
      </w:r>
      <w:r w:rsidRPr="008D334B" w:rsidR="009F32C4">
        <w:rPr>
          <w:szCs w:val="18"/>
        </w:rPr>
        <w:t xml:space="preserve"> mln. benodigd, uitgaande van een</w:t>
      </w:r>
      <w:r w:rsidR="003317BE">
        <w:rPr>
          <w:szCs w:val="18"/>
        </w:rPr>
        <w:t xml:space="preserve"> 0,6</w:t>
      </w:r>
      <w:r w:rsidRPr="008D334B" w:rsidR="009F32C4">
        <w:rPr>
          <w:szCs w:val="18"/>
        </w:rPr>
        <w:t xml:space="preserve"> werving en selectie medio 2025 voor deze functies, en in toekomstige jaren is € 0,</w:t>
      </w:r>
      <w:r w:rsidRPr="008D334B" w:rsidR="00F23209">
        <w:rPr>
          <w:szCs w:val="18"/>
        </w:rPr>
        <w:t>37</w:t>
      </w:r>
      <w:r w:rsidRPr="008D334B" w:rsidR="009F32C4">
        <w:rPr>
          <w:szCs w:val="18"/>
        </w:rPr>
        <w:t xml:space="preserve"> mln. benodigd</w:t>
      </w:r>
      <w:r w:rsidRPr="008D334B" w:rsidR="00A723EC">
        <w:rPr>
          <w:szCs w:val="18"/>
        </w:rPr>
        <w:t>.</w:t>
      </w:r>
    </w:p>
    <w:p w:rsidRPr="008D334B" w:rsidR="009F32C4" w:rsidP="009F32C4" w:rsidRDefault="009F32C4" w14:paraId="3EAC28A0" w14:textId="77777777">
      <w:pPr>
        <w:pStyle w:val="Lijstalinea"/>
        <w:spacing w:line="240" w:lineRule="atLeast"/>
        <w:rPr>
          <w:szCs w:val="18"/>
        </w:rPr>
      </w:pPr>
    </w:p>
    <w:p w:rsidRPr="008D334B" w:rsidR="009F32C4" w:rsidP="009F32C4" w:rsidRDefault="009F32C4" w14:paraId="6D9F682D" w14:textId="046A1870">
      <w:pPr>
        <w:pStyle w:val="Lijstalinea"/>
        <w:spacing w:line="240" w:lineRule="atLeast"/>
        <w:rPr>
          <w:szCs w:val="18"/>
        </w:rPr>
      </w:pPr>
      <w:r w:rsidRPr="008D334B">
        <w:rPr>
          <w:szCs w:val="18"/>
        </w:rPr>
        <w:t>Binnen de Stafdienst HR is het noodzakelijk om tijdelijke formatie om te zetten naar vaste formatie in 2026. Het betreft hier de omzetting van 0,7 fte Adviseur Arbeidsmarktcommunicatie (schaal 11) en 1 fte Adviseur Learning &amp; Development (schaal 11). Voor de Kamerorganisatie is het van belang de 21e -eeuwse vaardigheden en competenties te identificeren en onze organisatie daarin te ontwikkelen. Voor deze omzetting is € 0,2</w:t>
      </w:r>
      <w:r w:rsidRPr="008D334B" w:rsidR="00F23209">
        <w:rPr>
          <w:szCs w:val="18"/>
        </w:rPr>
        <w:t>1</w:t>
      </w:r>
      <w:r w:rsidRPr="008D334B">
        <w:rPr>
          <w:szCs w:val="18"/>
        </w:rPr>
        <w:t xml:space="preserve"> mln. structureel benodigd vanaf 2026.</w:t>
      </w:r>
    </w:p>
    <w:p w:rsidRPr="008D334B" w:rsidR="009F32C4" w:rsidP="009F32C4" w:rsidRDefault="009F32C4" w14:paraId="176C6F53" w14:textId="77777777">
      <w:pPr>
        <w:pStyle w:val="Lijstalinea"/>
        <w:spacing w:line="240" w:lineRule="atLeast"/>
        <w:rPr>
          <w:szCs w:val="18"/>
        </w:rPr>
      </w:pPr>
    </w:p>
    <w:p w:rsidRPr="008D334B" w:rsidR="009F32C4" w:rsidP="009F32C4" w:rsidRDefault="009F32C4" w14:paraId="35F78910" w14:textId="5C5EF13C">
      <w:pPr>
        <w:pStyle w:val="Lijstalinea"/>
        <w:spacing w:line="240" w:lineRule="atLeast"/>
        <w:rPr>
          <w:szCs w:val="18"/>
        </w:rPr>
      </w:pPr>
      <w:r w:rsidRPr="008D334B">
        <w:rPr>
          <w:szCs w:val="18"/>
        </w:rPr>
        <w:t>Bij de reorganisatie van de dienst DIA is de functie Coördinator Bewustzijn en Kennis opgezet om de organisatie beter te ondersteunen in de informatiehuishouding. Oorspronkelijk was dit een tijdelijke rol van twee jaar, maar uit een eerste evaluatie blijkt deze periode te kort vanwege de omvang en structurele aard van de veranderingen. Voor deze omzetting is een structureel budget van € 0,1</w:t>
      </w:r>
      <w:r w:rsidRPr="008D334B" w:rsidR="00F23209">
        <w:rPr>
          <w:szCs w:val="18"/>
        </w:rPr>
        <w:t>1</w:t>
      </w:r>
      <w:r w:rsidRPr="008D334B">
        <w:rPr>
          <w:szCs w:val="18"/>
        </w:rPr>
        <w:t xml:space="preserve"> mln. nodig voor 1 fte Kenniscoördinator (schaal 10) vanaf 2025. </w:t>
      </w:r>
    </w:p>
    <w:p w:rsidRPr="008D334B" w:rsidR="009F32C4" w:rsidP="009F32C4" w:rsidRDefault="009F32C4" w14:paraId="7451F058" w14:textId="77777777">
      <w:pPr>
        <w:pStyle w:val="Lijstalinea"/>
        <w:spacing w:line="240" w:lineRule="atLeast"/>
        <w:rPr>
          <w:szCs w:val="18"/>
        </w:rPr>
      </w:pPr>
    </w:p>
    <w:p w:rsidRPr="008D334B" w:rsidR="009F32C4" w:rsidP="009F32C4" w:rsidRDefault="009F32C4" w14:paraId="067E4F64" w14:textId="77777777">
      <w:pPr>
        <w:pStyle w:val="Lijstalinea"/>
        <w:spacing w:line="240" w:lineRule="atLeast"/>
        <w:rPr>
          <w:szCs w:val="18"/>
        </w:rPr>
      </w:pPr>
      <w:r w:rsidRPr="008D334B">
        <w:rPr>
          <w:szCs w:val="18"/>
        </w:rPr>
        <w:t xml:space="preserve">De projectgroep In- en uitstroom Kamerleden 2023 heeft in een evaluatie aan de Griffier aanbevolen de centrale coördinatie van het cursusaanbod structureel bij één Kamerdienst te beleggen. Binnen de dienst DAO worden nu de interne Kamerbrede cursussen verzorgd voor Kamerleden. Voor deze centrale coördinatie is managementondersteuning benodigd. Een budget van € 0,07 mln. is structureel benodigd vanaf 2025 voor 0,7 fte aan Managementondersteuning (schaal 7). </w:t>
      </w:r>
    </w:p>
    <w:p w:rsidRPr="008D334B" w:rsidR="009F32C4" w:rsidP="009F32C4" w:rsidRDefault="009F32C4" w14:paraId="36B866B3" w14:textId="77777777">
      <w:pPr>
        <w:pStyle w:val="Lijstalinea"/>
        <w:spacing w:line="240" w:lineRule="atLeast"/>
        <w:rPr>
          <w:szCs w:val="18"/>
        </w:rPr>
      </w:pPr>
    </w:p>
    <w:p w:rsidRPr="00A723EC" w:rsidR="009F32C4" w:rsidP="009F32C4" w:rsidRDefault="009F32C4" w14:paraId="5B48C3C8" w14:textId="77777777">
      <w:pPr>
        <w:pStyle w:val="Lijstalinea"/>
        <w:spacing w:line="240" w:lineRule="atLeast"/>
        <w:rPr>
          <w:szCs w:val="18"/>
        </w:rPr>
      </w:pPr>
      <w:r w:rsidRPr="008D334B">
        <w:rPr>
          <w:szCs w:val="18"/>
        </w:rPr>
        <w:t>De kosten van dienstreizen door begeleidende ambtenaren zijn in 2023 en 2024 licht gestegen ten opzichte van het beschikbare budget. Dit budget is over de jaren heen gelijk gebleven. Het reisbudget dient met € 0,05 structureel opgehoogd te worden om het budget weer aan te laten sluiten met de werkelijke kosten.</w:t>
      </w:r>
      <w:r w:rsidRPr="00A723EC">
        <w:rPr>
          <w:szCs w:val="18"/>
        </w:rPr>
        <w:t xml:space="preserve">   </w:t>
      </w:r>
    </w:p>
    <w:p w:rsidR="009F32C4" w:rsidP="00FD6257" w:rsidRDefault="009F32C4" w14:paraId="5B217C38" w14:textId="77777777">
      <w:pPr>
        <w:spacing w:line="240" w:lineRule="atLeast"/>
        <w:ind w:left="709"/>
        <w:rPr>
          <w:szCs w:val="18"/>
        </w:rPr>
      </w:pPr>
    </w:p>
    <w:p w:rsidRPr="00793EEA" w:rsidR="005549AE" w:rsidP="005549AE" w:rsidRDefault="005549AE" w14:paraId="52245E63" w14:textId="12B659CF">
      <w:pPr>
        <w:pStyle w:val="Lijstalinea"/>
        <w:numPr>
          <w:ilvl w:val="0"/>
          <w:numId w:val="13"/>
        </w:numPr>
        <w:spacing w:line="240" w:lineRule="atLeast"/>
        <w:rPr>
          <w:i/>
          <w:szCs w:val="18"/>
        </w:rPr>
      </w:pPr>
      <w:r>
        <w:rPr>
          <w:i/>
          <w:szCs w:val="18"/>
        </w:rPr>
        <w:t>Projecten</w:t>
      </w:r>
      <w:r w:rsidRPr="00793EEA">
        <w:rPr>
          <w:i/>
          <w:szCs w:val="18"/>
        </w:rPr>
        <w:t xml:space="preserve"> </w:t>
      </w:r>
    </w:p>
    <w:p w:rsidR="00192C76" w:rsidP="00192C76" w:rsidRDefault="00222709" w14:paraId="3A10A8D7" w14:textId="1A40DE71">
      <w:pPr>
        <w:pStyle w:val="Lijstalinea"/>
        <w:spacing w:line="240" w:lineRule="atLeast"/>
        <w:rPr>
          <w:szCs w:val="18"/>
        </w:rPr>
      </w:pPr>
      <w:r w:rsidRPr="00222709">
        <w:rPr>
          <w:szCs w:val="18"/>
        </w:rPr>
        <w:t>Het benodigde projectbudget</w:t>
      </w:r>
      <w:r>
        <w:rPr>
          <w:szCs w:val="18"/>
        </w:rPr>
        <w:t xml:space="preserve"> van € 1,5 mln. is nodig</w:t>
      </w:r>
      <w:r w:rsidRPr="00222709">
        <w:rPr>
          <w:szCs w:val="18"/>
        </w:rPr>
        <w:t xml:space="preserve"> voor de domeinen Digital </w:t>
      </w:r>
      <w:proofErr w:type="spellStart"/>
      <w:r w:rsidRPr="00222709">
        <w:rPr>
          <w:szCs w:val="18"/>
        </w:rPr>
        <w:t>Workspace</w:t>
      </w:r>
      <w:proofErr w:type="spellEnd"/>
      <w:r w:rsidRPr="00222709">
        <w:rPr>
          <w:szCs w:val="18"/>
        </w:rPr>
        <w:t xml:space="preserve"> en Infra en Cloud (</w:t>
      </w:r>
      <w:proofErr w:type="spellStart"/>
      <w:r w:rsidRPr="00222709">
        <w:rPr>
          <w:szCs w:val="18"/>
        </w:rPr>
        <w:t>Flexinfra</w:t>
      </w:r>
      <w:proofErr w:type="spellEnd"/>
      <w:r w:rsidRPr="00222709">
        <w:rPr>
          <w:szCs w:val="18"/>
        </w:rPr>
        <w:t>) om de moderne werkplek verder door te ontwikkelen</w:t>
      </w:r>
      <w:r>
        <w:rPr>
          <w:szCs w:val="18"/>
        </w:rPr>
        <w:t>. Deze projecten</w:t>
      </w:r>
      <w:r w:rsidRPr="00222709">
        <w:rPr>
          <w:szCs w:val="18"/>
        </w:rPr>
        <w:t xml:space="preserve"> </w:t>
      </w:r>
      <w:r>
        <w:rPr>
          <w:szCs w:val="18"/>
        </w:rPr>
        <w:t>dragen ook bij aan</w:t>
      </w:r>
      <w:r w:rsidRPr="00222709">
        <w:rPr>
          <w:szCs w:val="18"/>
        </w:rPr>
        <w:t xml:space="preserve"> </w:t>
      </w:r>
      <w:r>
        <w:rPr>
          <w:szCs w:val="18"/>
        </w:rPr>
        <w:t xml:space="preserve">de verbetering in </w:t>
      </w:r>
      <w:r w:rsidRPr="00222709">
        <w:rPr>
          <w:szCs w:val="18"/>
        </w:rPr>
        <w:t>informatiebeveiliging en gebruikerswensen</w:t>
      </w:r>
      <w:r>
        <w:rPr>
          <w:szCs w:val="18"/>
        </w:rPr>
        <w:t xml:space="preserve"> vanuit de moderne werkplek.</w:t>
      </w:r>
    </w:p>
    <w:p w:rsidR="00503955" w:rsidP="00192C76" w:rsidRDefault="00503955" w14:paraId="4D70A8BB" w14:textId="77777777">
      <w:pPr>
        <w:pStyle w:val="Lijstalinea"/>
        <w:spacing w:line="240" w:lineRule="atLeast"/>
        <w:rPr>
          <w:szCs w:val="18"/>
        </w:rPr>
      </w:pPr>
    </w:p>
    <w:p w:rsidR="00503955" w:rsidP="00192C76" w:rsidRDefault="00503955" w14:paraId="5A3AB861" w14:textId="77777777">
      <w:pPr>
        <w:pStyle w:val="Lijstalinea"/>
        <w:spacing w:line="240" w:lineRule="atLeast"/>
        <w:rPr>
          <w:szCs w:val="18"/>
        </w:rPr>
      </w:pPr>
    </w:p>
    <w:p w:rsidR="00503955" w:rsidP="00192C76" w:rsidRDefault="00503955" w14:paraId="7F3139BA" w14:textId="77777777">
      <w:pPr>
        <w:pStyle w:val="Lijstalinea"/>
        <w:spacing w:line="240" w:lineRule="atLeast"/>
        <w:rPr>
          <w:szCs w:val="18"/>
        </w:rPr>
      </w:pPr>
    </w:p>
    <w:p w:rsidR="002E57C2" w:rsidP="00654798" w:rsidRDefault="002E57C2" w14:paraId="7CEA3A6C" w14:textId="77777777">
      <w:pPr>
        <w:tabs>
          <w:tab w:val="left" w:pos="6795"/>
        </w:tabs>
        <w:spacing w:line="240" w:lineRule="atLeast"/>
        <w:rPr>
          <w:rFonts w:ascii="Verdana" w:hAnsi="Verdana"/>
          <w:sz w:val="18"/>
          <w:szCs w:val="18"/>
        </w:rPr>
      </w:pPr>
    </w:p>
    <w:p w:rsidRPr="002E57C2" w:rsidR="002E57C2" w:rsidP="002E57C2" w:rsidRDefault="002E57C2" w14:paraId="31380401" w14:textId="77777777">
      <w:pPr>
        <w:tabs>
          <w:tab w:val="left" w:pos="6795"/>
        </w:tabs>
        <w:spacing w:line="240" w:lineRule="atLeast"/>
        <w:rPr>
          <w:rFonts w:ascii="Verdana" w:hAnsi="Verdana"/>
          <w:sz w:val="18"/>
          <w:szCs w:val="18"/>
        </w:rPr>
      </w:pPr>
      <w:r w:rsidRPr="002E57C2">
        <w:rPr>
          <w:rFonts w:ascii="Verdana" w:hAnsi="Verdana"/>
          <w:sz w:val="18"/>
          <w:szCs w:val="18"/>
        </w:rPr>
        <w:t>Artikelonderdeel 3.4: Fractiekosten</w:t>
      </w:r>
    </w:p>
    <w:p w:rsidR="002E57C2" w:rsidP="00654798" w:rsidRDefault="00B63AD2" w14:paraId="7B3B65B6" w14:textId="3EBBC58C">
      <w:pPr>
        <w:tabs>
          <w:tab w:val="left" w:pos="6795"/>
        </w:tabs>
        <w:spacing w:line="240" w:lineRule="atLeast"/>
        <w:rPr>
          <w:rFonts w:ascii="Verdana" w:hAnsi="Verdana"/>
          <w:sz w:val="18"/>
          <w:szCs w:val="18"/>
        </w:rPr>
      </w:pPr>
      <w:r>
        <w:rPr>
          <w:rFonts w:ascii="Verdana" w:hAnsi="Verdana"/>
          <w:sz w:val="18"/>
          <w:szCs w:val="18"/>
        </w:rPr>
        <w:t>Het budget voor de fractie</w:t>
      </w:r>
      <w:r w:rsidR="009938D3">
        <w:rPr>
          <w:rFonts w:ascii="Verdana" w:hAnsi="Verdana"/>
          <w:sz w:val="18"/>
          <w:szCs w:val="18"/>
        </w:rPr>
        <w:t xml:space="preserve">kosten 2030 </w:t>
      </w:r>
      <w:r w:rsidR="00D470E6">
        <w:rPr>
          <w:rFonts w:ascii="Verdana" w:hAnsi="Verdana"/>
          <w:sz w:val="18"/>
          <w:szCs w:val="18"/>
        </w:rPr>
        <w:t>was</w:t>
      </w:r>
      <w:r w:rsidR="009938D3">
        <w:rPr>
          <w:rFonts w:ascii="Verdana" w:hAnsi="Verdana"/>
          <w:sz w:val="18"/>
          <w:szCs w:val="18"/>
        </w:rPr>
        <w:t xml:space="preserve"> nog gebaseerd op</w:t>
      </w:r>
      <w:r w:rsidR="00D470E6">
        <w:rPr>
          <w:rFonts w:ascii="Verdana" w:hAnsi="Verdana"/>
          <w:sz w:val="18"/>
          <w:szCs w:val="18"/>
        </w:rPr>
        <w:t xml:space="preserve"> oudere zetelbedragen en niet eerder zichtbaar of aanpasbaar bij de vorige Raming.</w:t>
      </w:r>
      <w:r w:rsidR="009938D3">
        <w:rPr>
          <w:rFonts w:ascii="Verdana" w:hAnsi="Verdana"/>
          <w:sz w:val="18"/>
          <w:szCs w:val="18"/>
        </w:rPr>
        <w:t xml:space="preserve"> In deze </w:t>
      </w:r>
      <w:r w:rsidR="00D470E6">
        <w:rPr>
          <w:rFonts w:ascii="Verdana" w:hAnsi="Verdana"/>
          <w:sz w:val="18"/>
          <w:szCs w:val="18"/>
        </w:rPr>
        <w:t>Ra</w:t>
      </w:r>
      <w:r w:rsidR="009938D3">
        <w:rPr>
          <w:rFonts w:ascii="Verdana" w:hAnsi="Verdana"/>
          <w:sz w:val="18"/>
          <w:szCs w:val="18"/>
        </w:rPr>
        <w:t xml:space="preserve">ming </w:t>
      </w:r>
      <w:r w:rsidR="00D470E6">
        <w:rPr>
          <w:rFonts w:ascii="Verdana" w:hAnsi="Verdana"/>
          <w:sz w:val="18"/>
          <w:szCs w:val="18"/>
        </w:rPr>
        <w:t>wordt</w:t>
      </w:r>
      <w:r w:rsidR="009938D3">
        <w:rPr>
          <w:rFonts w:ascii="Verdana" w:hAnsi="Verdana"/>
          <w:sz w:val="18"/>
          <w:szCs w:val="18"/>
        </w:rPr>
        <w:t xml:space="preserve"> de jaarschijf 2030</w:t>
      </w:r>
      <w:r w:rsidR="00D470E6">
        <w:rPr>
          <w:rFonts w:ascii="Verdana" w:hAnsi="Verdana"/>
          <w:sz w:val="18"/>
          <w:szCs w:val="18"/>
        </w:rPr>
        <w:t xml:space="preserve"> pas</w:t>
      </w:r>
      <w:r w:rsidR="009938D3">
        <w:rPr>
          <w:rFonts w:ascii="Verdana" w:hAnsi="Verdana"/>
          <w:sz w:val="18"/>
          <w:szCs w:val="18"/>
        </w:rPr>
        <w:t xml:space="preserve"> </w:t>
      </w:r>
      <w:r w:rsidR="00D470E6">
        <w:rPr>
          <w:rFonts w:ascii="Verdana" w:hAnsi="Verdana"/>
          <w:sz w:val="18"/>
          <w:szCs w:val="18"/>
        </w:rPr>
        <w:t xml:space="preserve">zichtbaar en kan zo </w:t>
      </w:r>
      <w:r w:rsidR="009938D3">
        <w:rPr>
          <w:rFonts w:ascii="Verdana" w:hAnsi="Verdana"/>
          <w:sz w:val="18"/>
          <w:szCs w:val="18"/>
        </w:rPr>
        <w:t>worden bijgesteld naar</w:t>
      </w:r>
      <w:r w:rsidR="00D470E6">
        <w:rPr>
          <w:rFonts w:ascii="Verdana" w:hAnsi="Verdana"/>
          <w:sz w:val="18"/>
          <w:szCs w:val="18"/>
        </w:rPr>
        <w:t xml:space="preserve"> nieuwere zetelbedragen. </w:t>
      </w:r>
      <w:r w:rsidR="00781AC4">
        <w:rPr>
          <w:rFonts w:ascii="Verdana" w:hAnsi="Verdana"/>
          <w:sz w:val="18"/>
          <w:szCs w:val="18"/>
        </w:rPr>
        <w:t>E</w:t>
      </w:r>
      <w:r w:rsidR="00D470E6">
        <w:rPr>
          <w:rFonts w:ascii="Verdana" w:hAnsi="Verdana"/>
          <w:sz w:val="18"/>
          <w:szCs w:val="18"/>
        </w:rPr>
        <w:t xml:space="preserve">en ophoging van € 1,0 mln. in 2030 is </w:t>
      </w:r>
      <w:r w:rsidR="00781AC4">
        <w:rPr>
          <w:rFonts w:ascii="Verdana" w:hAnsi="Verdana"/>
          <w:sz w:val="18"/>
          <w:szCs w:val="18"/>
        </w:rPr>
        <w:t>benodigd voor deze aanpassing</w:t>
      </w:r>
      <w:r w:rsidR="00D470E6">
        <w:rPr>
          <w:rFonts w:ascii="Verdana" w:hAnsi="Verdana"/>
          <w:sz w:val="18"/>
          <w:szCs w:val="18"/>
        </w:rPr>
        <w:t xml:space="preserve">. </w:t>
      </w:r>
      <w:r w:rsidR="009938D3">
        <w:rPr>
          <w:rFonts w:ascii="Verdana" w:hAnsi="Verdana"/>
          <w:sz w:val="18"/>
          <w:szCs w:val="18"/>
        </w:rPr>
        <w:t xml:space="preserve">   </w:t>
      </w:r>
    </w:p>
    <w:bookmarkEnd w:id="1"/>
    <w:p w:rsidR="002E57C2" w:rsidP="00654798" w:rsidRDefault="002E57C2" w14:paraId="10C1738F" w14:textId="77777777">
      <w:pPr>
        <w:tabs>
          <w:tab w:val="left" w:pos="6795"/>
        </w:tabs>
        <w:spacing w:line="240" w:lineRule="atLeast"/>
        <w:rPr>
          <w:rFonts w:ascii="Verdana" w:hAnsi="Verdana"/>
          <w:sz w:val="18"/>
          <w:szCs w:val="18"/>
        </w:rPr>
      </w:pPr>
    </w:p>
    <w:p w:rsidRPr="006B6DD6" w:rsidR="006B6DD6" w:rsidP="006B6DD6" w:rsidRDefault="006B6DD6" w14:paraId="183D7CC0" w14:textId="77777777">
      <w:pPr>
        <w:tabs>
          <w:tab w:val="left" w:pos="6795"/>
        </w:tabs>
        <w:spacing w:line="240" w:lineRule="atLeast"/>
        <w:rPr>
          <w:rFonts w:ascii="Verdana" w:hAnsi="Verdana"/>
          <w:sz w:val="18"/>
          <w:szCs w:val="18"/>
        </w:rPr>
      </w:pPr>
      <w:r w:rsidRPr="006B6DD6">
        <w:rPr>
          <w:rFonts w:ascii="Verdana" w:hAnsi="Verdana"/>
          <w:sz w:val="18"/>
          <w:szCs w:val="18"/>
        </w:rPr>
        <w:t>Artikelonderdeel 3.6: Parlementaire Enquêtes</w:t>
      </w:r>
    </w:p>
    <w:p w:rsidRPr="006B6DD6" w:rsidR="006B6DD6" w:rsidP="006B6DD6" w:rsidRDefault="006B6DD6" w14:paraId="09E78621" w14:textId="2C729E1F">
      <w:pPr>
        <w:tabs>
          <w:tab w:val="left" w:pos="6795"/>
        </w:tabs>
        <w:spacing w:line="240" w:lineRule="atLeast"/>
        <w:rPr>
          <w:rFonts w:ascii="Verdana" w:hAnsi="Verdana"/>
          <w:sz w:val="18"/>
          <w:szCs w:val="18"/>
        </w:rPr>
      </w:pPr>
      <w:r w:rsidRPr="006B6DD6">
        <w:rPr>
          <w:rFonts w:ascii="Verdana" w:hAnsi="Verdana"/>
          <w:sz w:val="18"/>
          <w:szCs w:val="18"/>
        </w:rPr>
        <w:t>In 202</w:t>
      </w:r>
      <w:r>
        <w:rPr>
          <w:rFonts w:ascii="Verdana" w:hAnsi="Verdana"/>
          <w:sz w:val="18"/>
          <w:szCs w:val="18"/>
        </w:rPr>
        <w:t>4</w:t>
      </w:r>
      <w:r w:rsidRPr="006B6DD6">
        <w:rPr>
          <w:rFonts w:ascii="Verdana" w:hAnsi="Verdana"/>
          <w:sz w:val="18"/>
          <w:szCs w:val="18"/>
        </w:rPr>
        <w:t xml:space="preserve"> is het begrote bedrag voor de Parlementaire Enquête </w:t>
      </w:r>
      <w:r>
        <w:rPr>
          <w:rFonts w:ascii="Verdana" w:hAnsi="Verdana"/>
          <w:sz w:val="18"/>
          <w:szCs w:val="18"/>
        </w:rPr>
        <w:t>Corona</w:t>
      </w:r>
      <w:r w:rsidRPr="006B6DD6">
        <w:rPr>
          <w:rFonts w:ascii="Verdana" w:hAnsi="Verdana"/>
          <w:sz w:val="18"/>
          <w:szCs w:val="18"/>
        </w:rPr>
        <w:t xml:space="preserve"> niet volledig benut en het restant ter hoogte van € </w:t>
      </w:r>
      <w:r>
        <w:rPr>
          <w:rFonts w:ascii="Verdana" w:hAnsi="Verdana"/>
          <w:sz w:val="18"/>
          <w:szCs w:val="18"/>
        </w:rPr>
        <w:t>1</w:t>
      </w:r>
      <w:r w:rsidRPr="006B6DD6">
        <w:rPr>
          <w:rFonts w:ascii="Verdana" w:hAnsi="Verdana"/>
          <w:sz w:val="18"/>
          <w:szCs w:val="18"/>
        </w:rPr>
        <w:t>,</w:t>
      </w:r>
      <w:r>
        <w:rPr>
          <w:rFonts w:ascii="Verdana" w:hAnsi="Verdana"/>
          <w:sz w:val="18"/>
          <w:szCs w:val="18"/>
        </w:rPr>
        <w:t>09</w:t>
      </w:r>
      <w:r w:rsidRPr="006B6DD6">
        <w:rPr>
          <w:rFonts w:ascii="Verdana" w:hAnsi="Verdana"/>
          <w:sz w:val="18"/>
          <w:szCs w:val="18"/>
        </w:rPr>
        <w:t xml:space="preserve"> mln. wordt in 202</w:t>
      </w:r>
      <w:r>
        <w:rPr>
          <w:rFonts w:ascii="Verdana" w:hAnsi="Verdana"/>
          <w:sz w:val="18"/>
          <w:szCs w:val="18"/>
        </w:rPr>
        <w:t>6</w:t>
      </w:r>
      <w:r w:rsidRPr="006B6DD6">
        <w:rPr>
          <w:rFonts w:ascii="Verdana" w:hAnsi="Verdana"/>
          <w:sz w:val="18"/>
          <w:szCs w:val="18"/>
        </w:rPr>
        <w:t xml:space="preserve"> </w:t>
      </w:r>
      <w:r w:rsidR="00A15CC3">
        <w:rPr>
          <w:rFonts w:ascii="Verdana" w:hAnsi="Verdana"/>
          <w:sz w:val="18"/>
          <w:szCs w:val="18"/>
        </w:rPr>
        <w:t>opgevoerd</w:t>
      </w:r>
      <w:r w:rsidRPr="006B6DD6">
        <w:rPr>
          <w:rFonts w:ascii="Verdana" w:hAnsi="Verdana"/>
          <w:sz w:val="18"/>
          <w:szCs w:val="18"/>
        </w:rPr>
        <w:t>.</w:t>
      </w:r>
    </w:p>
    <w:p w:rsidR="006B6DD6" w:rsidP="00654798" w:rsidRDefault="006B6DD6" w14:paraId="589E3455" w14:textId="77777777">
      <w:pPr>
        <w:tabs>
          <w:tab w:val="left" w:pos="6795"/>
        </w:tabs>
        <w:spacing w:line="240" w:lineRule="atLeast"/>
        <w:rPr>
          <w:rFonts w:ascii="Verdana" w:hAnsi="Verdana"/>
          <w:sz w:val="18"/>
          <w:szCs w:val="18"/>
        </w:rPr>
      </w:pPr>
    </w:p>
    <w:p w:rsidRPr="00172F87" w:rsidR="00095415" w:rsidP="00654798" w:rsidRDefault="51825749" w14:paraId="66265786" w14:textId="40D043AF">
      <w:pPr>
        <w:tabs>
          <w:tab w:val="left" w:pos="6795"/>
        </w:tabs>
        <w:spacing w:line="240" w:lineRule="atLeast"/>
        <w:rPr>
          <w:rFonts w:ascii="Verdana" w:hAnsi="Verdana"/>
          <w:sz w:val="18"/>
          <w:szCs w:val="18"/>
        </w:rPr>
      </w:pPr>
      <w:r w:rsidRPr="00172F87">
        <w:rPr>
          <w:rFonts w:ascii="Verdana" w:hAnsi="Verdana"/>
          <w:sz w:val="18"/>
          <w:szCs w:val="18"/>
        </w:rPr>
        <w:t>Artikel 3: Ontvangsten</w:t>
      </w:r>
      <w:r w:rsidR="00793EEA">
        <w:rPr>
          <w:rFonts w:ascii="Verdana" w:hAnsi="Verdana"/>
          <w:sz w:val="18"/>
          <w:szCs w:val="18"/>
        </w:rPr>
        <w:tab/>
      </w:r>
    </w:p>
    <w:p w:rsidRPr="00EF7F2D" w:rsidR="00DA04F5" w:rsidP="00DA04F5" w:rsidRDefault="00CD3D8D" w14:paraId="7832F269" w14:textId="374313A4">
      <w:pPr>
        <w:spacing w:line="240" w:lineRule="atLeast"/>
        <w:rPr>
          <w:rFonts w:ascii="Verdana" w:hAnsi="Verdana"/>
          <w:sz w:val="18"/>
          <w:szCs w:val="18"/>
        </w:rPr>
      </w:pPr>
      <w:r w:rsidRPr="00EF7F2D">
        <w:rPr>
          <w:rFonts w:ascii="Verdana" w:hAnsi="Verdana"/>
          <w:sz w:val="18"/>
          <w:szCs w:val="18"/>
        </w:rPr>
        <w:t xml:space="preserve">De Tweede Kamer begroot meerjarig ontvangsten. Deze ontvangsten hebben betrekking op de omzet van het Restaurantbedrijf, doorbelastingen aan derden en inhoudingen op lonen en salaris en ontvangsten voor zwangerschap- en bevallingsuitkeringen. </w:t>
      </w:r>
      <w:bookmarkStart w:name="_Hlk191375436" w:id="3"/>
      <w:r w:rsidRPr="00EF7F2D" w:rsidR="00DA04F5">
        <w:rPr>
          <w:rFonts w:ascii="Verdana" w:hAnsi="Verdana"/>
          <w:sz w:val="18"/>
          <w:szCs w:val="18"/>
        </w:rPr>
        <w:t xml:space="preserve">De ontvangsten ten aanzien van het Restaurantbedrijf worden in lijn gebracht met de hogere opbrengsten uit het Restaurantbedrijf. </w:t>
      </w:r>
      <w:r w:rsidR="00EF7F2D">
        <w:rPr>
          <w:rFonts w:ascii="Verdana" w:hAnsi="Verdana"/>
          <w:sz w:val="18"/>
          <w:szCs w:val="18"/>
        </w:rPr>
        <w:t xml:space="preserve">          </w:t>
      </w:r>
      <w:r w:rsidRPr="00EF7F2D" w:rsidR="00DA04F5">
        <w:rPr>
          <w:rFonts w:ascii="Verdana" w:hAnsi="Verdana"/>
          <w:sz w:val="18"/>
          <w:szCs w:val="18"/>
        </w:rPr>
        <w:t>Met €</w:t>
      </w:r>
      <w:r w:rsidR="00F723A5">
        <w:rPr>
          <w:rFonts w:ascii="Verdana" w:hAnsi="Verdana"/>
          <w:sz w:val="18"/>
          <w:szCs w:val="18"/>
        </w:rPr>
        <w:t xml:space="preserve"> </w:t>
      </w:r>
      <w:r w:rsidRPr="00EF7F2D" w:rsidR="00DA04F5">
        <w:rPr>
          <w:rFonts w:ascii="Verdana" w:hAnsi="Verdana"/>
          <w:sz w:val="18"/>
          <w:szCs w:val="18"/>
        </w:rPr>
        <w:t>0,3 mln. wordt dit structureel naar boven bijgesteld in de Raming.</w:t>
      </w:r>
    </w:p>
    <w:bookmarkEnd w:id="3"/>
    <w:p w:rsidR="00AD7E71" w:rsidP="00654798" w:rsidRDefault="00AD7E71" w14:paraId="755924EA" w14:textId="558A8E12">
      <w:pPr>
        <w:spacing w:line="240" w:lineRule="atLeast"/>
        <w:rPr>
          <w:rFonts w:ascii="Verdana" w:hAnsi="Verdana"/>
          <w:sz w:val="18"/>
          <w:szCs w:val="18"/>
        </w:rPr>
      </w:pPr>
    </w:p>
    <w:p w:rsidR="003E4FD2" w:rsidRDefault="003E4FD2" w14:paraId="4ECEAB2E" w14:textId="66FCEA84">
      <w:pPr>
        <w:rPr>
          <w:rFonts w:ascii="Verdana" w:hAnsi="Verdana"/>
          <w:sz w:val="18"/>
          <w:szCs w:val="18"/>
        </w:rPr>
      </w:pPr>
      <w:r>
        <w:rPr>
          <w:rFonts w:ascii="Verdana" w:hAnsi="Verdana"/>
          <w:sz w:val="18"/>
          <w:szCs w:val="18"/>
        </w:rPr>
        <w:br w:type="page"/>
      </w:r>
    </w:p>
    <w:bookmarkEnd w:id="2"/>
    <w:p w:rsidRPr="00397084" w:rsidR="00AE25CB" w:rsidP="00654798" w:rsidRDefault="51825749" w14:paraId="1689070E" w14:textId="0B2B02A1">
      <w:pPr>
        <w:widowControl w:val="0"/>
        <w:tabs>
          <w:tab w:val="left" w:pos="2268"/>
        </w:tabs>
        <w:autoSpaceDE w:val="0"/>
        <w:autoSpaceDN w:val="0"/>
        <w:adjustRightInd w:val="0"/>
        <w:spacing w:line="240" w:lineRule="atLeast"/>
        <w:outlineLvl w:val="0"/>
        <w:rPr>
          <w:rFonts w:ascii="Verdana" w:hAnsi="Verdana"/>
          <w:b/>
          <w:bCs/>
          <w:sz w:val="18"/>
          <w:szCs w:val="18"/>
          <w:u w:val="single"/>
        </w:rPr>
      </w:pPr>
      <w:r w:rsidRPr="51825749">
        <w:rPr>
          <w:rFonts w:ascii="Verdana" w:hAnsi="Verdana"/>
          <w:b/>
          <w:bCs/>
          <w:sz w:val="18"/>
          <w:szCs w:val="18"/>
        </w:rPr>
        <w:t xml:space="preserve">4. </w:t>
      </w:r>
      <w:r w:rsidRPr="51825749">
        <w:rPr>
          <w:rFonts w:ascii="Verdana" w:hAnsi="Verdana"/>
          <w:b/>
          <w:bCs/>
          <w:sz w:val="18"/>
          <w:szCs w:val="18"/>
          <w:u w:val="single"/>
        </w:rPr>
        <w:t xml:space="preserve">Artikel 4: Wetgeving en controle Eerste en Tweede Kamer </w:t>
      </w:r>
    </w:p>
    <w:p w:rsidRPr="003045BA" w:rsidR="00757EB7" w:rsidP="00654798" w:rsidRDefault="51825749" w14:paraId="21E05F6E" w14:textId="77777777">
      <w:pPr>
        <w:spacing w:line="240" w:lineRule="atLeast"/>
        <w:ind w:left="284" w:hanging="284"/>
        <w:rPr>
          <w:rFonts w:ascii="Verdana" w:hAnsi="Verdana"/>
          <w:sz w:val="18"/>
          <w:szCs w:val="18"/>
        </w:rPr>
      </w:pPr>
      <w:r w:rsidRPr="51825749">
        <w:rPr>
          <w:rFonts w:ascii="Verdana" w:hAnsi="Verdana"/>
          <w:sz w:val="18"/>
          <w:szCs w:val="18"/>
        </w:rPr>
        <w:t xml:space="preserve">Op dit artikel zijn de uitgaven geraamd ten behoeve van gezamenlijke activiteiten van de Eerste en </w:t>
      </w:r>
    </w:p>
    <w:p w:rsidR="00AE25CB" w:rsidP="00654798" w:rsidRDefault="51825749" w14:paraId="37B9D368" w14:textId="6A77BCE7">
      <w:pPr>
        <w:spacing w:line="240" w:lineRule="atLeast"/>
        <w:ind w:left="284" w:hanging="284"/>
        <w:rPr>
          <w:rFonts w:ascii="Verdana" w:hAnsi="Verdana"/>
          <w:sz w:val="18"/>
          <w:szCs w:val="18"/>
        </w:rPr>
      </w:pPr>
      <w:r w:rsidRPr="51825749">
        <w:rPr>
          <w:rFonts w:ascii="Verdana" w:hAnsi="Verdana"/>
          <w:sz w:val="18"/>
          <w:szCs w:val="18"/>
        </w:rPr>
        <w:t>Tweede Kamer, te weten deelname aan activiteiten van interparlementaire organen.</w:t>
      </w:r>
    </w:p>
    <w:p w:rsidR="00D714F6" w:rsidP="00654798" w:rsidRDefault="00D714F6" w14:paraId="0E96E122" w14:textId="5625DA04">
      <w:pPr>
        <w:spacing w:line="240" w:lineRule="atLeast"/>
        <w:ind w:left="284" w:hanging="284"/>
        <w:rPr>
          <w:rFonts w:ascii="Verdana" w:hAnsi="Verdana"/>
          <w:sz w:val="18"/>
          <w:szCs w:val="18"/>
        </w:rPr>
      </w:pPr>
    </w:p>
    <w:p w:rsidR="00D714F6" w:rsidP="00654798" w:rsidRDefault="00D714F6" w14:paraId="0529A3CC" w14:textId="68B04A16">
      <w:pPr>
        <w:spacing w:line="240" w:lineRule="atLeast"/>
        <w:ind w:left="284" w:hanging="284"/>
        <w:rPr>
          <w:rFonts w:ascii="Verdana" w:hAnsi="Verdana"/>
          <w:i/>
          <w:iCs/>
          <w:sz w:val="18"/>
          <w:szCs w:val="18"/>
        </w:rPr>
      </w:pPr>
      <w:r w:rsidRPr="51825749">
        <w:rPr>
          <w:rFonts w:ascii="Verdana" w:hAnsi="Verdana"/>
          <w:i/>
          <w:iCs/>
          <w:sz w:val="18"/>
          <w:szCs w:val="18"/>
        </w:rPr>
        <w:t xml:space="preserve">Tabel </w:t>
      </w:r>
      <w:r w:rsidRPr="51825749" w:rsidR="005B35DE">
        <w:rPr>
          <w:rFonts w:ascii="Verdana" w:hAnsi="Verdana"/>
          <w:i/>
          <w:iCs/>
          <w:sz w:val="18"/>
          <w:szCs w:val="18"/>
        </w:rPr>
        <w:t>5:</w:t>
      </w:r>
      <w:r w:rsidRPr="51825749">
        <w:rPr>
          <w:rFonts w:ascii="Verdana" w:hAnsi="Verdana"/>
          <w:i/>
          <w:iCs/>
          <w:sz w:val="18"/>
          <w:szCs w:val="18"/>
        </w:rPr>
        <w:t xml:space="preserve"> budgettaire gevolgen van beleid</w:t>
      </w:r>
    </w:p>
    <w:tbl>
      <w:tblPr>
        <w:tblW w:w="9940" w:type="dxa"/>
        <w:tblCellMar>
          <w:left w:w="70" w:type="dxa"/>
          <w:right w:w="70" w:type="dxa"/>
        </w:tblCellMar>
        <w:tblLook w:val="04A0" w:firstRow="1" w:lastRow="0" w:firstColumn="1" w:lastColumn="0" w:noHBand="0" w:noVBand="1"/>
      </w:tblPr>
      <w:tblGrid>
        <w:gridCol w:w="3380"/>
        <w:gridCol w:w="1120"/>
        <w:gridCol w:w="1120"/>
        <w:gridCol w:w="1120"/>
        <w:gridCol w:w="1120"/>
        <w:gridCol w:w="1120"/>
        <w:gridCol w:w="960"/>
      </w:tblGrid>
      <w:tr w:rsidRPr="00B9012E" w:rsidR="00B9012E" w:rsidTr="00B9012E" w14:paraId="01FD74EC" w14:textId="77777777">
        <w:trPr>
          <w:trHeight w:val="450"/>
        </w:trPr>
        <w:tc>
          <w:tcPr>
            <w:tcW w:w="3380" w:type="dxa"/>
            <w:tcBorders>
              <w:top w:val="nil"/>
              <w:left w:val="nil"/>
              <w:bottom w:val="nil"/>
              <w:right w:val="nil"/>
            </w:tcBorders>
            <w:shd w:val="clear" w:color="000000" w:fill="002060"/>
            <w:vAlign w:val="center"/>
            <w:hideMark/>
          </w:tcPr>
          <w:p w:rsidRPr="00B9012E" w:rsidR="00B9012E" w:rsidP="00B9012E" w:rsidRDefault="00B9012E" w14:paraId="6E2DC443" w14:textId="77777777">
            <w:pPr>
              <w:rPr>
                <w:rFonts w:ascii="Verdana" w:hAnsi="Verdana" w:cs="Calibri"/>
                <w:b/>
                <w:bCs/>
                <w:color w:val="FFFFFF"/>
                <w:sz w:val="18"/>
                <w:szCs w:val="18"/>
              </w:rPr>
            </w:pPr>
            <w:r w:rsidRPr="00B9012E">
              <w:rPr>
                <w:rFonts w:ascii="Verdana" w:hAnsi="Verdana" w:cs="Calibri"/>
                <w:b/>
                <w:bCs/>
                <w:color w:val="FFFFFF"/>
                <w:sz w:val="18"/>
                <w:szCs w:val="18"/>
              </w:rPr>
              <w:t xml:space="preserve">Artikel 4: Wetgeving en controle </w:t>
            </w:r>
          </w:p>
        </w:tc>
        <w:tc>
          <w:tcPr>
            <w:tcW w:w="1120" w:type="dxa"/>
            <w:vMerge w:val="restart"/>
            <w:tcBorders>
              <w:top w:val="nil"/>
              <w:left w:val="nil"/>
              <w:bottom w:val="nil"/>
              <w:right w:val="nil"/>
            </w:tcBorders>
            <w:shd w:val="clear" w:color="000000" w:fill="002060"/>
            <w:noWrap/>
            <w:vAlign w:val="center"/>
            <w:hideMark/>
          </w:tcPr>
          <w:p w:rsidRPr="00B9012E" w:rsidR="00B9012E" w:rsidP="00B9012E" w:rsidRDefault="00B9012E" w14:paraId="6CCF2165" w14:textId="77777777">
            <w:pPr>
              <w:jc w:val="center"/>
              <w:rPr>
                <w:rFonts w:ascii="Verdana" w:hAnsi="Verdana" w:cs="Calibri"/>
                <w:b/>
                <w:bCs/>
                <w:color w:val="FFFFFF"/>
                <w:sz w:val="18"/>
                <w:szCs w:val="18"/>
              </w:rPr>
            </w:pPr>
            <w:r w:rsidRPr="00B9012E">
              <w:rPr>
                <w:rFonts w:ascii="Verdana" w:hAnsi="Verdana" w:cs="Calibri"/>
                <w:b/>
                <w:bCs/>
                <w:color w:val="FFFFFF"/>
                <w:sz w:val="18"/>
                <w:szCs w:val="18"/>
              </w:rPr>
              <w:t>2025</w:t>
            </w:r>
          </w:p>
        </w:tc>
        <w:tc>
          <w:tcPr>
            <w:tcW w:w="1120" w:type="dxa"/>
            <w:vMerge w:val="restart"/>
            <w:tcBorders>
              <w:top w:val="nil"/>
              <w:left w:val="nil"/>
              <w:bottom w:val="nil"/>
              <w:right w:val="nil"/>
            </w:tcBorders>
            <w:shd w:val="clear" w:color="000000" w:fill="002060"/>
            <w:noWrap/>
            <w:vAlign w:val="center"/>
            <w:hideMark/>
          </w:tcPr>
          <w:p w:rsidRPr="00B9012E" w:rsidR="00B9012E" w:rsidP="00B9012E" w:rsidRDefault="00B9012E" w14:paraId="6140FEA0" w14:textId="77777777">
            <w:pPr>
              <w:jc w:val="center"/>
              <w:rPr>
                <w:rFonts w:ascii="Verdana" w:hAnsi="Verdana" w:cs="Calibri"/>
                <w:b/>
                <w:bCs/>
                <w:color w:val="FFFFFF"/>
                <w:sz w:val="18"/>
                <w:szCs w:val="18"/>
              </w:rPr>
            </w:pPr>
            <w:r w:rsidRPr="00B9012E">
              <w:rPr>
                <w:rFonts w:ascii="Verdana" w:hAnsi="Verdana" w:cs="Calibri"/>
                <w:b/>
                <w:bCs/>
                <w:color w:val="FFFFFF"/>
                <w:sz w:val="18"/>
                <w:szCs w:val="18"/>
              </w:rPr>
              <w:t>2026</w:t>
            </w:r>
          </w:p>
        </w:tc>
        <w:tc>
          <w:tcPr>
            <w:tcW w:w="1120" w:type="dxa"/>
            <w:vMerge w:val="restart"/>
            <w:tcBorders>
              <w:top w:val="nil"/>
              <w:left w:val="nil"/>
              <w:bottom w:val="nil"/>
              <w:right w:val="nil"/>
            </w:tcBorders>
            <w:shd w:val="clear" w:color="000000" w:fill="002060"/>
            <w:noWrap/>
            <w:vAlign w:val="center"/>
            <w:hideMark/>
          </w:tcPr>
          <w:p w:rsidRPr="00B9012E" w:rsidR="00B9012E" w:rsidP="00B9012E" w:rsidRDefault="00B9012E" w14:paraId="15751F5D" w14:textId="77777777">
            <w:pPr>
              <w:jc w:val="center"/>
              <w:rPr>
                <w:rFonts w:ascii="Verdana" w:hAnsi="Verdana" w:cs="Calibri"/>
                <w:b/>
                <w:bCs/>
                <w:color w:val="FFFFFF"/>
                <w:sz w:val="18"/>
                <w:szCs w:val="18"/>
              </w:rPr>
            </w:pPr>
            <w:r w:rsidRPr="00B9012E">
              <w:rPr>
                <w:rFonts w:ascii="Verdana" w:hAnsi="Verdana" w:cs="Calibri"/>
                <w:b/>
                <w:bCs/>
                <w:color w:val="FFFFFF"/>
                <w:sz w:val="18"/>
                <w:szCs w:val="18"/>
              </w:rPr>
              <w:t>2027</w:t>
            </w:r>
          </w:p>
        </w:tc>
        <w:tc>
          <w:tcPr>
            <w:tcW w:w="1120" w:type="dxa"/>
            <w:vMerge w:val="restart"/>
            <w:tcBorders>
              <w:top w:val="nil"/>
              <w:left w:val="nil"/>
              <w:bottom w:val="nil"/>
              <w:right w:val="nil"/>
            </w:tcBorders>
            <w:shd w:val="clear" w:color="000000" w:fill="002060"/>
            <w:noWrap/>
            <w:vAlign w:val="center"/>
            <w:hideMark/>
          </w:tcPr>
          <w:p w:rsidRPr="00B9012E" w:rsidR="00B9012E" w:rsidP="00B9012E" w:rsidRDefault="00B9012E" w14:paraId="4940E117" w14:textId="77777777">
            <w:pPr>
              <w:jc w:val="center"/>
              <w:rPr>
                <w:rFonts w:ascii="Verdana" w:hAnsi="Verdana" w:cs="Calibri"/>
                <w:b/>
                <w:bCs/>
                <w:color w:val="FFFFFF"/>
                <w:sz w:val="18"/>
                <w:szCs w:val="18"/>
              </w:rPr>
            </w:pPr>
            <w:r w:rsidRPr="00B9012E">
              <w:rPr>
                <w:rFonts w:ascii="Verdana" w:hAnsi="Verdana" w:cs="Calibri"/>
                <w:b/>
                <w:bCs/>
                <w:color w:val="FFFFFF"/>
                <w:sz w:val="18"/>
                <w:szCs w:val="18"/>
              </w:rPr>
              <w:t>2028</w:t>
            </w:r>
          </w:p>
        </w:tc>
        <w:tc>
          <w:tcPr>
            <w:tcW w:w="1120" w:type="dxa"/>
            <w:vMerge w:val="restart"/>
            <w:tcBorders>
              <w:top w:val="nil"/>
              <w:left w:val="nil"/>
              <w:bottom w:val="nil"/>
              <w:right w:val="nil"/>
            </w:tcBorders>
            <w:shd w:val="clear" w:color="000000" w:fill="002060"/>
            <w:vAlign w:val="center"/>
            <w:hideMark/>
          </w:tcPr>
          <w:p w:rsidRPr="00B9012E" w:rsidR="00B9012E" w:rsidP="00B9012E" w:rsidRDefault="00B9012E" w14:paraId="590812EF" w14:textId="77777777">
            <w:pPr>
              <w:jc w:val="right"/>
              <w:rPr>
                <w:rFonts w:ascii="Verdana" w:hAnsi="Verdana" w:cs="Calibri"/>
                <w:b/>
                <w:bCs/>
                <w:color w:val="FFFFFF"/>
                <w:sz w:val="18"/>
                <w:szCs w:val="18"/>
              </w:rPr>
            </w:pPr>
            <w:r w:rsidRPr="00B9012E">
              <w:rPr>
                <w:rFonts w:ascii="Verdana" w:hAnsi="Verdana" w:cs="Calibri"/>
                <w:b/>
                <w:bCs/>
                <w:color w:val="FFFFFF"/>
                <w:sz w:val="18"/>
                <w:szCs w:val="18"/>
              </w:rPr>
              <w:t>2029</w:t>
            </w:r>
          </w:p>
        </w:tc>
        <w:tc>
          <w:tcPr>
            <w:tcW w:w="960" w:type="dxa"/>
            <w:vMerge w:val="restart"/>
            <w:tcBorders>
              <w:top w:val="nil"/>
              <w:left w:val="nil"/>
              <w:bottom w:val="nil"/>
              <w:right w:val="nil"/>
            </w:tcBorders>
            <w:shd w:val="clear" w:color="000000" w:fill="002060"/>
            <w:vAlign w:val="center"/>
            <w:hideMark/>
          </w:tcPr>
          <w:p w:rsidRPr="00B9012E" w:rsidR="00B9012E" w:rsidP="00B9012E" w:rsidRDefault="00B9012E" w14:paraId="25CB4407" w14:textId="77777777">
            <w:pPr>
              <w:jc w:val="right"/>
              <w:rPr>
                <w:rFonts w:ascii="Verdana" w:hAnsi="Verdana" w:cs="Calibri"/>
                <w:b/>
                <w:bCs/>
                <w:color w:val="FFFFFF"/>
                <w:sz w:val="18"/>
                <w:szCs w:val="18"/>
              </w:rPr>
            </w:pPr>
            <w:r w:rsidRPr="00B9012E">
              <w:rPr>
                <w:rFonts w:ascii="Verdana" w:hAnsi="Verdana" w:cs="Calibri"/>
                <w:b/>
                <w:bCs/>
                <w:color w:val="FFFFFF"/>
                <w:sz w:val="18"/>
                <w:szCs w:val="18"/>
              </w:rPr>
              <w:t>2030</w:t>
            </w:r>
          </w:p>
        </w:tc>
      </w:tr>
      <w:tr w:rsidRPr="00B9012E" w:rsidR="00B9012E" w:rsidTr="00B9012E" w14:paraId="700EF56B" w14:textId="77777777">
        <w:trPr>
          <w:trHeight w:val="300"/>
        </w:trPr>
        <w:tc>
          <w:tcPr>
            <w:tcW w:w="3380" w:type="dxa"/>
            <w:tcBorders>
              <w:top w:val="nil"/>
              <w:left w:val="nil"/>
              <w:bottom w:val="nil"/>
              <w:right w:val="nil"/>
            </w:tcBorders>
            <w:shd w:val="clear" w:color="000000" w:fill="002060"/>
            <w:vAlign w:val="center"/>
            <w:hideMark/>
          </w:tcPr>
          <w:p w:rsidRPr="00B9012E" w:rsidR="00B9012E" w:rsidP="00B9012E" w:rsidRDefault="00B9012E" w14:paraId="737B33EF" w14:textId="77777777">
            <w:pPr>
              <w:rPr>
                <w:rFonts w:ascii="Verdana" w:hAnsi="Verdana" w:cs="Calibri"/>
                <w:b/>
                <w:bCs/>
                <w:color w:val="FFFFFF"/>
                <w:sz w:val="18"/>
                <w:szCs w:val="18"/>
              </w:rPr>
            </w:pPr>
            <w:r w:rsidRPr="00B9012E">
              <w:rPr>
                <w:rFonts w:ascii="Verdana" w:hAnsi="Verdana" w:cs="Calibri"/>
                <w:b/>
                <w:bCs/>
                <w:color w:val="FFFFFF"/>
                <w:sz w:val="18"/>
                <w:szCs w:val="18"/>
              </w:rPr>
              <w:t xml:space="preserve">Eerste en Tweede Kamer </w:t>
            </w:r>
          </w:p>
        </w:tc>
        <w:tc>
          <w:tcPr>
            <w:tcW w:w="1120" w:type="dxa"/>
            <w:vMerge/>
            <w:tcBorders>
              <w:top w:val="nil"/>
              <w:left w:val="nil"/>
              <w:bottom w:val="nil"/>
              <w:right w:val="nil"/>
            </w:tcBorders>
            <w:vAlign w:val="center"/>
            <w:hideMark/>
          </w:tcPr>
          <w:p w:rsidRPr="00B9012E" w:rsidR="00B9012E" w:rsidP="00B9012E" w:rsidRDefault="00B9012E" w14:paraId="58844C7D" w14:textId="77777777">
            <w:pPr>
              <w:rPr>
                <w:rFonts w:ascii="Verdana" w:hAnsi="Verdana" w:cs="Calibri"/>
                <w:b/>
                <w:bCs/>
                <w:color w:val="FFFFFF"/>
                <w:sz w:val="18"/>
                <w:szCs w:val="18"/>
              </w:rPr>
            </w:pPr>
          </w:p>
        </w:tc>
        <w:tc>
          <w:tcPr>
            <w:tcW w:w="1120" w:type="dxa"/>
            <w:vMerge/>
            <w:tcBorders>
              <w:top w:val="nil"/>
              <w:left w:val="nil"/>
              <w:bottom w:val="nil"/>
              <w:right w:val="nil"/>
            </w:tcBorders>
            <w:vAlign w:val="center"/>
            <w:hideMark/>
          </w:tcPr>
          <w:p w:rsidRPr="00B9012E" w:rsidR="00B9012E" w:rsidP="00B9012E" w:rsidRDefault="00B9012E" w14:paraId="66774122" w14:textId="77777777">
            <w:pPr>
              <w:rPr>
                <w:rFonts w:ascii="Verdana" w:hAnsi="Verdana" w:cs="Calibri"/>
                <w:b/>
                <w:bCs/>
                <w:color w:val="FFFFFF"/>
                <w:sz w:val="18"/>
                <w:szCs w:val="18"/>
              </w:rPr>
            </w:pPr>
          </w:p>
        </w:tc>
        <w:tc>
          <w:tcPr>
            <w:tcW w:w="1120" w:type="dxa"/>
            <w:vMerge/>
            <w:tcBorders>
              <w:top w:val="nil"/>
              <w:left w:val="nil"/>
              <w:bottom w:val="nil"/>
              <w:right w:val="nil"/>
            </w:tcBorders>
            <w:vAlign w:val="center"/>
            <w:hideMark/>
          </w:tcPr>
          <w:p w:rsidRPr="00B9012E" w:rsidR="00B9012E" w:rsidP="00B9012E" w:rsidRDefault="00B9012E" w14:paraId="080A9A82" w14:textId="77777777">
            <w:pPr>
              <w:rPr>
                <w:rFonts w:ascii="Verdana" w:hAnsi="Verdana" w:cs="Calibri"/>
                <w:b/>
                <w:bCs/>
                <w:color w:val="FFFFFF"/>
                <w:sz w:val="18"/>
                <w:szCs w:val="18"/>
              </w:rPr>
            </w:pPr>
          </w:p>
        </w:tc>
        <w:tc>
          <w:tcPr>
            <w:tcW w:w="1120" w:type="dxa"/>
            <w:vMerge/>
            <w:tcBorders>
              <w:top w:val="nil"/>
              <w:left w:val="nil"/>
              <w:bottom w:val="nil"/>
              <w:right w:val="nil"/>
            </w:tcBorders>
            <w:vAlign w:val="center"/>
            <w:hideMark/>
          </w:tcPr>
          <w:p w:rsidRPr="00B9012E" w:rsidR="00B9012E" w:rsidP="00B9012E" w:rsidRDefault="00B9012E" w14:paraId="19D628F2" w14:textId="77777777">
            <w:pPr>
              <w:rPr>
                <w:rFonts w:ascii="Verdana" w:hAnsi="Verdana" w:cs="Calibri"/>
                <w:b/>
                <w:bCs/>
                <w:color w:val="FFFFFF"/>
                <w:sz w:val="18"/>
                <w:szCs w:val="18"/>
              </w:rPr>
            </w:pPr>
          </w:p>
        </w:tc>
        <w:tc>
          <w:tcPr>
            <w:tcW w:w="1120" w:type="dxa"/>
            <w:vMerge/>
            <w:tcBorders>
              <w:top w:val="nil"/>
              <w:left w:val="nil"/>
              <w:bottom w:val="nil"/>
              <w:right w:val="nil"/>
            </w:tcBorders>
            <w:vAlign w:val="center"/>
            <w:hideMark/>
          </w:tcPr>
          <w:p w:rsidRPr="00B9012E" w:rsidR="00B9012E" w:rsidP="00B9012E" w:rsidRDefault="00B9012E" w14:paraId="47ED9CD6" w14:textId="77777777">
            <w:pPr>
              <w:rPr>
                <w:rFonts w:ascii="Verdana" w:hAnsi="Verdana" w:cs="Calibri"/>
                <w:b/>
                <w:bCs/>
                <w:color w:val="FFFFFF"/>
                <w:sz w:val="18"/>
                <w:szCs w:val="18"/>
              </w:rPr>
            </w:pPr>
          </w:p>
        </w:tc>
        <w:tc>
          <w:tcPr>
            <w:tcW w:w="960" w:type="dxa"/>
            <w:vMerge/>
            <w:tcBorders>
              <w:top w:val="nil"/>
              <w:left w:val="nil"/>
              <w:bottom w:val="nil"/>
              <w:right w:val="nil"/>
            </w:tcBorders>
            <w:vAlign w:val="center"/>
            <w:hideMark/>
          </w:tcPr>
          <w:p w:rsidRPr="00B9012E" w:rsidR="00B9012E" w:rsidP="00B9012E" w:rsidRDefault="00B9012E" w14:paraId="01A69E2E" w14:textId="77777777">
            <w:pPr>
              <w:rPr>
                <w:rFonts w:ascii="Verdana" w:hAnsi="Verdana" w:cs="Calibri"/>
                <w:b/>
                <w:bCs/>
                <w:color w:val="FFFFFF"/>
                <w:sz w:val="18"/>
                <w:szCs w:val="18"/>
              </w:rPr>
            </w:pPr>
          </w:p>
        </w:tc>
      </w:tr>
      <w:tr w:rsidRPr="00B9012E" w:rsidR="00B9012E" w:rsidTr="00B9012E" w14:paraId="2308C269" w14:textId="77777777">
        <w:trPr>
          <w:trHeight w:val="300"/>
        </w:trPr>
        <w:tc>
          <w:tcPr>
            <w:tcW w:w="3380" w:type="dxa"/>
            <w:tcBorders>
              <w:top w:val="nil"/>
              <w:left w:val="nil"/>
              <w:bottom w:val="nil"/>
              <w:right w:val="nil"/>
            </w:tcBorders>
            <w:shd w:val="clear" w:color="000000" w:fill="002060"/>
            <w:vAlign w:val="center"/>
            <w:hideMark/>
          </w:tcPr>
          <w:p w:rsidRPr="00B9012E" w:rsidR="00B9012E" w:rsidP="00B9012E" w:rsidRDefault="00B9012E" w14:paraId="08E9F83F" w14:textId="77777777">
            <w:pPr>
              <w:rPr>
                <w:rFonts w:ascii="Verdana" w:hAnsi="Verdana" w:cs="Calibri"/>
                <w:b/>
                <w:bCs/>
                <w:color w:val="FFFFFF"/>
                <w:sz w:val="18"/>
                <w:szCs w:val="18"/>
              </w:rPr>
            </w:pPr>
            <w:r w:rsidRPr="00B9012E">
              <w:rPr>
                <w:rFonts w:ascii="Verdana" w:hAnsi="Verdana" w:cs="Calibri"/>
                <w:b/>
                <w:bCs/>
                <w:color w:val="FFFFFF"/>
                <w:sz w:val="18"/>
                <w:szCs w:val="18"/>
              </w:rPr>
              <w:t>(in €1 000)</w:t>
            </w:r>
          </w:p>
        </w:tc>
        <w:tc>
          <w:tcPr>
            <w:tcW w:w="1120" w:type="dxa"/>
            <w:vMerge/>
            <w:tcBorders>
              <w:top w:val="nil"/>
              <w:left w:val="nil"/>
              <w:bottom w:val="nil"/>
              <w:right w:val="nil"/>
            </w:tcBorders>
            <w:vAlign w:val="center"/>
            <w:hideMark/>
          </w:tcPr>
          <w:p w:rsidRPr="00B9012E" w:rsidR="00B9012E" w:rsidP="00B9012E" w:rsidRDefault="00B9012E" w14:paraId="12E536F8" w14:textId="77777777">
            <w:pPr>
              <w:rPr>
                <w:rFonts w:ascii="Verdana" w:hAnsi="Verdana" w:cs="Calibri"/>
                <w:b/>
                <w:bCs/>
                <w:color w:val="FFFFFF"/>
                <w:sz w:val="18"/>
                <w:szCs w:val="18"/>
              </w:rPr>
            </w:pPr>
          </w:p>
        </w:tc>
        <w:tc>
          <w:tcPr>
            <w:tcW w:w="1120" w:type="dxa"/>
            <w:vMerge/>
            <w:tcBorders>
              <w:top w:val="nil"/>
              <w:left w:val="nil"/>
              <w:bottom w:val="nil"/>
              <w:right w:val="nil"/>
            </w:tcBorders>
            <w:vAlign w:val="center"/>
            <w:hideMark/>
          </w:tcPr>
          <w:p w:rsidRPr="00B9012E" w:rsidR="00B9012E" w:rsidP="00B9012E" w:rsidRDefault="00B9012E" w14:paraId="7E7A96C4" w14:textId="77777777">
            <w:pPr>
              <w:rPr>
                <w:rFonts w:ascii="Verdana" w:hAnsi="Verdana" w:cs="Calibri"/>
                <w:b/>
                <w:bCs/>
                <w:color w:val="FFFFFF"/>
                <w:sz w:val="18"/>
                <w:szCs w:val="18"/>
              </w:rPr>
            </w:pPr>
          </w:p>
        </w:tc>
        <w:tc>
          <w:tcPr>
            <w:tcW w:w="1120" w:type="dxa"/>
            <w:vMerge/>
            <w:tcBorders>
              <w:top w:val="nil"/>
              <w:left w:val="nil"/>
              <w:bottom w:val="nil"/>
              <w:right w:val="nil"/>
            </w:tcBorders>
            <w:vAlign w:val="center"/>
            <w:hideMark/>
          </w:tcPr>
          <w:p w:rsidRPr="00B9012E" w:rsidR="00B9012E" w:rsidP="00B9012E" w:rsidRDefault="00B9012E" w14:paraId="3FF6D2C4" w14:textId="77777777">
            <w:pPr>
              <w:rPr>
                <w:rFonts w:ascii="Verdana" w:hAnsi="Verdana" w:cs="Calibri"/>
                <w:b/>
                <w:bCs/>
                <w:color w:val="FFFFFF"/>
                <w:sz w:val="18"/>
                <w:szCs w:val="18"/>
              </w:rPr>
            </w:pPr>
          </w:p>
        </w:tc>
        <w:tc>
          <w:tcPr>
            <w:tcW w:w="1120" w:type="dxa"/>
            <w:vMerge/>
            <w:tcBorders>
              <w:top w:val="nil"/>
              <w:left w:val="nil"/>
              <w:bottom w:val="nil"/>
              <w:right w:val="nil"/>
            </w:tcBorders>
            <w:vAlign w:val="center"/>
            <w:hideMark/>
          </w:tcPr>
          <w:p w:rsidRPr="00B9012E" w:rsidR="00B9012E" w:rsidP="00B9012E" w:rsidRDefault="00B9012E" w14:paraId="7B0082E4" w14:textId="77777777">
            <w:pPr>
              <w:rPr>
                <w:rFonts w:ascii="Verdana" w:hAnsi="Verdana" w:cs="Calibri"/>
                <w:b/>
                <w:bCs/>
                <w:color w:val="FFFFFF"/>
                <w:sz w:val="18"/>
                <w:szCs w:val="18"/>
              </w:rPr>
            </w:pPr>
          </w:p>
        </w:tc>
        <w:tc>
          <w:tcPr>
            <w:tcW w:w="1120" w:type="dxa"/>
            <w:vMerge/>
            <w:tcBorders>
              <w:top w:val="nil"/>
              <w:left w:val="nil"/>
              <w:bottom w:val="nil"/>
              <w:right w:val="nil"/>
            </w:tcBorders>
            <w:vAlign w:val="center"/>
            <w:hideMark/>
          </w:tcPr>
          <w:p w:rsidRPr="00B9012E" w:rsidR="00B9012E" w:rsidP="00B9012E" w:rsidRDefault="00B9012E" w14:paraId="5DAA4EED" w14:textId="77777777">
            <w:pPr>
              <w:rPr>
                <w:rFonts w:ascii="Verdana" w:hAnsi="Verdana" w:cs="Calibri"/>
                <w:b/>
                <w:bCs/>
                <w:color w:val="FFFFFF"/>
                <w:sz w:val="18"/>
                <w:szCs w:val="18"/>
              </w:rPr>
            </w:pPr>
          </w:p>
        </w:tc>
        <w:tc>
          <w:tcPr>
            <w:tcW w:w="960" w:type="dxa"/>
            <w:vMerge/>
            <w:tcBorders>
              <w:top w:val="nil"/>
              <w:left w:val="nil"/>
              <w:bottom w:val="nil"/>
              <w:right w:val="nil"/>
            </w:tcBorders>
            <w:vAlign w:val="center"/>
            <w:hideMark/>
          </w:tcPr>
          <w:p w:rsidRPr="00B9012E" w:rsidR="00B9012E" w:rsidP="00B9012E" w:rsidRDefault="00B9012E" w14:paraId="69A2BBBA" w14:textId="77777777">
            <w:pPr>
              <w:rPr>
                <w:rFonts w:ascii="Verdana" w:hAnsi="Verdana" w:cs="Calibri"/>
                <w:b/>
                <w:bCs/>
                <w:color w:val="FFFFFF"/>
                <w:sz w:val="18"/>
                <w:szCs w:val="18"/>
              </w:rPr>
            </w:pPr>
          </w:p>
        </w:tc>
      </w:tr>
      <w:tr w:rsidRPr="00B9012E" w:rsidR="00B9012E" w:rsidTr="00B9012E" w14:paraId="14A02275" w14:textId="77777777">
        <w:trPr>
          <w:trHeight w:val="300"/>
        </w:trPr>
        <w:tc>
          <w:tcPr>
            <w:tcW w:w="3380" w:type="dxa"/>
            <w:tcBorders>
              <w:top w:val="nil"/>
              <w:left w:val="nil"/>
              <w:bottom w:val="nil"/>
              <w:right w:val="nil"/>
            </w:tcBorders>
            <w:shd w:val="clear" w:color="auto" w:fill="auto"/>
            <w:vAlign w:val="center"/>
            <w:hideMark/>
          </w:tcPr>
          <w:p w:rsidRPr="00B9012E" w:rsidR="00B9012E" w:rsidP="00B9012E" w:rsidRDefault="00B9012E" w14:paraId="221708F1" w14:textId="030453D6">
            <w:pPr>
              <w:ind w:firstLine="361" w:firstLineChars="200"/>
              <w:rPr>
                <w:rFonts w:ascii="Verdana" w:hAnsi="Verdana" w:cs="Calibri"/>
                <w:b/>
                <w:bCs/>
                <w:color w:val="000000"/>
                <w:sz w:val="18"/>
                <w:szCs w:val="18"/>
              </w:rPr>
            </w:pPr>
            <w:r w:rsidRPr="00B9012E">
              <w:rPr>
                <w:rFonts w:ascii="Verdana" w:hAnsi="Verdana" w:cs="Calibri"/>
                <w:b/>
                <w:bCs/>
                <w:color w:val="000000"/>
                <w:sz w:val="18"/>
                <w:szCs w:val="18"/>
              </w:rPr>
              <w:t>Verplichtingen</w:t>
            </w:r>
          </w:p>
        </w:tc>
        <w:tc>
          <w:tcPr>
            <w:tcW w:w="1120" w:type="dxa"/>
            <w:tcBorders>
              <w:top w:val="nil"/>
              <w:left w:val="nil"/>
              <w:bottom w:val="nil"/>
              <w:right w:val="nil"/>
            </w:tcBorders>
            <w:shd w:val="clear" w:color="auto" w:fill="auto"/>
            <w:vAlign w:val="center"/>
            <w:hideMark/>
          </w:tcPr>
          <w:p w:rsidRPr="00B9012E" w:rsidR="00B9012E" w:rsidP="00B9012E" w:rsidRDefault="00B9012E" w14:paraId="68BED460" w14:textId="77777777">
            <w:pPr>
              <w:jc w:val="right"/>
              <w:rPr>
                <w:rFonts w:ascii="Verdana" w:hAnsi="Verdana" w:cs="Calibri"/>
                <w:b/>
                <w:bCs/>
                <w:color w:val="000000"/>
                <w:sz w:val="18"/>
                <w:szCs w:val="18"/>
              </w:rPr>
            </w:pPr>
            <w:r w:rsidRPr="00B9012E">
              <w:rPr>
                <w:rFonts w:ascii="Verdana" w:hAnsi="Verdana" w:cs="Calibri"/>
                <w:b/>
                <w:bCs/>
                <w:color w:val="000000"/>
                <w:sz w:val="18"/>
                <w:szCs w:val="18"/>
              </w:rPr>
              <w:t>3.076</w:t>
            </w:r>
          </w:p>
        </w:tc>
        <w:tc>
          <w:tcPr>
            <w:tcW w:w="1120" w:type="dxa"/>
            <w:tcBorders>
              <w:top w:val="nil"/>
              <w:left w:val="nil"/>
              <w:bottom w:val="nil"/>
              <w:right w:val="nil"/>
            </w:tcBorders>
            <w:shd w:val="clear" w:color="auto" w:fill="auto"/>
            <w:vAlign w:val="center"/>
            <w:hideMark/>
          </w:tcPr>
          <w:p w:rsidRPr="00B9012E" w:rsidR="00B9012E" w:rsidP="00B9012E" w:rsidRDefault="00B9012E" w14:paraId="7BE64402" w14:textId="77777777">
            <w:pPr>
              <w:jc w:val="right"/>
              <w:rPr>
                <w:rFonts w:ascii="Verdana" w:hAnsi="Verdana" w:cs="Calibri"/>
                <w:b/>
                <w:bCs/>
                <w:color w:val="000000"/>
                <w:sz w:val="18"/>
                <w:szCs w:val="18"/>
              </w:rPr>
            </w:pPr>
            <w:r w:rsidRPr="00B9012E">
              <w:rPr>
                <w:rFonts w:ascii="Verdana" w:hAnsi="Verdana" w:cs="Calibri"/>
                <w:b/>
                <w:bCs/>
                <w:color w:val="000000"/>
                <w:sz w:val="18"/>
                <w:szCs w:val="18"/>
              </w:rPr>
              <w:t>4.681</w:t>
            </w:r>
          </w:p>
        </w:tc>
        <w:tc>
          <w:tcPr>
            <w:tcW w:w="1120" w:type="dxa"/>
            <w:tcBorders>
              <w:top w:val="nil"/>
              <w:left w:val="nil"/>
              <w:bottom w:val="nil"/>
              <w:right w:val="nil"/>
            </w:tcBorders>
            <w:shd w:val="clear" w:color="auto" w:fill="auto"/>
            <w:vAlign w:val="center"/>
            <w:hideMark/>
          </w:tcPr>
          <w:p w:rsidRPr="00B9012E" w:rsidR="00B9012E" w:rsidP="00B9012E" w:rsidRDefault="00B9012E" w14:paraId="4BCBF876" w14:textId="77777777">
            <w:pPr>
              <w:jc w:val="right"/>
              <w:rPr>
                <w:rFonts w:ascii="Verdana" w:hAnsi="Verdana" w:cs="Calibri"/>
                <w:b/>
                <w:bCs/>
                <w:color w:val="000000"/>
                <w:sz w:val="18"/>
                <w:szCs w:val="18"/>
              </w:rPr>
            </w:pPr>
            <w:r w:rsidRPr="00B9012E">
              <w:rPr>
                <w:rFonts w:ascii="Verdana" w:hAnsi="Verdana" w:cs="Calibri"/>
                <w:b/>
                <w:bCs/>
                <w:color w:val="000000"/>
                <w:sz w:val="18"/>
                <w:szCs w:val="18"/>
              </w:rPr>
              <w:t>1.661</w:t>
            </w:r>
          </w:p>
        </w:tc>
        <w:tc>
          <w:tcPr>
            <w:tcW w:w="1120" w:type="dxa"/>
            <w:tcBorders>
              <w:top w:val="nil"/>
              <w:left w:val="nil"/>
              <w:bottom w:val="nil"/>
              <w:right w:val="nil"/>
            </w:tcBorders>
            <w:shd w:val="clear" w:color="auto" w:fill="auto"/>
            <w:vAlign w:val="center"/>
            <w:hideMark/>
          </w:tcPr>
          <w:p w:rsidRPr="00B9012E" w:rsidR="00B9012E" w:rsidP="00B9012E" w:rsidRDefault="00B9012E" w14:paraId="6B07AAE5" w14:textId="77777777">
            <w:pPr>
              <w:jc w:val="right"/>
              <w:rPr>
                <w:rFonts w:ascii="Verdana" w:hAnsi="Verdana" w:cs="Calibri"/>
                <w:b/>
                <w:bCs/>
                <w:color w:val="000000"/>
                <w:sz w:val="18"/>
                <w:szCs w:val="18"/>
              </w:rPr>
            </w:pPr>
            <w:r w:rsidRPr="00B9012E">
              <w:rPr>
                <w:rFonts w:ascii="Verdana" w:hAnsi="Verdana" w:cs="Calibri"/>
                <w:b/>
                <w:bCs/>
                <w:color w:val="000000"/>
                <w:sz w:val="18"/>
                <w:szCs w:val="18"/>
              </w:rPr>
              <w:t>1.661</w:t>
            </w:r>
          </w:p>
        </w:tc>
        <w:tc>
          <w:tcPr>
            <w:tcW w:w="1120" w:type="dxa"/>
            <w:tcBorders>
              <w:top w:val="nil"/>
              <w:left w:val="nil"/>
              <w:bottom w:val="nil"/>
              <w:right w:val="nil"/>
            </w:tcBorders>
            <w:shd w:val="clear" w:color="auto" w:fill="auto"/>
            <w:vAlign w:val="center"/>
            <w:hideMark/>
          </w:tcPr>
          <w:p w:rsidRPr="00B9012E" w:rsidR="00B9012E" w:rsidP="00B9012E" w:rsidRDefault="00B9012E" w14:paraId="2033FFD7" w14:textId="77777777">
            <w:pPr>
              <w:jc w:val="right"/>
              <w:rPr>
                <w:rFonts w:ascii="Verdana" w:hAnsi="Verdana" w:cs="Calibri"/>
                <w:b/>
                <w:bCs/>
                <w:color w:val="000000"/>
                <w:sz w:val="18"/>
                <w:szCs w:val="18"/>
              </w:rPr>
            </w:pPr>
            <w:r w:rsidRPr="00B9012E">
              <w:rPr>
                <w:rFonts w:ascii="Verdana" w:hAnsi="Verdana" w:cs="Calibri"/>
                <w:b/>
                <w:bCs/>
                <w:color w:val="000000"/>
                <w:sz w:val="18"/>
                <w:szCs w:val="18"/>
              </w:rPr>
              <w:t>1.661</w:t>
            </w:r>
          </w:p>
        </w:tc>
        <w:tc>
          <w:tcPr>
            <w:tcW w:w="960" w:type="dxa"/>
            <w:tcBorders>
              <w:top w:val="nil"/>
              <w:left w:val="nil"/>
              <w:bottom w:val="nil"/>
              <w:right w:val="nil"/>
            </w:tcBorders>
            <w:shd w:val="clear" w:color="auto" w:fill="auto"/>
            <w:vAlign w:val="center"/>
            <w:hideMark/>
          </w:tcPr>
          <w:p w:rsidRPr="00B9012E" w:rsidR="00B9012E" w:rsidP="00B9012E" w:rsidRDefault="00B9012E" w14:paraId="05EA9D45" w14:textId="77777777">
            <w:pPr>
              <w:jc w:val="right"/>
              <w:rPr>
                <w:rFonts w:ascii="Verdana" w:hAnsi="Verdana" w:cs="Calibri"/>
                <w:b/>
                <w:bCs/>
                <w:color w:val="000000"/>
                <w:sz w:val="18"/>
                <w:szCs w:val="18"/>
              </w:rPr>
            </w:pPr>
            <w:r w:rsidRPr="00B9012E">
              <w:rPr>
                <w:rFonts w:ascii="Verdana" w:hAnsi="Verdana" w:cs="Calibri"/>
                <w:b/>
                <w:bCs/>
                <w:color w:val="000000"/>
                <w:sz w:val="18"/>
                <w:szCs w:val="18"/>
              </w:rPr>
              <w:t>1.661</w:t>
            </w:r>
          </w:p>
        </w:tc>
      </w:tr>
      <w:tr w:rsidRPr="00B9012E" w:rsidR="00B9012E" w:rsidTr="00B9012E" w14:paraId="0E569905" w14:textId="77777777">
        <w:trPr>
          <w:trHeight w:val="300"/>
        </w:trPr>
        <w:tc>
          <w:tcPr>
            <w:tcW w:w="3380" w:type="dxa"/>
            <w:tcBorders>
              <w:top w:val="nil"/>
              <w:left w:val="nil"/>
              <w:bottom w:val="nil"/>
              <w:right w:val="nil"/>
            </w:tcBorders>
            <w:shd w:val="clear" w:color="auto" w:fill="auto"/>
            <w:vAlign w:val="center"/>
            <w:hideMark/>
          </w:tcPr>
          <w:p w:rsidRPr="00B9012E" w:rsidR="00B9012E" w:rsidP="00B9012E" w:rsidRDefault="00B9012E" w14:paraId="5E56936E" w14:textId="77777777">
            <w:pPr>
              <w:ind w:firstLine="361" w:firstLineChars="200"/>
              <w:rPr>
                <w:rFonts w:ascii="Verdana" w:hAnsi="Verdana" w:cs="Calibri"/>
                <w:b/>
                <w:bCs/>
                <w:color w:val="000000"/>
                <w:sz w:val="18"/>
                <w:szCs w:val="18"/>
              </w:rPr>
            </w:pPr>
            <w:r w:rsidRPr="00B9012E">
              <w:rPr>
                <w:rFonts w:ascii="Verdana" w:hAnsi="Verdana" w:cs="Calibri"/>
                <w:b/>
                <w:bCs/>
                <w:color w:val="000000"/>
                <w:sz w:val="18"/>
                <w:szCs w:val="18"/>
              </w:rPr>
              <w:t>Uitgaven*</w:t>
            </w:r>
          </w:p>
        </w:tc>
        <w:tc>
          <w:tcPr>
            <w:tcW w:w="1120" w:type="dxa"/>
            <w:tcBorders>
              <w:top w:val="nil"/>
              <w:left w:val="nil"/>
              <w:bottom w:val="nil"/>
              <w:right w:val="nil"/>
            </w:tcBorders>
            <w:shd w:val="clear" w:color="auto" w:fill="auto"/>
            <w:vAlign w:val="center"/>
            <w:hideMark/>
          </w:tcPr>
          <w:p w:rsidRPr="00B9012E" w:rsidR="00B9012E" w:rsidP="00B9012E" w:rsidRDefault="00B9012E" w14:paraId="3A62D441" w14:textId="77777777">
            <w:pPr>
              <w:jc w:val="right"/>
              <w:rPr>
                <w:rFonts w:ascii="Verdana" w:hAnsi="Verdana" w:cs="Calibri"/>
                <w:b/>
                <w:bCs/>
                <w:color w:val="000000"/>
                <w:sz w:val="18"/>
                <w:szCs w:val="18"/>
              </w:rPr>
            </w:pPr>
            <w:r w:rsidRPr="00B9012E">
              <w:rPr>
                <w:rFonts w:ascii="Verdana" w:hAnsi="Verdana" w:cs="Calibri"/>
                <w:b/>
                <w:bCs/>
                <w:color w:val="000000"/>
                <w:sz w:val="18"/>
                <w:szCs w:val="18"/>
              </w:rPr>
              <w:t>3.076</w:t>
            </w:r>
          </w:p>
        </w:tc>
        <w:tc>
          <w:tcPr>
            <w:tcW w:w="1120" w:type="dxa"/>
            <w:tcBorders>
              <w:top w:val="nil"/>
              <w:left w:val="nil"/>
              <w:bottom w:val="nil"/>
              <w:right w:val="nil"/>
            </w:tcBorders>
            <w:shd w:val="clear" w:color="auto" w:fill="auto"/>
            <w:vAlign w:val="center"/>
            <w:hideMark/>
          </w:tcPr>
          <w:p w:rsidRPr="00B9012E" w:rsidR="00B9012E" w:rsidP="00B9012E" w:rsidRDefault="00B9012E" w14:paraId="7C758DAA" w14:textId="77777777">
            <w:pPr>
              <w:jc w:val="right"/>
              <w:rPr>
                <w:rFonts w:ascii="Verdana" w:hAnsi="Verdana" w:cs="Calibri"/>
                <w:b/>
                <w:bCs/>
                <w:color w:val="000000"/>
                <w:sz w:val="18"/>
                <w:szCs w:val="18"/>
              </w:rPr>
            </w:pPr>
            <w:r w:rsidRPr="00B9012E">
              <w:rPr>
                <w:rFonts w:ascii="Verdana" w:hAnsi="Verdana" w:cs="Calibri"/>
                <w:b/>
                <w:bCs/>
                <w:color w:val="000000"/>
                <w:sz w:val="18"/>
                <w:szCs w:val="18"/>
              </w:rPr>
              <w:t>4.681</w:t>
            </w:r>
          </w:p>
        </w:tc>
        <w:tc>
          <w:tcPr>
            <w:tcW w:w="1120" w:type="dxa"/>
            <w:tcBorders>
              <w:top w:val="nil"/>
              <w:left w:val="nil"/>
              <w:bottom w:val="nil"/>
              <w:right w:val="nil"/>
            </w:tcBorders>
            <w:shd w:val="clear" w:color="auto" w:fill="auto"/>
            <w:vAlign w:val="center"/>
            <w:hideMark/>
          </w:tcPr>
          <w:p w:rsidRPr="00B9012E" w:rsidR="00B9012E" w:rsidP="00B9012E" w:rsidRDefault="00B9012E" w14:paraId="44C89A9C" w14:textId="77777777">
            <w:pPr>
              <w:jc w:val="right"/>
              <w:rPr>
                <w:rFonts w:ascii="Verdana" w:hAnsi="Verdana" w:cs="Calibri"/>
                <w:b/>
                <w:bCs/>
                <w:color w:val="000000"/>
                <w:sz w:val="18"/>
                <w:szCs w:val="18"/>
              </w:rPr>
            </w:pPr>
            <w:r w:rsidRPr="00B9012E">
              <w:rPr>
                <w:rFonts w:ascii="Verdana" w:hAnsi="Verdana" w:cs="Calibri"/>
                <w:b/>
                <w:bCs/>
                <w:color w:val="000000"/>
                <w:sz w:val="18"/>
                <w:szCs w:val="18"/>
              </w:rPr>
              <w:t>1.661</w:t>
            </w:r>
          </w:p>
        </w:tc>
        <w:tc>
          <w:tcPr>
            <w:tcW w:w="1120" w:type="dxa"/>
            <w:tcBorders>
              <w:top w:val="nil"/>
              <w:left w:val="nil"/>
              <w:bottom w:val="nil"/>
              <w:right w:val="nil"/>
            </w:tcBorders>
            <w:shd w:val="clear" w:color="auto" w:fill="auto"/>
            <w:vAlign w:val="center"/>
            <w:hideMark/>
          </w:tcPr>
          <w:p w:rsidRPr="00B9012E" w:rsidR="00B9012E" w:rsidP="00B9012E" w:rsidRDefault="00B9012E" w14:paraId="5EE02338" w14:textId="77777777">
            <w:pPr>
              <w:jc w:val="right"/>
              <w:rPr>
                <w:rFonts w:ascii="Verdana" w:hAnsi="Verdana" w:cs="Calibri"/>
                <w:b/>
                <w:bCs/>
                <w:color w:val="000000"/>
                <w:sz w:val="18"/>
                <w:szCs w:val="18"/>
              </w:rPr>
            </w:pPr>
            <w:r w:rsidRPr="00B9012E">
              <w:rPr>
                <w:rFonts w:ascii="Verdana" w:hAnsi="Verdana" w:cs="Calibri"/>
                <w:b/>
                <w:bCs/>
                <w:color w:val="000000"/>
                <w:sz w:val="18"/>
                <w:szCs w:val="18"/>
              </w:rPr>
              <w:t>1.661</w:t>
            </w:r>
          </w:p>
        </w:tc>
        <w:tc>
          <w:tcPr>
            <w:tcW w:w="1120" w:type="dxa"/>
            <w:tcBorders>
              <w:top w:val="nil"/>
              <w:left w:val="nil"/>
              <w:bottom w:val="nil"/>
              <w:right w:val="nil"/>
            </w:tcBorders>
            <w:shd w:val="clear" w:color="auto" w:fill="auto"/>
            <w:vAlign w:val="center"/>
            <w:hideMark/>
          </w:tcPr>
          <w:p w:rsidRPr="00B9012E" w:rsidR="00B9012E" w:rsidP="00B9012E" w:rsidRDefault="00B9012E" w14:paraId="57B3FF4C" w14:textId="77777777">
            <w:pPr>
              <w:jc w:val="right"/>
              <w:rPr>
                <w:rFonts w:ascii="Verdana" w:hAnsi="Verdana" w:cs="Calibri"/>
                <w:b/>
                <w:bCs/>
                <w:color w:val="000000"/>
                <w:sz w:val="18"/>
                <w:szCs w:val="18"/>
              </w:rPr>
            </w:pPr>
            <w:r w:rsidRPr="00B9012E">
              <w:rPr>
                <w:rFonts w:ascii="Verdana" w:hAnsi="Verdana" w:cs="Calibri"/>
                <w:b/>
                <w:bCs/>
                <w:color w:val="000000"/>
                <w:sz w:val="18"/>
                <w:szCs w:val="18"/>
              </w:rPr>
              <w:t>1.661</w:t>
            </w:r>
          </w:p>
        </w:tc>
        <w:tc>
          <w:tcPr>
            <w:tcW w:w="960" w:type="dxa"/>
            <w:tcBorders>
              <w:top w:val="nil"/>
              <w:left w:val="nil"/>
              <w:bottom w:val="nil"/>
              <w:right w:val="nil"/>
            </w:tcBorders>
            <w:shd w:val="clear" w:color="auto" w:fill="auto"/>
            <w:vAlign w:val="center"/>
            <w:hideMark/>
          </w:tcPr>
          <w:p w:rsidRPr="00B9012E" w:rsidR="00B9012E" w:rsidP="00B9012E" w:rsidRDefault="00B9012E" w14:paraId="2F55EC4A" w14:textId="77777777">
            <w:pPr>
              <w:jc w:val="right"/>
              <w:rPr>
                <w:rFonts w:ascii="Verdana" w:hAnsi="Verdana" w:cs="Calibri"/>
                <w:b/>
                <w:bCs/>
                <w:color w:val="000000"/>
                <w:sz w:val="18"/>
                <w:szCs w:val="18"/>
              </w:rPr>
            </w:pPr>
            <w:r w:rsidRPr="00B9012E">
              <w:rPr>
                <w:rFonts w:ascii="Verdana" w:hAnsi="Verdana" w:cs="Calibri"/>
                <w:b/>
                <w:bCs/>
                <w:color w:val="000000"/>
                <w:sz w:val="18"/>
                <w:szCs w:val="18"/>
              </w:rPr>
              <w:t>1.661</w:t>
            </w:r>
          </w:p>
        </w:tc>
      </w:tr>
      <w:tr w:rsidRPr="00B9012E" w:rsidR="00B9012E" w:rsidTr="00B9012E" w14:paraId="002A67F2" w14:textId="77777777">
        <w:trPr>
          <w:trHeight w:val="450"/>
        </w:trPr>
        <w:tc>
          <w:tcPr>
            <w:tcW w:w="3380" w:type="dxa"/>
            <w:tcBorders>
              <w:top w:val="nil"/>
              <w:left w:val="nil"/>
              <w:bottom w:val="nil"/>
              <w:right w:val="nil"/>
            </w:tcBorders>
            <w:shd w:val="clear" w:color="auto" w:fill="auto"/>
            <w:vAlign w:val="center"/>
            <w:hideMark/>
          </w:tcPr>
          <w:p w:rsidRPr="00B9012E" w:rsidR="00B9012E" w:rsidP="00B9012E" w:rsidRDefault="00B9012E" w14:paraId="2B3908E5" w14:textId="77777777">
            <w:pPr>
              <w:ind w:firstLine="360" w:firstLineChars="200"/>
              <w:rPr>
                <w:rFonts w:ascii="Verdana" w:hAnsi="Verdana" w:cs="Calibri"/>
                <w:color w:val="000000"/>
                <w:sz w:val="18"/>
                <w:szCs w:val="18"/>
              </w:rPr>
            </w:pPr>
            <w:r w:rsidRPr="00B9012E">
              <w:rPr>
                <w:rFonts w:ascii="Verdana" w:hAnsi="Verdana" w:cs="Calibri"/>
                <w:color w:val="000000"/>
                <w:sz w:val="18"/>
                <w:szCs w:val="18"/>
              </w:rPr>
              <w:t>1. interparlementaire betrekkingen</w:t>
            </w:r>
          </w:p>
        </w:tc>
        <w:tc>
          <w:tcPr>
            <w:tcW w:w="1120" w:type="dxa"/>
            <w:tcBorders>
              <w:top w:val="nil"/>
              <w:left w:val="nil"/>
              <w:bottom w:val="nil"/>
              <w:right w:val="nil"/>
            </w:tcBorders>
            <w:shd w:val="clear" w:color="auto" w:fill="auto"/>
            <w:vAlign w:val="center"/>
            <w:hideMark/>
          </w:tcPr>
          <w:p w:rsidRPr="00B9012E" w:rsidR="00B9012E" w:rsidP="00B9012E" w:rsidRDefault="00B9012E" w14:paraId="4616F5E2" w14:textId="77777777">
            <w:pPr>
              <w:jc w:val="right"/>
              <w:rPr>
                <w:rFonts w:ascii="Verdana" w:hAnsi="Verdana" w:cs="Calibri"/>
                <w:color w:val="000000"/>
                <w:sz w:val="18"/>
                <w:szCs w:val="18"/>
              </w:rPr>
            </w:pPr>
            <w:r w:rsidRPr="00B9012E">
              <w:rPr>
                <w:rFonts w:ascii="Verdana" w:hAnsi="Verdana" w:cs="Calibri"/>
                <w:color w:val="000000"/>
                <w:sz w:val="18"/>
                <w:szCs w:val="18"/>
              </w:rPr>
              <w:t>1.661</w:t>
            </w:r>
          </w:p>
        </w:tc>
        <w:tc>
          <w:tcPr>
            <w:tcW w:w="1120" w:type="dxa"/>
            <w:tcBorders>
              <w:top w:val="nil"/>
              <w:left w:val="nil"/>
              <w:bottom w:val="nil"/>
              <w:right w:val="nil"/>
            </w:tcBorders>
            <w:shd w:val="clear" w:color="auto" w:fill="auto"/>
            <w:vAlign w:val="center"/>
            <w:hideMark/>
          </w:tcPr>
          <w:p w:rsidRPr="00B9012E" w:rsidR="00B9012E" w:rsidP="00B9012E" w:rsidRDefault="00B9012E" w14:paraId="79E3BDE2" w14:textId="77777777">
            <w:pPr>
              <w:jc w:val="right"/>
              <w:rPr>
                <w:rFonts w:ascii="Verdana" w:hAnsi="Verdana" w:cs="Calibri"/>
                <w:color w:val="000000"/>
                <w:sz w:val="18"/>
                <w:szCs w:val="18"/>
              </w:rPr>
            </w:pPr>
            <w:r w:rsidRPr="00B9012E">
              <w:rPr>
                <w:rFonts w:ascii="Verdana" w:hAnsi="Verdana" w:cs="Calibri"/>
                <w:color w:val="000000"/>
                <w:sz w:val="18"/>
                <w:szCs w:val="18"/>
              </w:rPr>
              <w:t>1.661</w:t>
            </w:r>
          </w:p>
        </w:tc>
        <w:tc>
          <w:tcPr>
            <w:tcW w:w="1120" w:type="dxa"/>
            <w:tcBorders>
              <w:top w:val="nil"/>
              <w:left w:val="nil"/>
              <w:bottom w:val="nil"/>
              <w:right w:val="nil"/>
            </w:tcBorders>
            <w:shd w:val="clear" w:color="auto" w:fill="auto"/>
            <w:vAlign w:val="center"/>
            <w:hideMark/>
          </w:tcPr>
          <w:p w:rsidRPr="00B9012E" w:rsidR="00B9012E" w:rsidP="00B9012E" w:rsidRDefault="00B9012E" w14:paraId="30F87EB0" w14:textId="77777777">
            <w:pPr>
              <w:jc w:val="right"/>
              <w:rPr>
                <w:rFonts w:ascii="Verdana" w:hAnsi="Verdana" w:cs="Calibri"/>
                <w:color w:val="000000"/>
                <w:sz w:val="18"/>
                <w:szCs w:val="18"/>
              </w:rPr>
            </w:pPr>
            <w:r w:rsidRPr="00B9012E">
              <w:rPr>
                <w:rFonts w:ascii="Verdana" w:hAnsi="Verdana" w:cs="Calibri"/>
                <w:color w:val="000000"/>
                <w:sz w:val="18"/>
                <w:szCs w:val="18"/>
              </w:rPr>
              <w:t>1.661</w:t>
            </w:r>
          </w:p>
        </w:tc>
        <w:tc>
          <w:tcPr>
            <w:tcW w:w="1120" w:type="dxa"/>
            <w:tcBorders>
              <w:top w:val="nil"/>
              <w:left w:val="nil"/>
              <w:bottom w:val="nil"/>
              <w:right w:val="nil"/>
            </w:tcBorders>
            <w:shd w:val="clear" w:color="auto" w:fill="auto"/>
            <w:vAlign w:val="center"/>
            <w:hideMark/>
          </w:tcPr>
          <w:p w:rsidRPr="00B9012E" w:rsidR="00B9012E" w:rsidP="00B9012E" w:rsidRDefault="00B9012E" w14:paraId="4820FBE1" w14:textId="77777777">
            <w:pPr>
              <w:jc w:val="right"/>
              <w:rPr>
                <w:rFonts w:ascii="Verdana" w:hAnsi="Verdana" w:cs="Calibri"/>
                <w:color w:val="000000"/>
                <w:sz w:val="18"/>
                <w:szCs w:val="18"/>
              </w:rPr>
            </w:pPr>
            <w:r w:rsidRPr="00B9012E">
              <w:rPr>
                <w:rFonts w:ascii="Verdana" w:hAnsi="Verdana" w:cs="Calibri"/>
                <w:color w:val="000000"/>
                <w:sz w:val="18"/>
                <w:szCs w:val="18"/>
              </w:rPr>
              <w:t>1.661</w:t>
            </w:r>
          </w:p>
        </w:tc>
        <w:tc>
          <w:tcPr>
            <w:tcW w:w="1120" w:type="dxa"/>
            <w:tcBorders>
              <w:top w:val="nil"/>
              <w:left w:val="nil"/>
              <w:bottom w:val="nil"/>
              <w:right w:val="nil"/>
            </w:tcBorders>
            <w:shd w:val="clear" w:color="auto" w:fill="auto"/>
            <w:vAlign w:val="center"/>
            <w:hideMark/>
          </w:tcPr>
          <w:p w:rsidRPr="00B9012E" w:rsidR="00B9012E" w:rsidP="00B9012E" w:rsidRDefault="00B9012E" w14:paraId="346BCDB1" w14:textId="77777777">
            <w:pPr>
              <w:jc w:val="right"/>
              <w:rPr>
                <w:rFonts w:ascii="Verdana" w:hAnsi="Verdana" w:cs="Calibri"/>
                <w:color w:val="000000"/>
                <w:sz w:val="18"/>
                <w:szCs w:val="18"/>
              </w:rPr>
            </w:pPr>
            <w:r w:rsidRPr="00B9012E">
              <w:rPr>
                <w:rFonts w:ascii="Verdana" w:hAnsi="Verdana" w:cs="Calibri"/>
                <w:color w:val="000000"/>
                <w:sz w:val="18"/>
                <w:szCs w:val="18"/>
              </w:rPr>
              <w:t>1.661</w:t>
            </w:r>
          </w:p>
        </w:tc>
        <w:tc>
          <w:tcPr>
            <w:tcW w:w="960" w:type="dxa"/>
            <w:tcBorders>
              <w:top w:val="nil"/>
              <w:left w:val="nil"/>
              <w:bottom w:val="nil"/>
              <w:right w:val="nil"/>
            </w:tcBorders>
            <w:shd w:val="clear" w:color="auto" w:fill="auto"/>
            <w:vAlign w:val="center"/>
            <w:hideMark/>
          </w:tcPr>
          <w:p w:rsidRPr="00B9012E" w:rsidR="00B9012E" w:rsidP="00B9012E" w:rsidRDefault="00B9012E" w14:paraId="26BEC8CF" w14:textId="77777777">
            <w:pPr>
              <w:jc w:val="right"/>
              <w:rPr>
                <w:rFonts w:ascii="Verdana" w:hAnsi="Verdana" w:cs="Calibri"/>
                <w:color w:val="000000"/>
                <w:sz w:val="18"/>
                <w:szCs w:val="18"/>
              </w:rPr>
            </w:pPr>
            <w:r w:rsidRPr="00B9012E">
              <w:rPr>
                <w:rFonts w:ascii="Verdana" w:hAnsi="Verdana" w:cs="Calibri"/>
                <w:color w:val="000000"/>
                <w:sz w:val="18"/>
                <w:szCs w:val="18"/>
              </w:rPr>
              <w:t>1.661</w:t>
            </w:r>
          </w:p>
        </w:tc>
      </w:tr>
      <w:tr w:rsidRPr="00B9012E" w:rsidR="00B9012E" w:rsidTr="00B9012E" w14:paraId="4F94338B" w14:textId="77777777">
        <w:trPr>
          <w:trHeight w:val="300"/>
        </w:trPr>
        <w:tc>
          <w:tcPr>
            <w:tcW w:w="3380" w:type="dxa"/>
            <w:tcBorders>
              <w:top w:val="nil"/>
              <w:left w:val="nil"/>
              <w:bottom w:val="nil"/>
              <w:right w:val="nil"/>
            </w:tcBorders>
            <w:shd w:val="clear" w:color="auto" w:fill="auto"/>
            <w:vAlign w:val="center"/>
            <w:hideMark/>
          </w:tcPr>
          <w:p w:rsidRPr="00B9012E" w:rsidR="00B9012E" w:rsidP="00B9012E" w:rsidRDefault="00B9012E" w14:paraId="75E271F9" w14:textId="77777777">
            <w:pPr>
              <w:ind w:firstLine="360" w:firstLineChars="200"/>
              <w:rPr>
                <w:rFonts w:ascii="Verdana" w:hAnsi="Verdana" w:cs="Calibri"/>
                <w:color w:val="000000"/>
                <w:sz w:val="18"/>
                <w:szCs w:val="18"/>
              </w:rPr>
            </w:pPr>
            <w:r w:rsidRPr="00B9012E">
              <w:rPr>
                <w:rFonts w:ascii="Verdana" w:hAnsi="Verdana" w:cs="Calibri"/>
                <w:color w:val="000000"/>
                <w:sz w:val="18"/>
                <w:szCs w:val="18"/>
              </w:rPr>
              <w:t>Ramingsbijstelling</w:t>
            </w:r>
          </w:p>
        </w:tc>
        <w:tc>
          <w:tcPr>
            <w:tcW w:w="1120" w:type="dxa"/>
            <w:tcBorders>
              <w:top w:val="nil"/>
              <w:left w:val="nil"/>
              <w:bottom w:val="nil"/>
              <w:right w:val="nil"/>
            </w:tcBorders>
            <w:shd w:val="clear" w:color="auto" w:fill="auto"/>
            <w:vAlign w:val="center"/>
            <w:hideMark/>
          </w:tcPr>
          <w:p w:rsidRPr="00B9012E" w:rsidR="00B9012E" w:rsidP="00B9012E" w:rsidRDefault="00B9012E" w14:paraId="0B3B4D1B" w14:textId="77777777">
            <w:pPr>
              <w:jc w:val="right"/>
              <w:rPr>
                <w:rFonts w:ascii="Verdana" w:hAnsi="Verdana" w:cs="Calibri"/>
                <w:i/>
                <w:iCs/>
                <w:color w:val="000000"/>
                <w:sz w:val="18"/>
                <w:szCs w:val="18"/>
              </w:rPr>
            </w:pPr>
            <w:r w:rsidRPr="00B9012E">
              <w:rPr>
                <w:rFonts w:ascii="Verdana" w:hAnsi="Verdana" w:cs="Calibri"/>
                <w:i/>
                <w:iCs/>
                <w:color w:val="000000"/>
                <w:sz w:val="18"/>
                <w:szCs w:val="18"/>
              </w:rPr>
              <w:t>1.415</w:t>
            </w:r>
          </w:p>
        </w:tc>
        <w:tc>
          <w:tcPr>
            <w:tcW w:w="1120" w:type="dxa"/>
            <w:tcBorders>
              <w:top w:val="nil"/>
              <w:left w:val="nil"/>
              <w:bottom w:val="nil"/>
              <w:right w:val="nil"/>
            </w:tcBorders>
            <w:shd w:val="clear" w:color="auto" w:fill="auto"/>
            <w:vAlign w:val="center"/>
            <w:hideMark/>
          </w:tcPr>
          <w:p w:rsidRPr="00B9012E" w:rsidR="00B9012E" w:rsidP="00B9012E" w:rsidRDefault="00B9012E" w14:paraId="7D09B908" w14:textId="77777777">
            <w:pPr>
              <w:jc w:val="right"/>
              <w:rPr>
                <w:rFonts w:ascii="Verdana" w:hAnsi="Verdana" w:cs="Calibri"/>
                <w:i/>
                <w:iCs/>
                <w:color w:val="000000"/>
                <w:sz w:val="18"/>
                <w:szCs w:val="18"/>
              </w:rPr>
            </w:pPr>
            <w:r w:rsidRPr="00B9012E">
              <w:rPr>
                <w:rFonts w:ascii="Verdana" w:hAnsi="Verdana" w:cs="Calibri"/>
                <w:i/>
                <w:iCs/>
                <w:color w:val="000000"/>
                <w:sz w:val="18"/>
                <w:szCs w:val="18"/>
              </w:rPr>
              <w:t>3.020</w:t>
            </w:r>
          </w:p>
        </w:tc>
        <w:tc>
          <w:tcPr>
            <w:tcW w:w="1120" w:type="dxa"/>
            <w:tcBorders>
              <w:top w:val="nil"/>
              <w:left w:val="nil"/>
              <w:bottom w:val="nil"/>
              <w:right w:val="nil"/>
            </w:tcBorders>
            <w:shd w:val="clear" w:color="auto" w:fill="auto"/>
            <w:vAlign w:val="center"/>
            <w:hideMark/>
          </w:tcPr>
          <w:p w:rsidRPr="00B9012E" w:rsidR="00B9012E" w:rsidP="00B9012E" w:rsidRDefault="00B9012E" w14:paraId="790C58E5" w14:textId="77777777">
            <w:pPr>
              <w:jc w:val="right"/>
              <w:rPr>
                <w:rFonts w:ascii="Verdana" w:hAnsi="Verdana" w:cs="Calibri"/>
                <w:color w:val="000000"/>
                <w:sz w:val="18"/>
                <w:szCs w:val="18"/>
              </w:rPr>
            </w:pPr>
            <w:r w:rsidRPr="00B9012E">
              <w:rPr>
                <w:rFonts w:ascii="Verdana" w:hAnsi="Verdana" w:cs="Calibri"/>
                <w:color w:val="000000"/>
                <w:sz w:val="18"/>
                <w:szCs w:val="18"/>
              </w:rPr>
              <w:t>0</w:t>
            </w:r>
          </w:p>
        </w:tc>
        <w:tc>
          <w:tcPr>
            <w:tcW w:w="1120" w:type="dxa"/>
            <w:tcBorders>
              <w:top w:val="nil"/>
              <w:left w:val="nil"/>
              <w:bottom w:val="nil"/>
              <w:right w:val="nil"/>
            </w:tcBorders>
            <w:shd w:val="clear" w:color="auto" w:fill="auto"/>
            <w:vAlign w:val="center"/>
            <w:hideMark/>
          </w:tcPr>
          <w:p w:rsidRPr="00B9012E" w:rsidR="00B9012E" w:rsidP="00B9012E" w:rsidRDefault="00B9012E" w14:paraId="69BB4618" w14:textId="77777777">
            <w:pPr>
              <w:jc w:val="right"/>
              <w:rPr>
                <w:rFonts w:ascii="Verdana" w:hAnsi="Verdana" w:cs="Calibri"/>
                <w:color w:val="000000"/>
                <w:sz w:val="18"/>
                <w:szCs w:val="18"/>
              </w:rPr>
            </w:pPr>
            <w:r w:rsidRPr="00B9012E">
              <w:rPr>
                <w:rFonts w:ascii="Verdana" w:hAnsi="Verdana" w:cs="Calibri"/>
                <w:color w:val="000000"/>
                <w:sz w:val="18"/>
                <w:szCs w:val="18"/>
              </w:rPr>
              <w:t>0</w:t>
            </w:r>
          </w:p>
        </w:tc>
        <w:tc>
          <w:tcPr>
            <w:tcW w:w="1120" w:type="dxa"/>
            <w:tcBorders>
              <w:top w:val="nil"/>
              <w:left w:val="nil"/>
              <w:bottom w:val="nil"/>
              <w:right w:val="nil"/>
            </w:tcBorders>
            <w:shd w:val="clear" w:color="auto" w:fill="auto"/>
            <w:vAlign w:val="center"/>
            <w:hideMark/>
          </w:tcPr>
          <w:p w:rsidRPr="00B9012E" w:rsidR="00B9012E" w:rsidP="00B9012E" w:rsidRDefault="00B9012E" w14:paraId="507CFF21" w14:textId="77777777">
            <w:pPr>
              <w:jc w:val="right"/>
              <w:rPr>
                <w:rFonts w:ascii="Verdana" w:hAnsi="Verdana" w:cs="Calibri"/>
                <w:color w:val="000000"/>
                <w:sz w:val="18"/>
                <w:szCs w:val="18"/>
              </w:rPr>
            </w:pPr>
            <w:r w:rsidRPr="00B9012E">
              <w:rPr>
                <w:rFonts w:ascii="Verdana" w:hAnsi="Verdana" w:cs="Calibri"/>
                <w:color w:val="000000"/>
                <w:sz w:val="18"/>
                <w:szCs w:val="18"/>
              </w:rPr>
              <w:t>0</w:t>
            </w:r>
          </w:p>
        </w:tc>
        <w:tc>
          <w:tcPr>
            <w:tcW w:w="960" w:type="dxa"/>
            <w:tcBorders>
              <w:top w:val="nil"/>
              <w:left w:val="nil"/>
              <w:bottom w:val="nil"/>
              <w:right w:val="nil"/>
            </w:tcBorders>
            <w:shd w:val="clear" w:color="auto" w:fill="auto"/>
            <w:vAlign w:val="center"/>
            <w:hideMark/>
          </w:tcPr>
          <w:p w:rsidRPr="00B9012E" w:rsidR="00B9012E" w:rsidP="00B9012E" w:rsidRDefault="00B9012E" w14:paraId="66546ADB" w14:textId="77777777">
            <w:pPr>
              <w:jc w:val="right"/>
              <w:rPr>
                <w:rFonts w:ascii="Verdana" w:hAnsi="Verdana" w:cs="Calibri"/>
                <w:color w:val="000000"/>
                <w:sz w:val="18"/>
                <w:szCs w:val="18"/>
              </w:rPr>
            </w:pPr>
            <w:r w:rsidRPr="00B9012E">
              <w:rPr>
                <w:rFonts w:ascii="Verdana" w:hAnsi="Verdana" w:cs="Calibri"/>
                <w:color w:val="000000"/>
                <w:sz w:val="18"/>
                <w:szCs w:val="18"/>
              </w:rPr>
              <w:t>0</w:t>
            </w:r>
          </w:p>
        </w:tc>
      </w:tr>
      <w:tr w:rsidRPr="00B9012E" w:rsidR="00B9012E" w:rsidTr="00B9012E" w14:paraId="70C0FCFE" w14:textId="77777777">
        <w:trPr>
          <w:trHeight w:val="300"/>
        </w:trPr>
        <w:tc>
          <w:tcPr>
            <w:tcW w:w="3380" w:type="dxa"/>
            <w:tcBorders>
              <w:top w:val="nil"/>
              <w:left w:val="nil"/>
              <w:bottom w:val="nil"/>
              <w:right w:val="nil"/>
            </w:tcBorders>
            <w:shd w:val="clear" w:color="auto" w:fill="auto"/>
            <w:vAlign w:val="center"/>
            <w:hideMark/>
          </w:tcPr>
          <w:p w:rsidRPr="00B9012E" w:rsidR="00B9012E" w:rsidP="00B9012E" w:rsidRDefault="00B9012E" w14:paraId="038A2920" w14:textId="77777777">
            <w:pPr>
              <w:ind w:firstLine="360" w:firstLineChars="200"/>
              <w:rPr>
                <w:rFonts w:ascii="Verdana" w:hAnsi="Verdana" w:cs="Calibri"/>
                <w:color w:val="000000"/>
                <w:sz w:val="18"/>
                <w:szCs w:val="18"/>
              </w:rPr>
            </w:pPr>
            <w:r w:rsidRPr="00B9012E">
              <w:rPr>
                <w:rFonts w:ascii="Verdana" w:hAnsi="Verdana" w:cs="Calibri"/>
                <w:color w:val="000000"/>
                <w:sz w:val="18"/>
                <w:szCs w:val="18"/>
              </w:rPr>
              <w:t>Ontvangsten</w:t>
            </w:r>
          </w:p>
        </w:tc>
        <w:tc>
          <w:tcPr>
            <w:tcW w:w="1120" w:type="dxa"/>
            <w:tcBorders>
              <w:top w:val="nil"/>
              <w:left w:val="nil"/>
              <w:bottom w:val="nil"/>
              <w:right w:val="nil"/>
            </w:tcBorders>
            <w:shd w:val="clear" w:color="auto" w:fill="auto"/>
            <w:vAlign w:val="center"/>
            <w:hideMark/>
          </w:tcPr>
          <w:p w:rsidRPr="00B9012E" w:rsidR="00B9012E" w:rsidP="00B9012E" w:rsidRDefault="00B9012E" w14:paraId="66586AFE" w14:textId="77777777">
            <w:pPr>
              <w:jc w:val="right"/>
              <w:rPr>
                <w:rFonts w:ascii="Verdana" w:hAnsi="Verdana" w:cs="Calibri"/>
                <w:color w:val="000000"/>
                <w:sz w:val="18"/>
                <w:szCs w:val="18"/>
              </w:rPr>
            </w:pPr>
            <w:r w:rsidRPr="00B9012E">
              <w:rPr>
                <w:rFonts w:ascii="Verdana" w:hAnsi="Verdana" w:cs="Calibri"/>
                <w:color w:val="000000"/>
                <w:sz w:val="18"/>
                <w:szCs w:val="18"/>
              </w:rPr>
              <w:t>0</w:t>
            </w:r>
          </w:p>
        </w:tc>
        <w:tc>
          <w:tcPr>
            <w:tcW w:w="1120" w:type="dxa"/>
            <w:tcBorders>
              <w:top w:val="nil"/>
              <w:left w:val="nil"/>
              <w:bottom w:val="nil"/>
              <w:right w:val="nil"/>
            </w:tcBorders>
            <w:shd w:val="clear" w:color="auto" w:fill="auto"/>
            <w:vAlign w:val="center"/>
            <w:hideMark/>
          </w:tcPr>
          <w:p w:rsidRPr="00B9012E" w:rsidR="00B9012E" w:rsidP="00B9012E" w:rsidRDefault="00B9012E" w14:paraId="690D7F38" w14:textId="77777777">
            <w:pPr>
              <w:jc w:val="right"/>
              <w:rPr>
                <w:rFonts w:ascii="Verdana" w:hAnsi="Verdana" w:cs="Calibri"/>
                <w:color w:val="000000"/>
                <w:sz w:val="18"/>
                <w:szCs w:val="18"/>
              </w:rPr>
            </w:pPr>
            <w:r w:rsidRPr="00B9012E">
              <w:rPr>
                <w:rFonts w:ascii="Verdana" w:hAnsi="Verdana" w:cs="Calibri"/>
                <w:color w:val="000000"/>
                <w:sz w:val="18"/>
                <w:szCs w:val="18"/>
              </w:rPr>
              <w:t>0</w:t>
            </w:r>
          </w:p>
        </w:tc>
        <w:tc>
          <w:tcPr>
            <w:tcW w:w="1120" w:type="dxa"/>
            <w:tcBorders>
              <w:top w:val="nil"/>
              <w:left w:val="nil"/>
              <w:bottom w:val="nil"/>
              <w:right w:val="nil"/>
            </w:tcBorders>
            <w:shd w:val="clear" w:color="auto" w:fill="auto"/>
            <w:vAlign w:val="center"/>
            <w:hideMark/>
          </w:tcPr>
          <w:p w:rsidRPr="00B9012E" w:rsidR="00B9012E" w:rsidP="00B9012E" w:rsidRDefault="00B9012E" w14:paraId="45D6653B" w14:textId="77777777">
            <w:pPr>
              <w:jc w:val="right"/>
              <w:rPr>
                <w:rFonts w:ascii="Verdana" w:hAnsi="Verdana" w:cs="Calibri"/>
                <w:color w:val="000000"/>
                <w:sz w:val="18"/>
                <w:szCs w:val="18"/>
              </w:rPr>
            </w:pPr>
            <w:r w:rsidRPr="00B9012E">
              <w:rPr>
                <w:rFonts w:ascii="Verdana" w:hAnsi="Verdana" w:cs="Calibri"/>
                <w:color w:val="000000"/>
                <w:sz w:val="18"/>
                <w:szCs w:val="18"/>
              </w:rPr>
              <w:t>0</w:t>
            </w:r>
          </w:p>
        </w:tc>
        <w:tc>
          <w:tcPr>
            <w:tcW w:w="1120" w:type="dxa"/>
            <w:tcBorders>
              <w:top w:val="nil"/>
              <w:left w:val="nil"/>
              <w:bottom w:val="nil"/>
              <w:right w:val="nil"/>
            </w:tcBorders>
            <w:shd w:val="clear" w:color="auto" w:fill="auto"/>
            <w:vAlign w:val="center"/>
            <w:hideMark/>
          </w:tcPr>
          <w:p w:rsidRPr="00B9012E" w:rsidR="00B9012E" w:rsidP="00B9012E" w:rsidRDefault="00B9012E" w14:paraId="4CF652C3" w14:textId="77777777">
            <w:pPr>
              <w:jc w:val="right"/>
              <w:rPr>
                <w:rFonts w:ascii="Verdana" w:hAnsi="Verdana" w:cs="Calibri"/>
                <w:color w:val="000000"/>
                <w:sz w:val="18"/>
                <w:szCs w:val="18"/>
              </w:rPr>
            </w:pPr>
            <w:r w:rsidRPr="00B9012E">
              <w:rPr>
                <w:rFonts w:ascii="Verdana" w:hAnsi="Verdana" w:cs="Calibri"/>
                <w:color w:val="000000"/>
                <w:sz w:val="18"/>
                <w:szCs w:val="18"/>
              </w:rPr>
              <w:t>0</w:t>
            </w:r>
          </w:p>
        </w:tc>
        <w:tc>
          <w:tcPr>
            <w:tcW w:w="1120" w:type="dxa"/>
            <w:tcBorders>
              <w:top w:val="nil"/>
              <w:left w:val="nil"/>
              <w:bottom w:val="nil"/>
              <w:right w:val="nil"/>
            </w:tcBorders>
            <w:shd w:val="clear" w:color="auto" w:fill="auto"/>
            <w:vAlign w:val="center"/>
            <w:hideMark/>
          </w:tcPr>
          <w:p w:rsidRPr="00B9012E" w:rsidR="00B9012E" w:rsidP="00B9012E" w:rsidRDefault="00B9012E" w14:paraId="20D1E3E0" w14:textId="77777777">
            <w:pPr>
              <w:jc w:val="right"/>
              <w:rPr>
                <w:rFonts w:ascii="Verdana" w:hAnsi="Verdana" w:cs="Calibri"/>
                <w:color w:val="000000"/>
                <w:sz w:val="18"/>
                <w:szCs w:val="18"/>
              </w:rPr>
            </w:pPr>
            <w:r w:rsidRPr="00B9012E">
              <w:rPr>
                <w:rFonts w:ascii="Verdana" w:hAnsi="Verdana" w:cs="Calibri"/>
                <w:color w:val="000000"/>
                <w:sz w:val="18"/>
                <w:szCs w:val="18"/>
              </w:rPr>
              <w:t>0</w:t>
            </w:r>
          </w:p>
        </w:tc>
        <w:tc>
          <w:tcPr>
            <w:tcW w:w="960" w:type="dxa"/>
            <w:tcBorders>
              <w:top w:val="nil"/>
              <w:left w:val="nil"/>
              <w:bottom w:val="nil"/>
              <w:right w:val="nil"/>
            </w:tcBorders>
            <w:shd w:val="clear" w:color="auto" w:fill="auto"/>
            <w:vAlign w:val="center"/>
            <w:hideMark/>
          </w:tcPr>
          <w:p w:rsidRPr="00B9012E" w:rsidR="00B9012E" w:rsidP="00B9012E" w:rsidRDefault="00B9012E" w14:paraId="2F1FC478" w14:textId="77777777">
            <w:pPr>
              <w:jc w:val="right"/>
              <w:rPr>
                <w:rFonts w:ascii="Verdana" w:hAnsi="Verdana" w:cs="Calibri"/>
                <w:color w:val="000000"/>
                <w:sz w:val="18"/>
                <w:szCs w:val="18"/>
              </w:rPr>
            </w:pPr>
            <w:r w:rsidRPr="00B9012E">
              <w:rPr>
                <w:rFonts w:ascii="Verdana" w:hAnsi="Verdana" w:cs="Calibri"/>
                <w:color w:val="000000"/>
                <w:sz w:val="18"/>
                <w:szCs w:val="18"/>
              </w:rPr>
              <w:t>0</w:t>
            </w:r>
          </w:p>
        </w:tc>
      </w:tr>
    </w:tbl>
    <w:p w:rsidR="009D6F3F" w:rsidP="00654798" w:rsidRDefault="009D6F3F" w14:paraId="0A9AC0AA" w14:textId="77777777">
      <w:pPr>
        <w:spacing w:line="240" w:lineRule="atLeast"/>
        <w:ind w:left="284" w:hanging="284"/>
        <w:rPr>
          <w:rFonts w:ascii="Verdana" w:hAnsi="Verdana"/>
          <w:i/>
          <w:iCs/>
          <w:sz w:val="18"/>
          <w:szCs w:val="18"/>
        </w:rPr>
      </w:pPr>
    </w:p>
    <w:p w:rsidRPr="00146FD3" w:rsidR="00B9012E" w:rsidP="00B9012E" w:rsidRDefault="00B9012E" w14:paraId="510B4571" w14:textId="77777777">
      <w:pPr>
        <w:widowControl w:val="0"/>
        <w:autoSpaceDE w:val="0"/>
        <w:autoSpaceDN w:val="0"/>
        <w:adjustRightInd w:val="0"/>
        <w:spacing w:line="240" w:lineRule="atLeast"/>
        <w:rPr>
          <w:rFonts w:ascii="Verdana" w:hAnsi="Verdana"/>
          <w:bCs/>
          <w:i/>
          <w:sz w:val="16"/>
          <w:szCs w:val="16"/>
        </w:rPr>
      </w:pPr>
      <w:r w:rsidRPr="00146FD3">
        <w:rPr>
          <w:rFonts w:ascii="Verdana" w:hAnsi="Verdana"/>
          <w:bCs/>
          <w:i/>
          <w:sz w:val="16"/>
          <w:szCs w:val="16"/>
        </w:rPr>
        <w:t>*</w:t>
      </w:r>
      <w:r w:rsidRPr="00146FD3">
        <w:rPr>
          <w:i/>
          <w:sz w:val="16"/>
          <w:szCs w:val="16"/>
        </w:rPr>
        <w:t xml:space="preserve"> bedragen inclusief Ramingsbijstellingen</w:t>
      </w:r>
    </w:p>
    <w:p w:rsidR="00AE25CB" w:rsidP="00654798" w:rsidRDefault="00AE25CB" w14:paraId="5AF054D3" w14:textId="7479A408">
      <w:pPr>
        <w:spacing w:line="240" w:lineRule="atLeast"/>
        <w:rPr>
          <w:rFonts w:ascii="Verdana" w:hAnsi="Verdana"/>
          <w:iCs/>
          <w:sz w:val="18"/>
          <w:szCs w:val="18"/>
        </w:rPr>
      </w:pPr>
    </w:p>
    <w:p w:rsidRPr="00397084" w:rsidR="00B9012E" w:rsidP="00654798" w:rsidRDefault="00B9012E" w14:paraId="5115EBFE" w14:textId="77777777">
      <w:pPr>
        <w:spacing w:line="240" w:lineRule="atLeast"/>
        <w:rPr>
          <w:rFonts w:ascii="Verdana" w:hAnsi="Verdana"/>
          <w:iCs/>
          <w:sz w:val="18"/>
          <w:szCs w:val="18"/>
        </w:rPr>
      </w:pPr>
    </w:p>
    <w:p w:rsidRPr="004C105A" w:rsidR="00AE25CB" w:rsidP="00654798" w:rsidRDefault="51825749" w14:paraId="50F307A8" w14:textId="0745C00B">
      <w:pPr>
        <w:spacing w:line="240" w:lineRule="atLeast"/>
        <w:ind w:left="142" w:hanging="142"/>
        <w:rPr>
          <w:rFonts w:ascii="Verdana" w:hAnsi="Verdana"/>
          <w:sz w:val="18"/>
          <w:szCs w:val="18"/>
        </w:rPr>
      </w:pPr>
      <w:r w:rsidRPr="004C105A">
        <w:rPr>
          <w:rFonts w:ascii="Verdana" w:hAnsi="Verdana"/>
          <w:sz w:val="18"/>
          <w:szCs w:val="18"/>
        </w:rPr>
        <w:t xml:space="preserve">Het betreft de volgende uitgaven: </w:t>
      </w:r>
    </w:p>
    <w:p w:rsidRPr="004C105A" w:rsidR="00AE25CB" w:rsidP="00654798" w:rsidRDefault="51825749" w14:paraId="16798C2E" w14:textId="77777777">
      <w:pPr>
        <w:spacing w:line="240" w:lineRule="atLeast"/>
        <w:ind w:left="284" w:hanging="284"/>
        <w:rPr>
          <w:rFonts w:ascii="Verdana" w:hAnsi="Verdana"/>
          <w:sz w:val="18"/>
          <w:szCs w:val="18"/>
        </w:rPr>
      </w:pPr>
      <w:r w:rsidRPr="004C105A">
        <w:rPr>
          <w:rFonts w:ascii="Verdana" w:hAnsi="Verdana"/>
          <w:sz w:val="18"/>
          <w:szCs w:val="18"/>
        </w:rPr>
        <w:t>- uitzending van Kamerleden naar internationale organisaties;</w:t>
      </w:r>
    </w:p>
    <w:p w:rsidRPr="004C105A" w:rsidR="00AE25CB" w:rsidP="00654798" w:rsidRDefault="51825749" w14:paraId="50037383" w14:textId="77777777">
      <w:pPr>
        <w:spacing w:line="240" w:lineRule="atLeast"/>
        <w:ind w:left="284" w:hanging="284"/>
        <w:rPr>
          <w:rFonts w:ascii="Verdana" w:hAnsi="Verdana"/>
          <w:sz w:val="18"/>
          <w:szCs w:val="18"/>
        </w:rPr>
      </w:pPr>
      <w:r w:rsidRPr="004C105A">
        <w:rPr>
          <w:rFonts w:ascii="Verdana" w:hAnsi="Verdana"/>
          <w:sz w:val="18"/>
          <w:szCs w:val="18"/>
        </w:rPr>
        <w:t xml:space="preserve">- aandeel van Nederland in de kosten van interparlementaire organen; </w:t>
      </w:r>
    </w:p>
    <w:p w:rsidRPr="004C105A" w:rsidR="00AE25CB" w:rsidP="00654798" w:rsidRDefault="51825749" w14:paraId="2F734846" w14:textId="77777777">
      <w:pPr>
        <w:spacing w:line="240" w:lineRule="atLeast"/>
        <w:ind w:left="284" w:hanging="284"/>
        <w:rPr>
          <w:rFonts w:ascii="Verdana" w:hAnsi="Verdana"/>
          <w:sz w:val="18"/>
          <w:szCs w:val="18"/>
        </w:rPr>
      </w:pPr>
      <w:r w:rsidRPr="004C105A">
        <w:rPr>
          <w:rFonts w:ascii="Verdana" w:hAnsi="Verdana"/>
          <w:sz w:val="18"/>
          <w:szCs w:val="18"/>
        </w:rPr>
        <w:t>- contacten tussen de (voormalige) parlementen van het Koninkrijk;</w:t>
      </w:r>
    </w:p>
    <w:p w:rsidRPr="004C105A" w:rsidR="00AE25CB" w:rsidP="00654798" w:rsidRDefault="51825749" w14:paraId="74A87D8B" w14:textId="77777777">
      <w:pPr>
        <w:spacing w:line="240" w:lineRule="atLeast"/>
        <w:ind w:left="284" w:hanging="284"/>
        <w:rPr>
          <w:rFonts w:ascii="Verdana" w:hAnsi="Verdana"/>
          <w:sz w:val="18"/>
          <w:szCs w:val="18"/>
        </w:rPr>
      </w:pPr>
      <w:r w:rsidRPr="004C105A">
        <w:rPr>
          <w:rFonts w:ascii="Verdana" w:hAnsi="Verdana"/>
          <w:sz w:val="18"/>
          <w:szCs w:val="18"/>
        </w:rPr>
        <w:t>- ontvangst van buitenlandse parlementsleden en delegaties van internationale organisaties;</w:t>
      </w:r>
    </w:p>
    <w:p w:rsidRPr="004C105A" w:rsidR="00AE25CB" w:rsidP="00654798" w:rsidRDefault="51825749" w14:paraId="7EE52EB6" w14:textId="77777777">
      <w:pPr>
        <w:spacing w:line="240" w:lineRule="atLeast"/>
        <w:ind w:left="284" w:hanging="284"/>
        <w:rPr>
          <w:rFonts w:ascii="Verdana" w:hAnsi="Verdana"/>
          <w:sz w:val="18"/>
          <w:szCs w:val="18"/>
        </w:rPr>
      </w:pPr>
      <w:r w:rsidRPr="004C105A">
        <w:rPr>
          <w:rFonts w:ascii="Verdana" w:hAnsi="Verdana"/>
          <w:sz w:val="18"/>
          <w:szCs w:val="18"/>
        </w:rPr>
        <w:t>- de activiteiten van de Nederlandse groep van de Interparlementaire Unie (IPU).</w:t>
      </w:r>
    </w:p>
    <w:p w:rsidRPr="004C105A" w:rsidR="00757EB7" w:rsidP="00654798" w:rsidRDefault="00757EB7" w14:paraId="393DE7A4" w14:textId="77777777">
      <w:pPr>
        <w:spacing w:line="240" w:lineRule="atLeast"/>
        <w:ind w:left="284" w:hanging="284"/>
        <w:rPr>
          <w:rFonts w:ascii="Verdana" w:hAnsi="Verdana"/>
          <w:sz w:val="18"/>
          <w:szCs w:val="18"/>
        </w:rPr>
      </w:pPr>
    </w:p>
    <w:p w:rsidR="00BC2BB4" w:rsidP="00BC2BB4" w:rsidRDefault="00BC2BB4" w14:paraId="6FED3DD6" w14:textId="4BCFA72A">
      <w:pPr>
        <w:spacing w:line="240" w:lineRule="atLeast"/>
        <w:rPr>
          <w:rFonts w:ascii="Verdana" w:hAnsi="Verdana"/>
          <w:sz w:val="18"/>
          <w:szCs w:val="18"/>
        </w:rPr>
      </w:pPr>
      <w:r w:rsidRPr="00F94854">
        <w:rPr>
          <w:rFonts w:ascii="Verdana" w:hAnsi="Verdana"/>
          <w:sz w:val="18"/>
          <w:szCs w:val="18"/>
        </w:rPr>
        <w:t>De Staten</w:t>
      </w:r>
      <w:r w:rsidRPr="00F94854" w:rsidR="00161BD2">
        <w:rPr>
          <w:rFonts w:ascii="Verdana" w:hAnsi="Verdana"/>
          <w:sz w:val="18"/>
          <w:szCs w:val="18"/>
        </w:rPr>
        <w:t>-</w:t>
      </w:r>
      <w:r w:rsidRPr="00F94854">
        <w:rPr>
          <w:rFonts w:ascii="Verdana" w:hAnsi="Verdana"/>
          <w:sz w:val="18"/>
          <w:szCs w:val="18"/>
        </w:rPr>
        <w:t xml:space="preserve">Generaal organiseert </w:t>
      </w:r>
      <w:r w:rsidR="00202B8D">
        <w:rPr>
          <w:rFonts w:ascii="Verdana" w:hAnsi="Verdana"/>
          <w:sz w:val="18"/>
          <w:szCs w:val="18"/>
        </w:rPr>
        <w:t>in juli 2026 de jaarlijkse vergadering (</w:t>
      </w:r>
      <w:r w:rsidR="004610F1">
        <w:rPr>
          <w:rFonts w:ascii="Verdana" w:hAnsi="Verdana"/>
          <w:sz w:val="18"/>
          <w:szCs w:val="18"/>
        </w:rPr>
        <w:t>“</w:t>
      </w:r>
      <w:proofErr w:type="spellStart"/>
      <w:r w:rsidR="00202B8D">
        <w:rPr>
          <w:rFonts w:ascii="Verdana" w:hAnsi="Verdana"/>
          <w:sz w:val="18"/>
          <w:szCs w:val="18"/>
        </w:rPr>
        <w:t>Annual</w:t>
      </w:r>
      <w:proofErr w:type="spellEnd"/>
      <w:r w:rsidR="00202B8D">
        <w:rPr>
          <w:rFonts w:ascii="Verdana" w:hAnsi="Verdana"/>
          <w:sz w:val="18"/>
          <w:szCs w:val="18"/>
        </w:rPr>
        <w:t xml:space="preserve"> </w:t>
      </w:r>
      <w:proofErr w:type="spellStart"/>
      <w:r w:rsidR="00202B8D">
        <w:rPr>
          <w:rFonts w:ascii="Verdana" w:hAnsi="Verdana"/>
          <w:sz w:val="18"/>
          <w:szCs w:val="18"/>
        </w:rPr>
        <w:t>Session</w:t>
      </w:r>
      <w:proofErr w:type="spellEnd"/>
      <w:r w:rsidR="004610F1">
        <w:rPr>
          <w:rFonts w:ascii="Verdana" w:hAnsi="Verdana"/>
          <w:sz w:val="18"/>
          <w:szCs w:val="18"/>
        </w:rPr>
        <w:t>”</w:t>
      </w:r>
      <w:r w:rsidR="00202B8D">
        <w:rPr>
          <w:rFonts w:ascii="Verdana" w:hAnsi="Verdana"/>
          <w:sz w:val="18"/>
          <w:szCs w:val="18"/>
        </w:rPr>
        <w:t>) in Nederland van de</w:t>
      </w:r>
      <w:r w:rsidRPr="00F94854" w:rsidR="00202B8D">
        <w:rPr>
          <w:rFonts w:ascii="Verdana" w:hAnsi="Verdana"/>
          <w:sz w:val="18"/>
          <w:szCs w:val="18"/>
        </w:rPr>
        <w:t xml:space="preserve"> </w:t>
      </w:r>
      <w:r w:rsidR="00202B8D">
        <w:rPr>
          <w:rFonts w:ascii="Verdana" w:hAnsi="Verdana"/>
          <w:sz w:val="18"/>
          <w:szCs w:val="18"/>
        </w:rPr>
        <w:t>OVSE (</w:t>
      </w:r>
      <w:r w:rsidRPr="00F94854" w:rsidR="00202B8D">
        <w:rPr>
          <w:rFonts w:ascii="Verdana" w:hAnsi="Verdana"/>
          <w:sz w:val="18"/>
          <w:szCs w:val="18"/>
        </w:rPr>
        <w:t>Organisatie voor Veiligheid en Samenwerking in Europa</w:t>
      </w:r>
      <w:r w:rsidR="00202B8D">
        <w:rPr>
          <w:rFonts w:ascii="Verdana" w:hAnsi="Verdana"/>
          <w:sz w:val="18"/>
          <w:szCs w:val="18"/>
        </w:rPr>
        <w:t xml:space="preserve">) Parlementaire </w:t>
      </w:r>
      <w:r w:rsidRPr="00F94854" w:rsidR="00202B8D">
        <w:rPr>
          <w:rFonts w:ascii="Verdana" w:hAnsi="Verdana"/>
          <w:sz w:val="18"/>
          <w:szCs w:val="18"/>
        </w:rPr>
        <w:t>Assemblee</w:t>
      </w:r>
      <w:r w:rsidR="00202B8D">
        <w:rPr>
          <w:rFonts w:ascii="Verdana" w:hAnsi="Verdana"/>
          <w:sz w:val="18"/>
          <w:szCs w:val="18"/>
        </w:rPr>
        <w:t xml:space="preserve">. </w:t>
      </w:r>
      <w:r w:rsidRPr="00F94854">
        <w:rPr>
          <w:rFonts w:ascii="Verdana" w:hAnsi="Verdana"/>
          <w:sz w:val="18"/>
          <w:szCs w:val="18"/>
        </w:rPr>
        <w:t>Het betreft een vijfdaags vergadercongres voor ongeveer 700 deelnemers. Hiervoor zijn incidenteel middelen nodig. In 2025 is € 1,4 mln. hiervoor geraamd en in 2026 bedraagt dit ca € 3 mln.</w:t>
      </w:r>
      <w:r w:rsidRPr="009B170A">
        <w:rPr>
          <w:rFonts w:ascii="Verdana" w:hAnsi="Verdana"/>
          <w:sz w:val="18"/>
          <w:szCs w:val="18"/>
        </w:rPr>
        <w:t xml:space="preserve"> </w:t>
      </w:r>
    </w:p>
    <w:p w:rsidR="00407D2E" w:rsidP="00BC2BB4" w:rsidRDefault="00407D2E" w14:paraId="43C613FA" w14:textId="77777777">
      <w:pPr>
        <w:spacing w:line="240" w:lineRule="atLeast"/>
        <w:rPr>
          <w:rFonts w:ascii="Verdana" w:hAnsi="Verdana"/>
          <w:sz w:val="18"/>
          <w:szCs w:val="18"/>
        </w:rPr>
      </w:pPr>
    </w:p>
    <w:p w:rsidR="00BC2BB4" w:rsidP="00654798" w:rsidRDefault="00BC2BB4" w14:paraId="3971EB51" w14:textId="77777777">
      <w:pPr>
        <w:spacing w:line="240" w:lineRule="atLeast"/>
        <w:rPr>
          <w:rFonts w:ascii="Verdana" w:hAnsi="Verdana"/>
          <w:sz w:val="18"/>
          <w:szCs w:val="18"/>
        </w:rPr>
      </w:pPr>
    </w:p>
    <w:p w:rsidR="00AE25CB" w:rsidP="00654798" w:rsidRDefault="51825749" w14:paraId="16EC4B3C" w14:textId="6074AB0F">
      <w:pPr>
        <w:spacing w:line="240" w:lineRule="atLeast"/>
        <w:rPr>
          <w:rFonts w:ascii="Verdana" w:hAnsi="Verdana"/>
          <w:sz w:val="18"/>
          <w:szCs w:val="18"/>
        </w:rPr>
      </w:pPr>
      <w:r w:rsidRPr="004C105A">
        <w:rPr>
          <w:rFonts w:ascii="Verdana" w:hAnsi="Verdana"/>
          <w:sz w:val="18"/>
          <w:szCs w:val="18"/>
        </w:rPr>
        <w:t>In onderstaand overzicht zijn, als kengetallen, in meerjarig perspectief (20</w:t>
      </w:r>
      <w:r w:rsidR="00915755">
        <w:rPr>
          <w:rFonts w:ascii="Verdana" w:hAnsi="Verdana"/>
          <w:sz w:val="18"/>
          <w:szCs w:val="18"/>
        </w:rPr>
        <w:t>20</w:t>
      </w:r>
      <w:r w:rsidRPr="004C105A">
        <w:rPr>
          <w:rFonts w:ascii="Verdana" w:hAnsi="Verdana"/>
          <w:sz w:val="18"/>
          <w:szCs w:val="18"/>
        </w:rPr>
        <w:t>–202</w:t>
      </w:r>
      <w:r w:rsidR="00915755">
        <w:rPr>
          <w:rFonts w:ascii="Verdana" w:hAnsi="Verdana"/>
          <w:sz w:val="18"/>
          <w:szCs w:val="18"/>
        </w:rPr>
        <w:t>4</w:t>
      </w:r>
      <w:r w:rsidRPr="004C105A">
        <w:rPr>
          <w:rFonts w:ascii="Verdana" w:hAnsi="Verdana"/>
          <w:sz w:val="18"/>
          <w:szCs w:val="18"/>
        </w:rPr>
        <w:t>) de uitgaven met betrekking tot dit artikel opgenomen. Voorts zijn, afgeleid hiervan, gemiddelden per Kamerzetel (van Eerste en Tweede Kamer) opgenomen.</w:t>
      </w:r>
      <w:r w:rsidRPr="00690211">
        <w:rPr>
          <w:rFonts w:ascii="Verdana" w:hAnsi="Verdana"/>
          <w:sz w:val="18"/>
          <w:szCs w:val="18"/>
        </w:rPr>
        <w:t xml:space="preserve"> </w:t>
      </w:r>
    </w:p>
    <w:p w:rsidRPr="00397084" w:rsidR="00784C9E" w:rsidP="00654798" w:rsidRDefault="00784C9E" w14:paraId="0E06D25D" w14:textId="77777777">
      <w:pPr>
        <w:spacing w:line="240" w:lineRule="atLeast"/>
        <w:rPr>
          <w:rFonts w:ascii="Verdana" w:hAnsi="Verdana"/>
          <w:i/>
          <w:sz w:val="18"/>
          <w:szCs w:val="18"/>
        </w:rPr>
      </w:pPr>
    </w:p>
    <w:p w:rsidR="000B2121" w:rsidP="00654798" w:rsidRDefault="51825749" w14:paraId="22EC6AF7" w14:textId="77777777">
      <w:pPr>
        <w:spacing w:line="240" w:lineRule="atLeast"/>
        <w:ind w:left="284" w:hanging="284"/>
        <w:rPr>
          <w:rFonts w:ascii="Verdana" w:hAnsi="Verdana"/>
          <w:i/>
          <w:iCs/>
          <w:sz w:val="18"/>
          <w:szCs w:val="18"/>
        </w:rPr>
      </w:pPr>
      <w:r w:rsidRPr="51825749">
        <w:rPr>
          <w:rFonts w:ascii="Verdana" w:hAnsi="Verdana"/>
          <w:i/>
          <w:iCs/>
          <w:sz w:val="18"/>
          <w:szCs w:val="18"/>
        </w:rPr>
        <w:t>Tabel 6: gemiddelde uitgaven per lid</w:t>
      </w:r>
    </w:p>
    <w:tbl>
      <w:tblPr>
        <w:tblW w:w="5000" w:type="pct"/>
        <w:tblCellMar>
          <w:left w:w="70" w:type="dxa"/>
          <w:right w:w="70" w:type="dxa"/>
        </w:tblCellMar>
        <w:tblLook w:val="04A0" w:firstRow="1" w:lastRow="0" w:firstColumn="1" w:lastColumn="0" w:noHBand="0" w:noVBand="1"/>
      </w:tblPr>
      <w:tblGrid>
        <w:gridCol w:w="3333"/>
        <w:gridCol w:w="1162"/>
        <w:gridCol w:w="1161"/>
        <w:gridCol w:w="1161"/>
        <w:gridCol w:w="1373"/>
        <w:gridCol w:w="1373"/>
      </w:tblGrid>
      <w:tr w:rsidRPr="000B2121" w:rsidR="000B2121" w:rsidTr="008E1F4B" w14:paraId="666A9E95" w14:textId="77777777">
        <w:trPr>
          <w:trHeight w:val="450"/>
        </w:trPr>
        <w:tc>
          <w:tcPr>
            <w:tcW w:w="1741" w:type="pct"/>
            <w:tcBorders>
              <w:top w:val="nil"/>
              <w:left w:val="nil"/>
              <w:bottom w:val="nil"/>
              <w:right w:val="nil"/>
            </w:tcBorders>
            <w:shd w:val="clear" w:color="000000" w:fill="002060"/>
            <w:vAlign w:val="center"/>
            <w:hideMark/>
          </w:tcPr>
          <w:p w:rsidRPr="000B2121" w:rsidR="000B2121" w:rsidP="000B2121" w:rsidRDefault="000B2121" w14:paraId="7C87CBC9" w14:textId="77777777">
            <w:pPr>
              <w:rPr>
                <w:rFonts w:ascii="Verdana" w:hAnsi="Verdana" w:cs="Calibri"/>
                <w:b/>
                <w:bCs/>
                <w:color w:val="FFFFFF"/>
                <w:sz w:val="18"/>
                <w:szCs w:val="18"/>
              </w:rPr>
            </w:pPr>
            <w:r w:rsidRPr="000B2121">
              <w:rPr>
                <w:rFonts w:ascii="Verdana" w:hAnsi="Verdana" w:cs="Calibri"/>
                <w:b/>
                <w:bCs/>
                <w:color w:val="FFFFFF"/>
                <w:sz w:val="18"/>
                <w:szCs w:val="18"/>
              </w:rPr>
              <w:t>Artikel 4: Wetgeving en controle</w:t>
            </w:r>
          </w:p>
        </w:tc>
        <w:tc>
          <w:tcPr>
            <w:tcW w:w="607" w:type="pct"/>
            <w:vMerge w:val="restart"/>
            <w:tcBorders>
              <w:top w:val="nil"/>
              <w:left w:val="nil"/>
              <w:bottom w:val="nil"/>
              <w:right w:val="nil"/>
            </w:tcBorders>
            <w:shd w:val="clear" w:color="000000" w:fill="002060"/>
            <w:noWrap/>
            <w:vAlign w:val="center"/>
            <w:hideMark/>
          </w:tcPr>
          <w:p w:rsidRPr="000B2121" w:rsidR="000B2121" w:rsidP="000B2121" w:rsidRDefault="000B2121" w14:paraId="00A1CCC5" w14:textId="77777777">
            <w:pPr>
              <w:jc w:val="center"/>
              <w:rPr>
                <w:rFonts w:ascii="Verdana" w:hAnsi="Verdana" w:cs="Calibri"/>
                <w:b/>
                <w:bCs/>
                <w:color w:val="FFFFFF"/>
                <w:sz w:val="18"/>
                <w:szCs w:val="18"/>
              </w:rPr>
            </w:pPr>
            <w:r w:rsidRPr="000B2121">
              <w:rPr>
                <w:rFonts w:ascii="Verdana" w:hAnsi="Verdana" w:cs="Calibri"/>
                <w:b/>
                <w:bCs/>
                <w:color w:val="FFFFFF"/>
                <w:sz w:val="18"/>
                <w:szCs w:val="18"/>
              </w:rPr>
              <w:t>2020</w:t>
            </w:r>
          </w:p>
        </w:tc>
        <w:tc>
          <w:tcPr>
            <w:tcW w:w="607" w:type="pct"/>
            <w:vMerge w:val="restart"/>
            <w:tcBorders>
              <w:top w:val="nil"/>
              <w:left w:val="nil"/>
              <w:bottom w:val="nil"/>
              <w:right w:val="nil"/>
            </w:tcBorders>
            <w:shd w:val="clear" w:color="000000" w:fill="002060"/>
            <w:noWrap/>
            <w:vAlign w:val="center"/>
            <w:hideMark/>
          </w:tcPr>
          <w:p w:rsidRPr="000B2121" w:rsidR="000B2121" w:rsidP="000B2121" w:rsidRDefault="000B2121" w14:paraId="5A3940A9" w14:textId="77777777">
            <w:pPr>
              <w:jc w:val="center"/>
              <w:rPr>
                <w:rFonts w:ascii="Verdana" w:hAnsi="Verdana" w:cs="Calibri"/>
                <w:b/>
                <w:bCs/>
                <w:color w:val="FFFFFF"/>
                <w:sz w:val="18"/>
                <w:szCs w:val="18"/>
              </w:rPr>
            </w:pPr>
            <w:r w:rsidRPr="000B2121">
              <w:rPr>
                <w:rFonts w:ascii="Verdana" w:hAnsi="Verdana" w:cs="Calibri"/>
                <w:b/>
                <w:bCs/>
                <w:color w:val="FFFFFF"/>
                <w:sz w:val="18"/>
                <w:szCs w:val="18"/>
              </w:rPr>
              <w:t>2021</w:t>
            </w:r>
          </w:p>
        </w:tc>
        <w:tc>
          <w:tcPr>
            <w:tcW w:w="607" w:type="pct"/>
            <w:vMerge w:val="restart"/>
            <w:tcBorders>
              <w:top w:val="nil"/>
              <w:left w:val="nil"/>
              <w:bottom w:val="nil"/>
              <w:right w:val="nil"/>
            </w:tcBorders>
            <w:shd w:val="clear" w:color="000000" w:fill="002060"/>
            <w:noWrap/>
            <w:vAlign w:val="center"/>
            <w:hideMark/>
          </w:tcPr>
          <w:p w:rsidRPr="000B2121" w:rsidR="000B2121" w:rsidP="000B2121" w:rsidRDefault="000B2121" w14:paraId="61727BD8" w14:textId="77777777">
            <w:pPr>
              <w:jc w:val="center"/>
              <w:rPr>
                <w:rFonts w:ascii="Verdana" w:hAnsi="Verdana" w:cs="Calibri"/>
                <w:b/>
                <w:bCs/>
                <w:color w:val="FFFFFF"/>
                <w:sz w:val="18"/>
                <w:szCs w:val="18"/>
              </w:rPr>
            </w:pPr>
            <w:r w:rsidRPr="000B2121">
              <w:rPr>
                <w:rFonts w:ascii="Verdana" w:hAnsi="Verdana" w:cs="Calibri"/>
                <w:b/>
                <w:bCs/>
                <w:color w:val="FFFFFF"/>
                <w:sz w:val="18"/>
                <w:szCs w:val="18"/>
              </w:rPr>
              <w:t>2022</w:t>
            </w:r>
          </w:p>
        </w:tc>
        <w:tc>
          <w:tcPr>
            <w:tcW w:w="718" w:type="pct"/>
            <w:vMerge w:val="restart"/>
            <w:tcBorders>
              <w:top w:val="nil"/>
              <w:left w:val="nil"/>
              <w:bottom w:val="nil"/>
              <w:right w:val="nil"/>
            </w:tcBorders>
            <w:shd w:val="clear" w:color="000000" w:fill="002060"/>
            <w:noWrap/>
            <w:vAlign w:val="center"/>
            <w:hideMark/>
          </w:tcPr>
          <w:p w:rsidRPr="000B2121" w:rsidR="000B2121" w:rsidP="000B2121" w:rsidRDefault="000B2121" w14:paraId="0005FAB8" w14:textId="77777777">
            <w:pPr>
              <w:jc w:val="center"/>
              <w:rPr>
                <w:rFonts w:ascii="Verdana" w:hAnsi="Verdana" w:cs="Calibri"/>
                <w:b/>
                <w:bCs/>
                <w:color w:val="FFFFFF"/>
                <w:sz w:val="18"/>
                <w:szCs w:val="18"/>
              </w:rPr>
            </w:pPr>
            <w:r w:rsidRPr="000B2121">
              <w:rPr>
                <w:rFonts w:ascii="Verdana" w:hAnsi="Verdana" w:cs="Calibri"/>
                <w:b/>
                <w:bCs/>
                <w:color w:val="FFFFFF"/>
                <w:sz w:val="18"/>
                <w:szCs w:val="18"/>
              </w:rPr>
              <w:t>2023</w:t>
            </w:r>
          </w:p>
        </w:tc>
        <w:tc>
          <w:tcPr>
            <w:tcW w:w="718" w:type="pct"/>
            <w:vMerge w:val="restart"/>
            <w:tcBorders>
              <w:top w:val="nil"/>
              <w:left w:val="nil"/>
              <w:bottom w:val="nil"/>
              <w:right w:val="nil"/>
            </w:tcBorders>
            <w:shd w:val="clear" w:color="000000" w:fill="002060"/>
            <w:noWrap/>
            <w:vAlign w:val="center"/>
            <w:hideMark/>
          </w:tcPr>
          <w:p w:rsidRPr="000B2121" w:rsidR="000B2121" w:rsidP="000B2121" w:rsidRDefault="000B2121" w14:paraId="007011E1" w14:textId="77777777">
            <w:pPr>
              <w:jc w:val="center"/>
              <w:rPr>
                <w:rFonts w:ascii="Verdana" w:hAnsi="Verdana" w:cs="Calibri"/>
                <w:b/>
                <w:bCs/>
                <w:color w:val="FFFFFF"/>
                <w:sz w:val="18"/>
                <w:szCs w:val="18"/>
              </w:rPr>
            </w:pPr>
            <w:r w:rsidRPr="000B2121">
              <w:rPr>
                <w:rFonts w:ascii="Verdana" w:hAnsi="Verdana" w:cs="Calibri"/>
                <w:b/>
                <w:bCs/>
                <w:color w:val="FFFFFF"/>
                <w:sz w:val="18"/>
                <w:szCs w:val="18"/>
              </w:rPr>
              <w:t>2024</w:t>
            </w:r>
          </w:p>
        </w:tc>
      </w:tr>
      <w:tr w:rsidRPr="000B2121" w:rsidR="000B2121" w:rsidTr="008E1F4B" w14:paraId="4B6C6BEA" w14:textId="77777777">
        <w:trPr>
          <w:trHeight w:val="300"/>
        </w:trPr>
        <w:tc>
          <w:tcPr>
            <w:tcW w:w="1741" w:type="pct"/>
            <w:tcBorders>
              <w:top w:val="nil"/>
              <w:left w:val="nil"/>
              <w:bottom w:val="nil"/>
              <w:right w:val="nil"/>
            </w:tcBorders>
            <w:shd w:val="clear" w:color="000000" w:fill="002060"/>
            <w:vAlign w:val="center"/>
            <w:hideMark/>
          </w:tcPr>
          <w:p w:rsidRPr="000B2121" w:rsidR="000B2121" w:rsidP="000B2121" w:rsidRDefault="000B2121" w14:paraId="2352AA51" w14:textId="77777777">
            <w:pPr>
              <w:rPr>
                <w:rFonts w:ascii="Verdana" w:hAnsi="Verdana" w:cs="Calibri"/>
                <w:b/>
                <w:bCs/>
                <w:color w:val="FFFFFF"/>
                <w:sz w:val="18"/>
                <w:szCs w:val="18"/>
              </w:rPr>
            </w:pPr>
            <w:r w:rsidRPr="000B2121">
              <w:rPr>
                <w:rFonts w:ascii="Verdana" w:hAnsi="Verdana" w:cs="Calibri"/>
                <w:b/>
                <w:bCs/>
                <w:color w:val="FFFFFF"/>
                <w:sz w:val="18"/>
                <w:szCs w:val="18"/>
              </w:rPr>
              <w:t xml:space="preserve">Eerste en Tweede Kamer </w:t>
            </w:r>
          </w:p>
        </w:tc>
        <w:tc>
          <w:tcPr>
            <w:tcW w:w="607" w:type="pct"/>
            <w:vMerge/>
            <w:tcBorders>
              <w:top w:val="nil"/>
              <w:left w:val="nil"/>
              <w:bottom w:val="nil"/>
              <w:right w:val="nil"/>
            </w:tcBorders>
            <w:vAlign w:val="center"/>
            <w:hideMark/>
          </w:tcPr>
          <w:p w:rsidRPr="000B2121" w:rsidR="000B2121" w:rsidP="000B2121" w:rsidRDefault="000B2121" w14:paraId="355CAE7B" w14:textId="77777777">
            <w:pPr>
              <w:rPr>
                <w:rFonts w:ascii="Verdana" w:hAnsi="Verdana" w:cs="Calibri"/>
                <w:b/>
                <w:bCs/>
                <w:color w:val="FFFFFF"/>
                <w:sz w:val="18"/>
                <w:szCs w:val="18"/>
              </w:rPr>
            </w:pPr>
          </w:p>
        </w:tc>
        <w:tc>
          <w:tcPr>
            <w:tcW w:w="607" w:type="pct"/>
            <w:vMerge/>
            <w:tcBorders>
              <w:top w:val="nil"/>
              <w:left w:val="nil"/>
              <w:bottom w:val="nil"/>
              <w:right w:val="nil"/>
            </w:tcBorders>
            <w:vAlign w:val="center"/>
            <w:hideMark/>
          </w:tcPr>
          <w:p w:rsidRPr="000B2121" w:rsidR="000B2121" w:rsidP="000B2121" w:rsidRDefault="000B2121" w14:paraId="3F9E8258" w14:textId="77777777">
            <w:pPr>
              <w:rPr>
                <w:rFonts w:ascii="Verdana" w:hAnsi="Verdana" w:cs="Calibri"/>
                <w:b/>
                <w:bCs/>
                <w:color w:val="FFFFFF"/>
                <w:sz w:val="18"/>
                <w:szCs w:val="18"/>
              </w:rPr>
            </w:pPr>
          </w:p>
        </w:tc>
        <w:tc>
          <w:tcPr>
            <w:tcW w:w="607" w:type="pct"/>
            <w:vMerge/>
            <w:tcBorders>
              <w:top w:val="nil"/>
              <w:left w:val="nil"/>
              <w:bottom w:val="nil"/>
              <w:right w:val="nil"/>
            </w:tcBorders>
            <w:vAlign w:val="center"/>
            <w:hideMark/>
          </w:tcPr>
          <w:p w:rsidRPr="000B2121" w:rsidR="000B2121" w:rsidP="000B2121" w:rsidRDefault="000B2121" w14:paraId="3EFB45C2" w14:textId="77777777">
            <w:pPr>
              <w:rPr>
                <w:rFonts w:ascii="Verdana" w:hAnsi="Verdana" w:cs="Calibri"/>
                <w:b/>
                <w:bCs/>
                <w:color w:val="FFFFFF"/>
                <w:sz w:val="18"/>
                <w:szCs w:val="18"/>
              </w:rPr>
            </w:pPr>
          </w:p>
        </w:tc>
        <w:tc>
          <w:tcPr>
            <w:tcW w:w="718" w:type="pct"/>
            <w:vMerge/>
            <w:tcBorders>
              <w:top w:val="nil"/>
              <w:left w:val="nil"/>
              <w:bottom w:val="nil"/>
              <w:right w:val="nil"/>
            </w:tcBorders>
            <w:vAlign w:val="center"/>
            <w:hideMark/>
          </w:tcPr>
          <w:p w:rsidRPr="000B2121" w:rsidR="000B2121" w:rsidP="000B2121" w:rsidRDefault="000B2121" w14:paraId="48AFEA82" w14:textId="77777777">
            <w:pPr>
              <w:rPr>
                <w:rFonts w:ascii="Verdana" w:hAnsi="Verdana" w:cs="Calibri"/>
                <w:b/>
                <w:bCs/>
                <w:color w:val="FFFFFF"/>
                <w:sz w:val="18"/>
                <w:szCs w:val="18"/>
              </w:rPr>
            </w:pPr>
          </w:p>
        </w:tc>
        <w:tc>
          <w:tcPr>
            <w:tcW w:w="718" w:type="pct"/>
            <w:vMerge/>
            <w:tcBorders>
              <w:top w:val="nil"/>
              <w:left w:val="nil"/>
              <w:bottom w:val="nil"/>
              <w:right w:val="nil"/>
            </w:tcBorders>
            <w:vAlign w:val="center"/>
            <w:hideMark/>
          </w:tcPr>
          <w:p w:rsidRPr="000B2121" w:rsidR="000B2121" w:rsidP="000B2121" w:rsidRDefault="000B2121" w14:paraId="1FC45E90" w14:textId="77777777">
            <w:pPr>
              <w:rPr>
                <w:rFonts w:ascii="Verdana" w:hAnsi="Verdana" w:cs="Calibri"/>
                <w:b/>
                <w:bCs/>
                <w:color w:val="FFFFFF"/>
                <w:sz w:val="18"/>
                <w:szCs w:val="18"/>
              </w:rPr>
            </w:pPr>
          </w:p>
        </w:tc>
      </w:tr>
      <w:tr w:rsidRPr="000B2121" w:rsidR="000B2121" w:rsidTr="008E1F4B" w14:paraId="6A2EA1E5" w14:textId="77777777">
        <w:trPr>
          <w:trHeight w:val="300"/>
        </w:trPr>
        <w:tc>
          <w:tcPr>
            <w:tcW w:w="1741" w:type="pct"/>
            <w:tcBorders>
              <w:top w:val="nil"/>
              <w:left w:val="nil"/>
              <w:bottom w:val="nil"/>
              <w:right w:val="nil"/>
            </w:tcBorders>
            <w:shd w:val="clear" w:color="000000" w:fill="002060"/>
            <w:vAlign w:val="center"/>
            <w:hideMark/>
          </w:tcPr>
          <w:p w:rsidRPr="000B2121" w:rsidR="000B2121" w:rsidP="000B2121" w:rsidRDefault="000B2121" w14:paraId="1974D34A" w14:textId="77777777">
            <w:pPr>
              <w:rPr>
                <w:rFonts w:ascii="Verdana" w:hAnsi="Verdana" w:cs="Calibri"/>
                <w:b/>
                <w:bCs/>
                <w:color w:val="FFFFFF"/>
                <w:sz w:val="18"/>
                <w:szCs w:val="18"/>
              </w:rPr>
            </w:pPr>
            <w:r w:rsidRPr="000B2121">
              <w:rPr>
                <w:rFonts w:ascii="Verdana" w:hAnsi="Verdana" w:cs="Calibri"/>
                <w:b/>
                <w:bCs/>
                <w:color w:val="FFFFFF"/>
                <w:sz w:val="18"/>
                <w:szCs w:val="18"/>
              </w:rPr>
              <w:t>(in €1 000)</w:t>
            </w:r>
          </w:p>
        </w:tc>
        <w:tc>
          <w:tcPr>
            <w:tcW w:w="607" w:type="pct"/>
            <w:vMerge/>
            <w:tcBorders>
              <w:top w:val="nil"/>
              <w:left w:val="nil"/>
              <w:bottom w:val="nil"/>
              <w:right w:val="nil"/>
            </w:tcBorders>
            <w:vAlign w:val="center"/>
            <w:hideMark/>
          </w:tcPr>
          <w:p w:rsidRPr="000B2121" w:rsidR="000B2121" w:rsidP="000B2121" w:rsidRDefault="000B2121" w14:paraId="31DA8B36" w14:textId="77777777">
            <w:pPr>
              <w:rPr>
                <w:rFonts w:ascii="Verdana" w:hAnsi="Verdana" w:cs="Calibri"/>
                <w:b/>
                <w:bCs/>
                <w:color w:val="FFFFFF"/>
                <w:sz w:val="18"/>
                <w:szCs w:val="18"/>
              </w:rPr>
            </w:pPr>
          </w:p>
        </w:tc>
        <w:tc>
          <w:tcPr>
            <w:tcW w:w="607" w:type="pct"/>
            <w:vMerge/>
            <w:tcBorders>
              <w:top w:val="nil"/>
              <w:left w:val="nil"/>
              <w:bottom w:val="nil"/>
              <w:right w:val="nil"/>
            </w:tcBorders>
            <w:vAlign w:val="center"/>
            <w:hideMark/>
          </w:tcPr>
          <w:p w:rsidRPr="000B2121" w:rsidR="000B2121" w:rsidP="000B2121" w:rsidRDefault="000B2121" w14:paraId="281B5B7A" w14:textId="77777777">
            <w:pPr>
              <w:rPr>
                <w:rFonts w:ascii="Verdana" w:hAnsi="Verdana" w:cs="Calibri"/>
                <w:b/>
                <w:bCs/>
                <w:color w:val="FFFFFF"/>
                <w:sz w:val="18"/>
                <w:szCs w:val="18"/>
              </w:rPr>
            </w:pPr>
          </w:p>
        </w:tc>
        <w:tc>
          <w:tcPr>
            <w:tcW w:w="607" w:type="pct"/>
            <w:vMerge/>
            <w:tcBorders>
              <w:top w:val="nil"/>
              <w:left w:val="nil"/>
              <w:bottom w:val="nil"/>
              <w:right w:val="nil"/>
            </w:tcBorders>
            <w:vAlign w:val="center"/>
            <w:hideMark/>
          </w:tcPr>
          <w:p w:rsidRPr="000B2121" w:rsidR="000B2121" w:rsidP="000B2121" w:rsidRDefault="000B2121" w14:paraId="3C912E63" w14:textId="77777777">
            <w:pPr>
              <w:rPr>
                <w:rFonts w:ascii="Verdana" w:hAnsi="Verdana" w:cs="Calibri"/>
                <w:b/>
                <w:bCs/>
                <w:color w:val="FFFFFF"/>
                <w:sz w:val="18"/>
                <w:szCs w:val="18"/>
              </w:rPr>
            </w:pPr>
          </w:p>
        </w:tc>
        <w:tc>
          <w:tcPr>
            <w:tcW w:w="718" w:type="pct"/>
            <w:vMerge/>
            <w:tcBorders>
              <w:top w:val="nil"/>
              <w:left w:val="nil"/>
              <w:bottom w:val="nil"/>
              <w:right w:val="nil"/>
            </w:tcBorders>
            <w:vAlign w:val="center"/>
            <w:hideMark/>
          </w:tcPr>
          <w:p w:rsidRPr="000B2121" w:rsidR="000B2121" w:rsidP="000B2121" w:rsidRDefault="000B2121" w14:paraId="28AD685A" w14:textId="77777777">
            <w:pPr>
              <w:rPr>
                <w:rFonts w:ascii="Verdana" w:hAnsi="Verdana" w:cs="Calibri"/>
                <w:b/>
                <w:bCs/>
                <w:color w:val="FFFFFF"/>
                <w:sz w:val="18"/>
                <w:szCs w:val="18"/>
              </w:rPr>
            </w:pPr>
          </w:p>
        </w:tc>
        <w:tc>
          <w:tcPr>
            <w:tcW w:w="718" w:type="pct"/>
            <w:vMerge/>
            <w:tcBorders>
              <w:top w:val="nil"/>
              <w:left w:val="nil"/>
              <w:bottom w:val="nil"/>
              <w:right w:val="nil"/>
            </w:tcBorders>
            <w:vAlign w:val="center"/>
            <w:hideMark/>
          </w:tcPr>
          <w:p w:rsidRPr="000B2121" w:rsidR="000B2121" w:rsidP="000B2121" w:rsidRDefault="000B2121" w14:paraId="1F891D1D" w14:textId="77777777">
            <w:pPr>
              <w:rPr>
                <w:rFonts w:ascii="Verdana" w:hAnsi="Verdana" w:cs="Calibri"/>
                <w:b/>
                <w:bCs/>
                <w:color w:val="FFFFFF"/>
                <w:sz w:val="18"/>
                <w:szCs w:val="18"/>
              </w:rPr>
            </w:pPr>
          </w:p>
        </w:tc>
      </w:tr>
      <w:tr w:rsidRPr="000B2121" w:rsidR="000B2121" w:rsidTr="008E1F4B" w14:paraId="490FCC30" w14:textId="77777777">
        <w:trPr>
          <w:trHeight w:val="450"/>
        </w:trPr>
        <w:tc>
          <w:tcPr>
            <w:tcW w:w="1741" w:type="pct"/>
            <w:tcBorders>
              <w:top w:val="nil"/>
              <w:left w:val="nil"/>
              <w:bottom w:val="nil"/>
              <w:right w:val="nil"/>
            </w:tcBorders>
            <w:shd w:val="clear" w:color="auto" w:fill="auto"/>
            <w:vAlign w:val="center"/>
            <w:hideMark/>
          </w:tcPr>
          <w:p w:rsidRPr="000B2121" w:rsidR="000B2121" w:rsidP="000B2121" w:rsidRDefault="000B2121" w14:paraId="1A05CF85" w14:textId="77777777">
            <w:pPr>
              <w:ind w:firstLine="360" w:firstLineChars="200"/>
              <w:rPr>
                <w:rFonts w:ascii="Verdana" w:hAnsi="Verdana" w:cs="Calibri"/>
                <w:color w:val="000000"/>
                <w:sz w:val="18"/>
                <w:szCs w:val="18"/>
              </w:rPr>
            </w:pPr>
            <w:r w:rsidRPr="000B2121">
              <w:rPr>
                <w:rFonts w:ascii="Verdana" w:hAnsi="Verdana" w:cs="Calibri"/>
                <w:color w:val="000000"/>
                <w:sz w:val="18"/>
                <w:szCs w:val="18"/>
              </w:rPr>
              <w:t>Interparlementaire betrekkingen</w:t>
            </w:r>
          </w:p>
        </w:tc>
        <w:tc>
          <w:tcPr>
            <w:tcW w:w="607" w:type="pct"/>
            <w:tcBorders>
              <w:top w:val="nil"/>
              <w:left w:val="nil"/>
              <w:bottom w:val="nil"/>
              <w:right w:val="nil"/>
            </w:tcBorders>
            <w:shd w:val="clear" w:color="auto" w:fill="auto"/>
            <w:vAlign w:val="center"/>
            <w:hideMark/>
          </w:tcPr>
          <w:p w:rsidRPr="000B2121" w:rsidR="000B2121" w:rsidP="000B2121" w:rsidRDefault="000B2121" w14:paraId="6BF6E86C"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904</w:t>
            </w:r>
          </w:p>
        </w:tc>
        <w:tc>
          <w:tcPr>
            <w:tcW w:w="607" w:type="pct"/>
            <w:tcBorders>
              <w:top w:val="nil"/>
              <w:left w:val="nil"/>
              <w:bottom w:val="nil"/>
              <w:right w:val="nil"/>
            </w:tcBorders>
            <w:shd w:val="clear" w:color="auto" w:fill="auto"/>
            <w:vAlign w:val="center"/>
            <w:hideMark/>
          </w:tcPr>
          <w:p w:rsidRPr="000B2121" w:rsidR="000B2121" w:rsidP="000B2121" w:rsidRDefault="000B2121" w14:paraId="7A3F5F88"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891</w:t>
            </w:r>
          </w:p>
        </w:tc>
        <w:tc>
          <w:tcPr>
            <w:tcW w:w="607" w:type="pct"/>
            <w:tcBorders>
              <w:top w:val="nil"/>
              <w:left w:val="nil"/>
              <w:bottom w:val="nil"/>
              <w:right w:val="nil"/>
            </w:tcBorders>
            <w:shd w:val="clear" w:color="auto" w:fill="auto"/>
            <w:vAlign w:val="center"/>
            <w:hideMark/>
          </w:tcPr>
          <w:p w:rsidRPr="000B2121" w:rsidR="000B2121" w:rsidP="000B2121" w:rsidRDefault="000B2121" w14:paraId="6C40DE9D"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948</w:t>
            </w:r>
          </w:p>
        </w:tc>
        <w:tc>
          <w:tcPr>
            <w:tcW w:w="718" w:type="pct"/>
            <w:tcBorders>
              <w:top w:val="nil"/>
              <w:left w:val="nil"/>
              <w:bottom w:val="nil"/>
              <w:right w:val="nil"/>
            </w:tcBorders>
            <w:shd w:val="clear" w:color="auto" w:fill="auto"/>
            <w:vAlign w:val="center"/>
            <w:hideMark/>
          </w:tcPr>
          <w:p w:rsidRPr="000B2121" w:rsidR="000B2121" w:rsidP="000B2121" w:rsidRDefault="000B2121" w14:paraId="0FA910C5"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1.455</w:t>
            </w:r>
          </w:p>
        </w:tc>
        <w:tc>
          <w:tcPr>
            <w:tcW w:w="718" w:type="pct"/>
            <w:tcBorders>
              <w:top w:val="nil"/>
              <w:left w:val="nil"/>
              <w:bottom w:val="nil"/>
              <w:right w:val="nil"/>
            </w:tcBorders>
            <w:shd w:val="clear" w:color="auto" w:fill="auto"/>
            <w:vAlign w:val="center"/>
            <w:hideMark/>
          </w:tcPr>
          <w:p w:rsidRPr="000B2121" w:rsidR="000B2121" w:rsidP="000B2121" w:rsidRDefault="000B2121" w14:paraId="63F5000D"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1.180</w:t>
            </w:r>
          </w:p>
        </w:tc>
      </w:tr>
      <w:tr w:rsidRPr="000B2121" w:rsidR="000B2121" w:rsidTr="008E1F4B" w14:paraId="190E049B" w14:textId="77777777">
        <w:trPr>
          <w:trHeight w:val="300"/>
        </w:trPr>
        <w:tc>
          <w:tcPr>
            <w:tcW w:w="1741" w:type="pct"/>
            <w:tcBorders>
              <w:top w:val="nil"/>
              <w:left w:val="nil"/>
              <w:bottom w:val="nil"/>
              <w:right w:val="nil"/>
            </w:tcBorders>
            <w:shd w:val="clear" w:color="auto" w:fill="auto"/>
            <w:vAlign w:val="center"/>
            <w:hideMark/>
          </w:tcPr>
          <w:p w:rsidRPr="000B2121" w:rsidR="000B2121" w:rsidP="000B2121" w:rsidRDefault="000B2121" w14:paraId="7E1922A1" w14:textId="77777777">
            <w:pPr>
              <w:ind w:firstLine="360" w:firstLineChars="200"/>
              <w:rPr>
                <w:rFonts w:ascii="Verdana" w:hAnsi="Verdana" w:cs="Calibri"/>
                <w:color w:val="000000"/>
                <w:sz w:val="18"/>
                <w:szCs w:val="18"/>
              </w:rPr>
            </w:pPr>
            <w:r w:rsidRPr="000B2121">
              <w:rPr>
                <w:rFonts w:ascii="Verdana" w:hAnsi="Verdana" w:cs="Calibri"/>
                <w:color w:val="000000"/>
                <w:sz w:val="18"/>
                <w:szCs w:val="18"/>
              </w:rPr>
              <w:t>totaal artikel 4</w:t>
            </w:r>
          </w:p>
        </w:tc>
        <w:tc>
          <w:tcPr>
            <w:tcW w:w="607" w:type="pct"/>
            <w:tcBorders>
              <w:top w:val="nil"/>
              <w:left w:val="nil"/>
              <w:bottom w:val="nil"/>
              <w:right w:val="nil"/>
            </w:tcBorders>
            <w:shd w:val="clear" w:color="auto" w:fill="auto"/>
            <w:vAlign w:val="center"/>
            <w:hideMark/>
          </w:tcPr>
          <w:p w:rsidRPr="000B2121" w:rsidR="000B2121" w:rsidP="000B2121" w:rsidRDefault="000B2121" w14:paraId="2552687C"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904</w:t>
            </w:r>
          </w:p>
        </w:tc>
        <w:tc>
          <w:tcPr>
            <w:tcW w:w="607" w:type="pct"/>
            <w:tcBorders>
              <w:top w:val="nil"/>
              <w:left w:val="nil"/>
              <w:bottom w:val="nil"/>
              <w:right w:val="nil"/>
            </w:tcBorders>
            <w:shd w:val="clear" w:color="auto" w:fill="auto"/>
            <w:vAlign w:val="center"/>
            <w:hideMark/>
          </w:tcPr>
          <w:p w:rsidRPr="000B2121" w:rsidR="000B2121" w:rsidP="000B2121" w:rsidRDefault="000B2121" w14:paraId="657F2966"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891</w:t>
            </w:r>
          </w:p>
        </w:tc>
        <w:tc>
          <w:tcPr>
            <w:tcW w:w="607" w:type="pct"/>
            <w:tcBorders>
              <w:top w:val="nil"/>
              <w:left w:val="nil"/>
              <w:bottom w:val="nil"/>
              <w:right w:val="nil"/>
            </w:tcBorders>
            <w:shd w:val="clear" w:color="auto" w:fill="auto"/>
            <w:vAlign w:val="center"/>
            <w:hideMark/>
          </w:tcPr>
          <w:p w:rsidRPr="000B2121" w:rsidR="000B2121" w:rsidP="000B2121" w:rsidRDefault="000B2121" w14:paraId="5A640B6A"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948</w:t>
            </w:r>
          </w:p>
        </w:tc>
        <w:tc>
          <w:tcPr>
            <w:tcW w:w="718" w:type="pct"/>
            <w:tcBorders>
              <w:top w:val="nil"/>
              <w:left w:val="nil"/>
              <w:bottom w:val="nil"/>
              <w:right w:val="nil"/>
            </w:tcBorders>
            <w:shd w:val="clear" w:color="auto" w:fill="auto"/>
            <w:vAlign w:val="center"/>
            <w:hideMark/>
          </w:tcPr>
          <w:p w:rsidRPr="000B2121" w:rsidR="000B2121" w:rsidP="000B2121" w:rsidRDefault="000B2121" w14:paraId="4B16C7C9"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1.455</w:t>
            </w:r>
          </w:p>
        </w:tc>
        <w:tc>
          <w:tcPr>
            <w:tcW w:w="718" w:type="pct"/>
            <w:tcBorders>
              <w:top w:val="nil"/>
              <w:left w:val="nil"/>
              <w:bottom w:val="nil"/>
              <w:right w:val="nil"/>
            </w:tcBorders>
            <w:shd w:val="clear" w:color="auto" w:fill="auto"/>
            <w:vAlign w:val="center"/>
            <w:hideMark/>
          </w:tcPr>
          <w:p w:rsidRPr="000B2121" w:rsidR="000B2121" w:rsidP="000B2121" w:rsidRDefault="000B2121" w14:paraId="43FB4189" w14:textId="77777777">
            <w:pPr>
              <w:ind w:firstLine="360" w:firstLineChars="200"/>
              <w:jc w:val="right"/>
              <w:rPr>
                <w:rFonts w:ascii="Verdana" w:hAnsi="Verdana" w:cs="Calibri"/>
                <w:color w:val="000000"/>
                <w:sz w:val="18"/>
                <w:szCs w:val="18"/>
              </w:rPr>
            </w:pPr>
            <w:r w:rsidRPr="000B2121">
              <w:rPr>
                <w:rFonts w:ascii="Verdana" w:hAnsi="Verdana" w:cs="Calibri"/>
                <w:color w:val="000000"/>
                <w:sz w:val="18"/>
                <w:szCs w:val="18"/>
              </w:rPr>
              <w:t>1.180</w:t>
            </w:r>
          </w:p>
        </w:tc>
      </w:tr>
      <w:tr w:rsidRPr="000B2121" w:rsidR="000B2121" w:rsidTr="008E1F4B" w14:paraId="66D4A7F1" w14:textId="77777777">
        <w:trPr>
          <w:trHeight w:val="315"/>
        </w:trPr>
        <w:tc>
          <w:tcPr>
            <w:tcW w:w="1741" w:type="pct"/>
            <w:tcBorders>
              <w:top w:val="nil"/>
              <w:left w:val="nil"/>
              <w:bottom w:val="single" w:color="auto" w:sz="8" w:space="0"/>
              <w:right w:val="nil"/>
            </w:tcBorders>
            <w:shd w:val="clear" w:color="auto" w:fill="auto"/>
            <w:vAlign w:val="center"/>
            <w:hideMark/>
          </w:tcPr>
          <w:p w:rsidRPr="000B2121" w:rsidR="000B2121" w:rsidP="000B2121" w:rsidRDefault="000B2121" w14:paraId="49D36DFF" w14:textId="77777777">
            <w:pPr>
              <w:ind w:firstLine="360" w:firstLineChars="200"/>
              <w:rPr>
                <w:rFonts w:ascii="Verdana" w:hAnsi="Verdana" w:cs="Calibri"/>
                <w:i/>
                <w:iCs/>
                <w:color w:val="000000"/>
                <w:sz w:val="18"/>
                <w:szCs w:val="18"/>
              </w:rPr>
            </w:pPr>
            <w:r w:rsidRPr="000B2121">
              <w:rPr>
                <w:rFonts w:ascii="Verdana" w:hAnsi="Verdana" w:cs="Calibri"/>
                <w:i/>
                <w:iCs/>
                <w:color w:val="000000"/>
                <w:sz w:val="18"/>
                <w:szCs w:val="18"/>
              </w:rPr>
              <w:t>gemiddeld per zetel (225)</w:t>
            </w:r>
          </w:p>
        </w:tc>
        <w:tc>
          <w:tcPr>
            <w:tcW w:w="607" w:type="pct"/>
            <w:tcBorders>
              <w:top w:val="nil"/>
              <w:left w:val="nil"/>
              <w:bottom w:val="single" w:color="auto" w:sz="8" w:space="0"/>
              <w:right w:val="nil"/>
            </w:tcBorders>
            <w:shd w:val="clear" w:color="auto" w:fill="auto"/>
            <w:vAlign w:val="center"/>
            <w:hideMark/>
          </w:tcPr>
          <w:p w:rsidRPr="000B2121" w:rsidR="000B2121" w:rsidP="000B2121" w:rsidRDefault="000B2121" w14:paraId="4F2FB89C" w14:textId="77777777">
            <w:pPr>
              <w:ind w:firstLine="360" w:firstLineChars="200"/>
              <w:jc w:val="right"/>
              <w:rPr>
                <w:rFonts w:ascii="Verdana" w:hAnsi="Verdana" w:cs="Calibri"/>
                <w:i/>
                <w:iCs/>
                <w:color w:val="000000"/>
                <w:sz w:val="18"/>
                <w:szCs w:val="18"/>
              </w:rPr>
            </w:pPr>
            <w:r w:rsidRPr="000B2121">
              <w:rPr>
                <w:rFonts w:ascii="Verdana" w:hAnsi="Verdana" w:cs="Calibri"/>
                <w:i/>
                <w:iCs/>
                <w:color w:val="000000"/>
                <w:sz w:val="18"/>
                <w:szCs w:val="18"/>
              </w:rPr>
              <w:t>4</w:t>
            </w:r>
          </w:p>
        </w:tc>
        <w:tc>
          <w:tcPr>
            <w:tcW w:w="607" w:type="pct"/>
            <w:tcBorders>
              <w:top w:val="nil"/>
              <w:left w:val="nil"/>
              <w:bottom w:val="single" w:color="auto" w:sz="8" w:space="0"/>
              <w:right w:val="nil"/>
            </w:tcBorders>
            <w:shd w:val="clear" w:color="auto" w:fill="auto"/>
            <w:vAlign w:val="center"/>
            <w:hideMark/>
          </w:tcPr>
          <w:p w:rsidRPr="000B2121" w:rsidR="000B2121" w:rsidP="000B2121" w:rsidRDefault="000B2121" w14:paraId="74CA24DE" w14:textId="77777777">
            <w:pPr>
              <w:ind w:firstLine="360" w:firstLineChars="200"/>
              <w:jc w:val="right"/>
              <w:rPr>
                <w:rFonts w:ascii="Verdana" w:hAnsi="Verdana" w:cs="Calibri"/>
                <w:i/>
                <w:iCs/>
                <w:color w:val="000000"/>
                <w:sz w:val="18"/>
                <w:szCs w:val="18"/>
              </w:rPr>
            </w:pPr>
            <w:r w:rsidRPr="000B2121">
              <w:rPr>
                <w:rFonts w:ascii="Verdana" w:hAnsi="Verdana" w:cs="Calibri"/>
                <w:i/>
                <w:iCs/>
                <w:color w:val="000000"/>
                <w:sz w:val="18"/>
                <w:szCs w:val="18"/>
              </w:rPr>
              <w:t>4</w:t>
            </w:r>
          </w:p>
        </w:tc>
        <w:tc>
          <w:tcPr>
            <w:tcW w:w="607" w:type="pct"/>
            <w:tcBorders>
              <w:top w:val="nil"/>
              <w:left w:val="nil"/>
              <w:bottom w:val="single" w:color="auto" w:sz="8" w:space="0"/>
              <w:right w:val="nil"/>
            </w:tcBorders>
            <w:shd w:val="clear" w:color="auto" w:fill="auto"/>
            <w:vAlign w:val="center"/>
            <w:hideMark/>
          </w:tcPr>
          <w:p w:rsidRPr="000B2121" w:rsidR="000B2121" w:rsidP="000B2121" w:rsidRDefault="000B2121" w14:paraId="09F53D95" w14:textId="77777777">
            <w:pPr>
              <w:ind w:firstLine="360" w:firstLineChars="200"/>
              <w:jc w:val="right"/>
              <w:rPr>
                <w:rFonts w:ascii="Verdana" w:hAnsi="Verdana" w:cs="Calibri"/>
                <w:i/>
                <w:iCs/>
                <w:color w:val="000000"/>
                <w:sz w:val="18"/>
                <w:szCs w:val="18"/>
              </w:rPr>
            </w:pPr>
            <w:r w:rsidRPr="000B2121">
              <w:rPr>
                <w:rFonts w:ascii="Verdana" w:hAnsi="Verdana" w:cs="Calibri"/>
                <w:i/>
                <w:iCs/>
                <w:color w:val="000000"/>
                <w:sz w:val="18"/>
                <w:szCs w:val="18"/>
              </w:rPr>
              <w:t>4</w:t>
            </w:r>
          </w:p>
        </w:tc>
        <w:tc>
          <w:tcPr>
            <w:tcW w:w="718" w:type="pct"/>
            <w:tcBorders>
              <w:top w:val="nil"/>
              <w:left w:val="nil"/>
              <w:bottom w:val="single" w:color="auto" w:sz="8" w:space="0"/>
              <w:right w:val="nil"/>
            </w:tcBorders>
            <w:shd w:val="clear" w:color="auto" w:fill="auto"/>
            <w:vAlign w:val="center"/>
            <w:hideMark/>
          </w:tcPr>
          <w:p w:rsidRPr="000B2121" w:rsidR="000B2121" w:rsidP="000B2121" w:rsidRDefault="000B2121" w14:paraId="20482405" w14:textId="77777777">
            <w:pPr>
              <w:ind w:firstLine="360" w:firstLineChars="200"/>
              <w:jc w:val="right"/>
              <w:rPr>
                <w:rFonts w:ascii="Verdana" w:hAnsi="Verdana" w:cs="Calibri"/>
                <w:i/>
                <w:iCs/>
                <w:color w:val="000000"/>
                <w:sz w:val="18"/>
                <w:szCs w:val="18"/>
              </w:rPr>
            </w:pPr>
            <w:r w:rsidRPr="000B2121">
              <w:rPr>
                <w:rFonts w:ascii="Verdana" w:hAnsi="Verdana" w:cs="Calibri"/>
                <w:i/>
                <w:iCs/>
                <w:color w:val="000000"/>
                <w:sz w:val="18"/>
                <w:szCs w:val="18"/>
              </w:rPr>
              <w:t>6</w:t>
            </w:r>
          </w:p>
        </w:tc>
        <w:tc>
          <w:tcPr>
            <w:tcW w:w="718" w:type="pct"/>
            <w:tcBorders>
              <w:top w:val="nil"/>
              <w:left w:val="nil"/>
              <w:bottom w:val="single" w:color="auto" w:sz="8" w:space="0"/>
              <w:right w:val="nil"/>
            </w:tcBorders>
            <w:shd w:val="clear" w:color="auto" w:fill="auto"/>
            <w:vAlign w:val="center"/>
            <w:hideMark/>
          </w:tcPr>
          <w:p w:rsidRPr="000B2121" w:rsidR="000B2121" w:rsidP="000B2121" w:rsidRDefault="000B2121" w14:paraId="0A9A91B6" w14:textId="77777777">
            <w:pPr>
              <w:ind w:firstLine="360" w:firstLineChars="200"/>
              <w:jc w:val="right"/>
              <w:rPr>
                <w:rFonts w:ascii="Verdana" w:hAnsi="Verdana" w:cs="Calibri"/>
                <w:i/>
                <w:iCs/>
                <w:color w:val="000000"/>
                <w:sz w:val="18"/>
                <w:szCs w:val="18"/>
              </w:rPr>
            </w:pPr>
            <w:r w:rsidRPr="000B2121">
              <w:rPr>
                <w:rFonts w:ascii="Verdana" w:hAnsi="Verdana" w:cs="Calibri"/>
                <w:i/>
                <w:iCs/>
                <w:color w:val="000000"/>
                <w:sz w:val="18"/>
                <w:szCs w:val="18"/>
              </w:rPr>
              <w:t>5</w:t>
            </w:r>
          </w:p>
        </w:tc>
      </w:tr>
    </w:tbl>
    <w:p w:rsidR="000B2121" w:rsidP="00654798" w:rsidRDefault="000B2121" w14:paraId="48BBC649" w14:textId="77777777">
      <w:pPr>
        <w:spacing w:line="240" w:lineRule="atLeast"/>
        <w:ind w:left="284" w:hanging="284"/>
        <w:rPr>
          <w:rFonts w:ascii="Verdana" w:hAnsi="Verdana"/>
          <w:i/>
          <w:iCs/>
          <w:sz w:val="18"/>
          <w:szCs w:val="18"/>
        </w:rPr>
      </w:pPr>
    </w:p>
    <w:p w:rsidR="00AE25CB" w:rsidP="00654798" w:rsidRDefault="51825749" w14:paraId="11192B22" w14:textId="6D03E02B">
      <w:pPr>
        <w:spacing w:line="240" w:lineRule="atLeast"/>
        <w:ind w:left="284" w:hanging="284"/>
        <w:rPr>
          <w:rFonts w:ascii="Verdana" w:hAnsi="Verdana"/>
          <w:i/>
          <w:iCs/>
          <w:sz w:val="18"/>
          <w:szCs w:val="18"/>
        </w:rPr>
      </w:pPr>
      <w:r w:rsidRPr="51825749">
        <w:rPr>
          <w:rFonts w:ascii="Verdana" w:hAnsi="Verdana"/>
          <w:i/>
          <w:iCs/>
          <w:sz w:val="18"/>
          <w:szCs w:val="18"/>
        </w:rPr>
        <w:t xml:space="preserve"> </w:t>
      </w:r>
    </w:p>
    <w:p w:rsidR="00D714F6" w:rsidP="00654798" w:rsidRDefault="00D714F6" w14:paraId="492ECE8B" w14:textId="7F5A0D9C">
      <w:pPr>
        <w:spacing w:line="240" w:lineRule="atLeast"/>
        <w:ind w:left="284" w:hanging="284"/>
        <w:rPr>
          <w:rFonts w:ascii="Verdana" w:hAnsi="Verdana"/>
          <w:sz w:val="18"/>
          <w:szCs w:val="18"/>
        </w:rPr>
      </w:pPr>
    </w:p>
    <w:p w:rsidR="00D714F6" w:rsidP="00654798" w:rsidRDefault="00D714F6" w14:paraId="3CC927A9" w14:textId="4F0B173B">
      <w:pPr>
        <w:spacing w:line="240" w:lineRule="atLeast"/>
        <w:ind w:left="284" w:hanging="284"/>
        <w:rPr>
          <w:rFonts w:ascii="Verdana" w:hAnsi="Verdana"/>
          <w:sz w:val="18"/>
          <w:szCs w:val="18"/>
        </w:rPr>
      </w:pPr>
    </w:p>
    <w:p w:rsidR="00D714F6" w:rsidP="00654798" w:rsidRDefault="00D714F6" w14:paraId="77870D78" w14:textId="5FBCC41F">
      <w:pPr>
        <w:spacing w:line="240" w:lineRule="atLeast"/>
        <w:ind w:left="284" w:hanging="284"/>
        <w:rPr>
          <w:rFonts w:ascii="Verdana" w:hAnsi="Verdana"/>
          <w:sz w:val="18"/>
          <w:szCs w:val="18"/>
        </w:rPr>
      </w:pPr>
    </w:p>
    <w:sectPr w:rsidR="00D714F6" w:rsidSect="008564A1">
      <w:footerReference w:type="even" r:id="rId22"/>
      <w:footerReference w:type="default" r:id="rId23"/>
      <w:footerReference w:type="first" r:id="rId24"/>
      <w:pgSz w:w="12240" w:h="15840"/>
      <w:pgMar w:top="1417" w:right="1260" w:bottom="1417" w:left="1417" w:header="708" w:footer="708" w:gutter="0"/>
      <w:cols w:space="708"/>
      <w:noEndnote/>
      <w:titlePg/>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EA16" w14:textId="77777777" w:rsidR="00C11283" w:rsidRDefault="00C11283">
      <w:r>
        <w:separator/>
      </w:r>
    </w:p>
  </w:endnote>
  <w:endnote w:type="continuationSeparator" w:id="0">
    <w:p w14:paraId="7988FDB8" w14:textId="77777777" w:rsidR="00C11283" w:rsidRDefault="00C11283">
      <w:r>
        <w:continuationSeparator/>
      </w:r>
    </w:p>
  </w:endnote>
  <w:endnote w:type="continuationNotice" w:id="1">
    <w:p w14:paraId="4E7A66C3" w14:textId="77777777" w:rsidR="00C11283" w:rsidRDefault="00C11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FUIText-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B073" w14:textId="77777777" w:rsidR="002157EE" w:rsidRDefault="002157EE" w:rsidP="001864B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186CE28D" w14:textId="77777777" w:rsidR="002157EE" w:rsidRDefault="002157EE" w:rsidP="006B08A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1E1A" w14:textId="2EA81890" w:rsidR="002157EE" w:rsidRDefault="002157EE">
    <w:pPr>
      <w:pStyle w:val="Voettekst"/>
      <w:jc w:val="right"/>
    </w:pPr>
    <w:r>
      <w:fldChar w:fldCharType="begin"/>
    </w:r>
    <w:r>
      <w:instrText>PAGE   \* MERGEFORMAT</w:instrText>
    </w:r>
    <w:r>
      <w:fldChar w:fldCharType="separate"/>
    </w:r>
    <w:r w:rsidR="00E95772">
      <w:rPr>
        <w:noProof/>
      </w:rPr>
      <w:t>6</w:t>
    </w:r>
    <w:r>
      <w:fldChar w:fldCharType="end"/>
    </w:r>
  </w:p>
  <w:p w14:paraId="01DBA118" w14:textId="77777777" w:rsidR="002157EE" w:rsidRDefault="002157EE" w:rsidP="006B08A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0E52" w14:textId="77777777" w:rsidR="002157EE" w:rsidRDefault="002157EE">
    <w:pPr>
      <w:pStyle w:val="Voettekst"/>
      <w:jc w:val="right"/>
    </w:pPr>
  </w:p>
  <w:p w14:paraId="671209AC" w14:textId="77777777" w:rsidR="002157EE" w:rsidRDefault="002157EE" w:rsidP="00057167">
    <w:pPr>
      <w:pStyle w:val="Voettekst"/>
      <w:tabs>
        <w:tab w:val="clear" w:pos="4536"/>
        <w:tab w:val="clear" w:pos="9072"/>
        <w:tab w:val="center" w:pos="4781"/>
        <w:tab w:val="right" w:pos="956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1060" w14:textId="77777777" w:rsidR="00C11283" w:rsidRDefault="00C11283">
      <w:r>
        <w:separator/>
      </w:r>
    </w:p>
  </w:footnote>
  <w:footnote w:type="continuationSeparator" w:id="0">
    <w:p w14:paraId="786EA28A" w14:textId="77777777" w:rsidR="00C11283" w:rsidRDefault="00C11283">
      <w:r>
        <w:continuationSeparator/>
      </w:r>
    </w:p>
  </w:footnote>
  <w:footnote w:type="continuationNotice" w:id="1">
    <w:p w14:paraId="0F762A71" w14:textId="77777777" w:rsidR="00C11283" w:rsidRDefault="00C112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B6E74A0"/>
    <w:lvl w:ilvl="0">
      <w:start w:val="1"/>
      <w:numFmt w:val="decimal"/>
      <w:pStyle w:val="Lijstnummering"/>
      <w:lvlText w:val="%1."/>
      <w:lvlJc w:val="left"/>
      <w:pPr>
        <w:tabs>
          <w:tab w:val="num" w:pos="3609"/>
        </w:tabs>
        <w:ind w:left="3609" w:hanging="425"/>
      </w:pPr>
    </w:lvl>
  </w:abstractNum>
  <w:abstractNum w:abstractNumId="1" w15:restartNumberingAfterBreak="0">
    <w:nsid w:val="FFFFFF89"/>
    <w:multiLevelType w:val="singleLevel"/>
    <w:tmpl w:val="512090C4"/>
    <w:lvl w:ilvl="0">
      <w:start w:val="1"/>
      <w:numFmt w:val="bullet"/>
      <w:pStyle w:val="Lijstopsomteken"/>
      <w:lvlText w:val=""/>
      <w:lvlJc w:val="left"/>
      <w:pPr>
        <w:tabs>
          <w:tab w:val="num" w:pos="369"/>
        </w:tabs>
        <w:ind w:left="369" w:hanging="369"/>
      </w:pPr>
      <w:rPr>
        <w:rFonts w:ascii="Symbol" w:hAnsi="Symbol" w:hint="default"/>
        <w:sz w:val="12"/>
      </w:rPr>
    </w:lvl>
  </w:abstractNum>
  <w:abstractNum w:abstractNumId="2" w15:restartNumberingAfterBreak="0">
    <w:nsid w:val="0DBA37C1"/>
    <w:multiLevelType w:val="hybridMultilevel"/>
    <w:tmpl w:val="2C3410E4"/>
    <w:lvl w:ilvl="0" w:tplc="765651BC">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FA0605"/>
    <w:multiLevelType w:val="hybridMultilevel"/>
    <w:tmpl w:val="4ACAB552"/>
    <w:lvl w:ilvl="0" w:tplc="4CF4A9CA">
      <w:start w:val="4488"/>
      <w:numFmt w:val="bullet"/>
      <w:lvlText w:val="-"/>
      <w:lvlJc w:val="left"/>
      <w:pPr>
        <w:ind w:left="1069" w:hanging="360"/>
      </w:pPr>
      <w:rPr>
        <w:rFonts w:ascii="Times New Roman" w:eastAsia="Times New Roman" w:hAnsi="Times New Roman" w:cs="Times New Roman" w:hint="default"/>
        <w:sz w:val="24"/>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 w15:restartNumberingAfterBreak="0">
    <w:nsid w:val="1120253C"/>
    <w:multiLevelType w:val="hybridMultilevel"/>
    <w:tmpl w:val="CBDE8B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5C0F44"/>
    <w:multiLevelType w:val="hybridMultilevel"/>
    <w:tmpl w:val="9C4CC07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15:restartNumberingAfterBreak="0">
    <w:nsid w:val="1A277F8A"/>
    <w:multiLevelType w:val="hybridMultilevel"/>
    <w:tmpl w:val="C8B09ADC"/>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7901F1"/>
    <w:multiLevelType w:val="hybridMultilevel"/>
    <w:tmpl w:val="B472F688"/>
    <w:lvl w:ilvl="0" w:tplc="75A6FBB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D6735A"/>
    <w:multiLevelType w:val="hybridMultilevel"/>
    <w:tmpl w:val="147656E2"/>
    <w:lvl w:ilvl="0" w:tplc="811802C8">
      <w:start w:val="1"/>
      <w:numFmt w:val="decimal"/>
      <w:pStyle w:val="Agendapunt-Huisstijl"/>
      <w:lvlText w:val="%1."/>
      <w:lvlJc w:val="left"/>
      <w:pPr>
        <w:ind w:left="990" w:hanging="63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2A134A3D"/>
    <w:multiLevelType w:val="multilevel"/>
    <w:tmpl w:val="ABCE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F58DC"/>
    <w:multiLevelType w:val="hybridMultilevel"/>
    <w:tmpl w:val="705C0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D030E7"/>
    <w:multiLevelType w:val="multilevel"/>
    <w:tmpl w:val="A412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C0937"/>
    <w:multiLevelType w:val="hybridMultilevel"/>
    <w:tmpl w:val="FDAAE70A"/>
    <w:lvl w:ilvl="0" w:tplc="600E8196">
      <w:numFmt w:val="bullet"/>
      <w:lvlText w:val="-"/>
      <w:lvlJc w:val="left"/>
      <w:pPr>
        <w:ind w:left="1080" w:hanging="360"/>
      </w:pPr>
      <w:rPr>
        <w:rFonts w:ascii="Times New Roman" w:eastAsia="Times New Roman" w:hAnsi="Times New Roman" w:cs="Times New Roman" w:hint="default"/>
        <w:color w:val="auto"/>
        <w:sz w:val="24"/>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F555FA9"/>
    <w:multiLevelType w:val="hybridMultilevel"/>
    <w:tmpl w:val="87649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5D71DE"/>
    <w:multiLevelType w:val="hybridMultilevel"/>
    <w:tmpl w:val="EE1AED42"/>
    <w:lvl w:ilvl="0" w:tplc="6B66B06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5A3E30"/>
    <w:multiLevelType w:val="multilevel"/>
    <w:tmpl w:val="ED86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2F3038"/>
    <w:multiLevelType w:val="hybridMultilevel"/>
    <w:tmpl w:val="C3067390"/>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7F3003"/>
    <w:multiLevelType w:val="hybridMultilevel"/>
    <w:tmpl w:val="352C5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DC7F84"/>
    <w:multiLevelType w:val="hybridMultilevel"/>
    <w:tmpl w:val="6F4E62D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82208D4"/>
    <w:multiLevelType w:val="hybridMultilevel"/>
    <w:tmpl w:val="CBDE8B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5649593">
    <w:abstractNumId w:val="0"/>
  </w:num>
  <w:num w:numId="2" w16cid:durableId="58132745">
    <w:abstractNumId w:val="1"/>
  </w:num>
  <w:num w:numId="3" w16cid:durableId="21980232">
    <w:abstractNumId w:val="8"/>
  </w:num>
  <w:num w:numId="4" w16cid:durableId="1610509905">
    <w:abstractNumId w:val="4"/>
  </w:num>
  <w:num w:numId="5" w16cid:durableId="1364479313">
    <w:abstractNumId w:val="12"/>
  </w:num>
  <w:num w:numId="6" w16cid:durableId="1191913684">
    <w:abstractNumId w:val="3"/>
  </w:num>
  <w:num w:numId="7" w16cid:durableId="1829714353">
    <w:abstractNumId w:val="19"/>
  </w:num>
  <w:num w:numId="8" w16cid:durableId="326322648">
    <w:abstractNumId w:val="18"/>
  </w:num>
  <w:num w:numId="9" w16cid:durableId="870537835">
    <w:abstractNumId w:val="14"/>
  </w:num>
  <w:num w:numId="10" w16cid:durableId="1921403137">
    <w:abstractNumId w:val="5"/>
  </w:num>
  <w:num w:numId="11" w16cid:durableId="783378340">
    <w:abstractNumId w:val="16"/>
  </w:num>
  <w:num w:numId="12" w16cid:durableId="1799839876">
    <w:abstractNumId w:val="6"/>
  </w:num>
  <w:num w:numId="13" w16cid:durableId="280960773">
    <w:abstractNumId w:val="7"/>
  </w:num>
  <w:num w:numId="14" w16cid:durableId="1511602927">
    <w:abstractNumId w:val="15"/>
  </w:num>
  <w:num w:numId="15" w16cid:durableId="2125342903">
    <w:abstractNumId w:val="2"/>
  </w:num>
  <w:num w:numId="16" w16cid:durableId="1024356837">
    <w:abstractNumId w:val="11"/>
  </w:num>
  <w:num w:numId="17" w16cid:durableId="1322351021">
    <w:abstractNumId w:val="9"/>
  </w:num>
  <w:num w:numId="18" w16cid:durableId="146670576">
    <w:abstractNumId w:val="17"/>
  </w:num>
  <w:num w:numId="19" w16cid:durableId="1051535279">
    <w:abstractNumId w:val="10"/>
  </w:num>
  <w:num w:numId="20" w16cid:durableId="66921995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nl-NL" w:vendorID="64" w:dllVersion="6" w:nlCheck="1" w:checkStyle="0"/>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80B"/>
    <w:rsid w:val="00001A6C"/>
    <w:rsid w:val="00002364"/>
    <w:rsid w:val="00002583"/>
    <w:rsid w:val="00002D46"/>
    <w:rsid w:val="000030B6"/>
    <w:rsid w:val="00003808"/>
    <w:rsid w:val="00005162"/>
    <w:rsid w:val="00005AC2"/>
    <w:rsid w:val="00005FDF"/>
    <w:rsid w:val="00006759"/>
    <w:rsid w:val="00006BE1"/>
    <w:rsid w:val="00006CFF"/>
    <w:rsid w:val="00011146"/>
    <w:rsid w:val="00012655"/>
    <w:rsid w:val="00012D20"/>
    <w:rsid w:val="00013590"/>
    <w:rsid w:val="000142C8"/>
    <w:rsid w:val="000143CA"/>
    <w:rsid w:val="000150DD"/>
    <w:rsid w:val="00015588"/>
    <w:rsid w:val="00015B45"/>
    <w:rsid w:val="00015D2B"/>
    <w:rsid w:val="00016555"/>
    <w:rsid w:val="000173F1"/>
    <w:rsid w:val="00017574"/>
    <w:rsid w:val="000179CF"/>
    <w:rsid w:val="0002109B"/>
    <w:rsid w:val="00021217"/>
    <w:rsid w:val="00021CC5"/>
    <w:rsid w:val="00021FAF"/>
    <w:rsid w:val="000226AA"/>
    <w:rsid w:val="000227DA"/>
    <w:rsid w:val="00023D8B"/>
    <w:rsid w:val="0002452C"/>
    <w:rsid w:val="0002504B"/>
    <w:rsid w:val="00025F04"/>
    <w:rsid w:val="00026D46"/>
    <w:rsid w:val="0002799F"/>
    <w:rsid w:val="00027C86"/>
    <w:rsid w:val="00031C37"/>
    <w:rsid w:val="00031D3B"/>
    <w:rsid w:val="0003507E"/>
    <w:rsid w:val="000351E9"/>
    <w:rsid w:val="0003529C"/>
    <w:rsid w:val="000357CC"/>
    <w:rsid w:val="00037396"/>
    <w:rsid w:val="000375A4"/>
    <w:rsid w:val="00037848"/>
    <w:rsid w:val="00041045"/>
    <w:rsid w:val="0004242E"/>
    <w:rsid w:val="00042865"/>
    <w:rsid w:val="00042C3F"/>
    <w:rsid w:val="00043D5A"/>
    <w:rsid w:val="00043D68"/>
    <w:rsid w:val="0004425E"/>
    <w:rsid w:val="0004465C"/>
    <w:rsid w:val="00044CEB"/>
    <w:rsid w:val="00044D60"/>
    <w:rsid w:val="0004534A"/>
    <w:rsid w:val="000455E7"/>
    <w:rsid w:val="000456D5"/>
    <w:rsid w:val="00045E7F"/>
    <w:rsid w:val="00045FC7"/>
    <w:rsid w:val="00046C98"/>
    <w:rsid w:val="00046FE7"/>
    <w:rsid w:val="0004736C"/>
    <w:rsid w:val="00047380"/>
    <w:rsid w:val="00050406"/>
    <w:rsid w:val="00050D7A"/>
    <w:rsid w:val="000535EF"/>
    <w:rsid w:val="0005456F"/>
    <w:rsid w:val="00054EE1"/>
    <w:rsid w:val="00055179"/>
    <w:rsid w:val="000559E7"/>
    <w:rsid w:val="00056CB9"/>
    <w:rsid w:val="00056F41"/>
    <w:rsid w:val="00057167"/>
    <w:rsid w:val="00057353"/>
    <w:rsid w:val="000573B8"/>
    <w:rsid w:val="0006035A"/>
    <w:rsid w:val="0006059D"/>
    <w:rsid w:val="00060B93"/>
    <w:rsid w:val="00061185"/>
    <w:rsid w:val="00064680"/>
    <w:rsid w:val="00064937"/>
    <w:rsid w:val="000651C1"/>
    <w:rsid w:val="00065513"/>
    <w:rsid w:val="00065B1B"/>
    <w:rsid w:val="000666C7"/>
    <w:rsid w:val="00066EF9"/>
    <w:rsid w:val="00067D88"/>
    <w:rsid w:val="0007000D"/>
    <w:rsid w:val="00071CB6"/>
    <w:rsid w:val="00072B37"/>
    <w:rsid w:val="00072CB6"/>
    <w:rsid w:val="000732DE"/>
    <w:rsid w:val="00074896"/>
    <w:rsid w:val="000766D3"/>
    <w:rsid w:val="00077A3C"/>
    <w:rsid w:val="00080230"/>
    <w:rsid w:val="00080AF6"/>
    <w:rsid w:val="00080E59"/>
    <w:rsid w:val="000818A1"/>
    <w:rsid w:val="00081986"/>
    <w:rsid w:val="00081D5B"/>
    <w:rsid w:val="00081DAD"/>
    <w:rsid w:val="0008268F"/>
    <w:rsid w:val="00083BC4"/>
    <w:rsid w:val="00083C77"/>
    <w:rsid w:val="00084B9F"/>
    <w:rsid w:val="00084E2B"/>
    <w:rsid w:val="00085E1A"/>
    <w:rsid w:val="00086014"/>
    <w:rsid w:val="00086232"/>
    <w:rsid w:val="0008643F"/>
    <w:rsid w:val="00086D1F"/>
    <w:rsid w:val="00087A74"/>
    <w:rsid w:val="00087C60"/>
    <w:rsid w:val="00087E20"/>
    <w:rsid w:val="00090502"/>
    <w:rsid w:val="00090636"/>
    <w:rsid w:val="00091793"/>
    <w:rsid w:val="000917AF"/>
    <w:rsid w:val="00091FF6"/>
    <w:rsid w:val="000922D4"/>
    <w:rsid w:val="00092579"/>
    <w:rsid w:val="00093620"/>
    <w:rsid w:val="0009423C"/>
    <w:rsid w:val="00094534"/>
    <w:rsid w:val="00095415"/>
    <w:rsid w:val="000967F6"/>
    <w:rsid w:val="00096D75"/>
    <w:rsid w:val="00097FED"/>
    <w:rsid w:val="000A16CC"/>
    <w:rsid w:val="000A191C"/>
    <w:rsid w:val="000A2930"/>
    <w:rsid w:val="000A2C28"/>
    <w:rsid w:val="000A3446"/>
    <w:rsid w:val="000A34E9"/>
    <w:rsid w:val="000A42A7"/>
    <w:rsid w:val="000A4779"/>
    <w:rsid w:val="000A5265"/>
    <w:rsid w:val="000A6808"/>
    <w:rsid w:val="000A6A2F"/>
    <w:rsid w:val="000A6D3E"/>
    <w:rsid w:val="000A7880"/>
    <w:rsid w:val="000B03D9"/>
    <w:rsid w:val="000B1B60"/>
    <w:rsid w:val="000B1D5B"/>
    <w:rsid w:val="000B2121"/>
    <w:rsid w:val="000B2195"/>
    <w:rsid w:val="000B2832"/>
    <w:rsid w:val="000B2BE4"/>
    <w:rsid w:val="000B4BF1"/>
    <w:rsid w:val="000B5804"/>
    <w:rsid w:val="000B5E0C"/>
    <w:rsid w:val="000B7517"/>
    <w:rsid w:val="000C0244"/>
    <w:rsid w:val="000C07E8"/>
    <w:rsid w:val="000C141B"/>
    <w:rsid w:val="000C1630"/>
    <w:rsid w:val="000C1B23"/>
    <w:rsid w:val="000C1CEC"/>
    <w:rsid w:val="000C1D85"/>
    <w:rsid w:val="000C1E87"/>
    <w:rsid w:val="000C3D17"/>
    <w:rsid w:val="000C4FA7"/>
    <w:rsid w:val="000C568F"/>
    <w:rsid w:val="000C5FE7"/>
    <w:rsid w:val="000C6084"/>
    <w:rsid w:val="000C6B4F"/>
    <w:rsid w:val="000C6C69"/>
    <w:rsid w:val="000C71C6"/>
    <w:rsid w:val="000C77A9"/>
    <w:rsid w:val="000C7E9F"/>
    <w:rsid w:val="000D0BBE"/>
    <w:rsid w:val="000D1783"/>
    <w:rsid w:val="000D25BC"/>
    <w:rsid w:val="000D2B8F"/>
    <w:rsid w:val="000D3AFB"/>
    <w:rsid w:val="000D3C91"/>
    <w:rsid w:val="000D46A9"/>
    <w:rsid w:val="000D4E64"/>
    <w:rsid w:val="000D4FBC"/>
    <w:rsid w:val="000D505E"/>
    <w:rsid w:val="000D543F"/>
    <w:rsid w:val="000D5BB6"/>
    <w:rsid w:val="000D5DC3"/>
    <w:rsid w:val="000D65C3"/>
    <w:rsid w:val="000D65D2"/>
    <w:rsid w:val="000D68E1"/>
    <w:rsid w:val="000D6C1F"/>
    <w:rsid w:val="000D6CEC"/>
    <w:rsid w:val="000D6E28"/>
    <w:rsid w:val="000D74BA"/>
    <w:rsid w:val="000E090A"/>
    <w:rsid w:val="000E18C8"/>
    <w:rsid w:val="000E2337"/>
    <w:rsid w:val="000E241B"/>
    <w:rsid w:val="000E2600"/>
    <w:rsid w:val="000E35B6"/>
    <w:rsid w:val="000E3B77"/>
    <w:rsid w:val="000E4B13"/>
    <w:rsid w:val="000E59AE"/>
    <w:rsid w:val="000E5A25"/>
    <w:rsid w:val="000E6754"/>
    <w:rsid w:val="000E7486"/>
    <w:rsid w:val="000E74F7"/>
    <w:rsid w:val="000E7BD9"/>
    <w:rsid w:val="000E7DEB"/>
    <w:rsid w:val="000F034E"/>
    <w:rsid w:val="000F047E"/>
    <w:rsid w:val="000F1565"/>
    <w:rsid w:val="000F1834"/>
    <w:rsid w:val="000F1FFA"/>
    <w:rsid w:val="000F251E"/>
    <w:rsid w:val="000F255B"/>
    <w:rsid w:val="000F26A6"/>
    <w:rsid w:val="000F3B1C"/>
    <w:rsid w:val="000F3E74"/>
    <w:rsid w:val="000F5A34"/>
    <w:rsid w:val="000F5F23"/>
    <w:rsid w:val="000F5F6E"/>
    <w:rsid w:val="000F62BA"/>
    <w:rsid w:val="000F6F1E"/>
    <w:rsid w:val="000F7039"/>
    <w:rsid w:val="000F7079"/>
    <w:rsid w:val="000F70D7"/>
    <w:rsid w:val="000F7685"/>
    <w:rsid w:val="00101000"/>
    <w:rsid w:val="001011B4"/>
    <w:rsid w:val="001025F1"/>
    <w:rsid w:val="0010286C"/>
    <w:rsid w:val="001031A6"/>
    <w:rsid w:val="00103386"/>
    <w:rsid w:val="00103918"/>
    <w:rsid w:val="00104436"/>
    <w:rsid w:val="00105F29"/>
    <w:rsid w:val="00107309"/>
    <w:rsid w:val="00107FA5"/>
    <w:rsid w:val="0011005C"/>
    <w:rsid w:val="00110D39"/>
    <w:rsid w:val="001111F7"/>
    <w:rsid w:val="00111740"/>
    <w:rsid w:val="001139B7"/>
    <w:rsid w:val="00114370"/>
    <w:rsid w:val="00114CF6"/>
    <w:rsid w:val="0011515D"/>
    <w:rsid w:val="001154CC"/>
    <w:rsid w:val="00115A0B"/>
    <w:rsid w:val="0011606C"/>
    <w:rsid w:val="00116690"/>
    <w:rsid w:val="00117156"/>
    <w:rsid w:val="00117695"/>
    <w:rsid w:val="00117739"/>
    <w:rsid w:val="00120720"/>
    <w:rsid w:val="00120B92"/>
    <w:rsid w:val="001216A1"/>
    <w:rsid w:val="001219C1"/>
    <w:rsid w:val="00121FE2"/>
    <w:rsid w:val="00123130"/>
    <w:rsid w:val="00124122"/>
    <w:rsid w:val="00124374"/>
    <w:rsid w:val="001248E8"/>
    <w:rsid w:val="00124A40"/>
    <w:rsid w:val="0012510E"/>
    <w:rsid w:val="00125BDA"/>
    <w:rsid w:val="00125EED"/>
    <w:rsid w:val="001277CB"/>
    <w:rsid w:val="0013053D"/>
    <w:rsid w:val="001318F5"/>
    <w:rsid w:val="0013279F"/>
    <w:rsid w:val="001327C8"/>
    <w:rsid w:val="00132A9B"/>
    <w:rsid w:val="0013346A"/>
    <w:rsid w:val="001335B2"/>
    <w:rsid w:val="001348CD"/>
    <w:rsid w:val="001349EB"/>
    <w:rsid w:val="00134E8E"/>
    <w:rsid w:val="00135289"/>
    <w:rsid w:val="00135B49"/>
    <w:rsid w:val="00135B94"/>
    <w:rsid w:val="00135DDD"/>
    <w:rsid w:val="0013634F"/>
    <w:rsid w:val="001368D6"/>
    <w:rsid w:val="001369B8"/>
    <w:rsid w:val="00137375"/>
    <w:rsid w:val="00137A4B"/>
    <w:rsid w:val="00137B0F"/>
    <w:rsid w:val="001405B3"/>
    <w:rsid w:val="001406A5"/>
    <w:rsid w:val="00140B0D"/>
    <w:rsid w:val="001415FF"/>
    <w:rsid w:val="00141EF7"/>
    <w:rsid w:val="00143AF5"/>
    <w:rsid w:val="0014482E"/>
    <w:rsid w:val="00146A47"/>
    <w:rsid w:val="00146C52"/>
    <w:rsid w:val="00146FC2"/>
    <w:rsid w:val="00146FD3"/>
    <w:rsid w:val="00147540"/>
    <w:rsid w:val="00147812"/>
    <w:rsid w:val="00147E9E"/>
    <w:rsid w:val="00150269"/>
    <w:rsid w:val="00150784"/>
    <w:rsid w:val="001508FE"/>
    <w:rsid w:val="00151E29"/>
    <w:rsid w:val="00152897"/>
    <w:rsid w:val="001533B2"/>
    <w:rsid w:val="001535EA"/>
    <w:rsid w:val="00153FCB"/>
    <w:rsid w:val="0015448D"/>
    <w:rsid w:val="001550B9"/>
    <w:rsid w:val="00155B92"/>
    <w:rsid w:val="001561DC"/>
    <w:rsid w:val="00156C0B"/>
    <w:rsid w:val="00157189"/>
    <w:rsid w:val="001571F5"/>
    <w:rsid w:val="001572F1"/>
    <w:rsid w:val="0016000A"/>
    <w:rsid w:val="00160B4E"/>
    <w:rsid w:val="00160D38"/>
    <w:rsid w:val="00160E73"/>
    <w:rsid w:val="00161BD2"/>
    <w:rsid w:val="00162928"/>
    <w:rsid w:val="00162DBD"/>
    <w:rsid w:val="00162EB7"/>
    <w:rsid w:val="00163126"/>
    <w:rsid w:val="00163BC9"/>
    <w:rsid w:val="001644EE"/>
    <w:rsid w:val="00164CBD"/>
    <w:rsid w:val="001651B8"/>
    <w:rsid w:val="00165696"/>
    <w:rsid w:val="00165B1E"/>
    <w:rsid w:val="0016653A"/>
    <w:rsid w:val="001666CA"/>
    <w:rsid w:val="001666ED"/>
    <w:rsid w:val="0016702F"/>
    <w:rsid w:val="00167080"/>
    <w:rsid w:val="001673F2"/>
    <w:rsid w:val="00167DEB"/>
    <w:rsid w:val="001711CE"/>
    <w:rsid w:val="0017168D"/>
    <w:rsid w:val="00171B9A"/>
    <w:rsid w:val="00171BDC"/>
    <w:rsid w:val="001722C7"/>
    <w:rsid w:val="0017240C"/>
    <w:rsid w:val="00172F87"/>
    <w:rsid w:val="00173029"/>
    <w:rsid w:val="00173030"/>
    <w:rsid w:val="00173B28"/>
    <w:rsid w:val="00174F4F"/>
    <w:rsid w:val="001756F9"/>
    <w:rsid w:val="00175804"/>
    <w:rsid w:val="00176884"/>
    <w:rsid w:val="00176F1A"/>
    <w:rsid w:val="001804E2"/>
    <w:rsid w:val="0018163E"/>
    <w:rsid w:val="001823F1"/>
    <w:rsid w:val="001833A0"/>
    <w:rsid w:val="001838BF"/>
    <w:rsid w:val="00183C5D"/>
    <w:rsid w:val="00184333"/>
    <w:rsid w:val="0018449F"/>
    <w:rsid w:val="001848D8"/>
    <w:rsid w:val="001849A1"/>
    <w:rsid w:val="001856D2"/>
    <w:rsid w:val="00185DCD"/>
    <w:rsid w:val="00185E19"/>
    <w:rsid w:val="00185ED1"/>
    <w:rsid w:val="001864BC"/>
    <w:rsid w:val="0018711E"/>
    <w:rsid w:val="00187215"/>
    <w:rsid w:val="001874B8"/>
    <w:rsid w:val="00190261"/>
    <w:rsid w:val="00191403"/>
    <w:rsid w:val="00192051"/>
    <w:rsid w:val="00192C76"/>
    <w:rsid w:val="00193502"/>
    <w:rsid w:val="00193951"/>
    <w:rsid w:val="001949C3"/>
    <w:rsid w:val="00195639"/>
    <w:rsid w:val="0019566D"/>
    <w:rsid w:val="0019587B"/>
    <w:rsid w:val="00195ABA"/>
    <w:rsid w:val="00195B8F"/>
    <w:rsid w:val="001961D3"/>
    <w:rsid w:val="00196846"/>
    <w:rsid w:val="00196AC6"/>
    <w:rsid w:val="00197ED6"/>
    <w:rsid w:val="001A17D4"/>
    <w:rsid w:val="001A1A58"/>
    <w:rsid w:val="001A2A9C"/>
    <w:rsid w:val="001A314D"/>
    <w:rsid w:val="001A3666"/>
    <w:rsid w:val="001A3CEC"/>
    <w:rsid w:val="001A4BCF"/>
    <w:rsid w:val="001A595D"/>
    <w:rsid w:val="001A5FA5"/>
    <w:rsid w:val="001A634F"/>
    <w:rsid w:val="001A665D"/>
    <w:rsid w:val="001A70C4"/>
    <w:rsid w:val="001B008A"/>
    <w:rsid w:val="001B1243"/>
    <w:rsid w:val="001B1562"/>
    <w:rsid w:val="001B2160"/>
    <w:rsid w:val="001B28C9"/>
    <w:rsid w:val="001B3035"/>
    <w:rsid w:val="001B389D"/>
    <w:rsid w:val="001B39C4"/>
    <w:rsid w:val="001B44A6"/>
    <w:rsid w:val="001B4D5A"/>
    <w:rsid w:val="001B630B"/>
    <w:rsid w:val="001B7A47"/>
    <w:rsid w:val="001C0348"/>
    <w:rsid w:val="001C229E"/>
    <w:rsid w:val="001C2300"/>
    <w:rsid w:val="001C5B26"/>
    <w:rsid w:val="001C6695"/>
    <w:rsid w:val="001C66EF"/>
    <w:rsid w:val="001C6846"/>
    <w:rsid w:val="001C6ADD"/>
    <w:rsid w:val="001C7022"/>
    <w:rsid w:val="001C77FC"/>
    <w:rsid w:val="001C79CE"/>
    <w:rsid w:val="001D0493"/>
    <w:rsid w:val="001D1311"/>
    <w:rsid w:val="001D13FB"/>
    <w:rsid w:val="001D2330"/>
    <w:rsid w:val="001D2A62"/>
    <w:rsid w:val="001D36BF"/>
    <w:rsid w:val="001D375B"/>
    <w:rsid w:val="001D3795"/>
    <w:rsid w:val="001D438B"/>
    <w:rsid w:val="001D4670"/>
    <w:rsid w:val="001D67A5"/>
    <w:rsid w:val="001D6ABD"/>
    <w:rsid w:val="001D6DD0"/>
    <w:rsid w:val="001D714B"/>
    <w:rsid w:val="001D751E"/>
    <w:rsid w:val="001D76C8"/>
    <w:rsid w:val="001E0124"/>
    <w:rsid w:val="001E0881"/>
    <w:rsid w:val="001E1182"/>
    <w:rsid w:val="001E176B"/>
    <w:rsid w:val="001E208B"/>
    <w:rsid w:val="001E2D35"/>
    <w:rsid w:val="001E2EF4"/>
    <w:rsid w:val="001E3A1D"/>
    <w:rsid w:val="001E4845"/>
    <w:rsid w:val="001E5448"/>
    <w:rsid w:val="001E5FC7"/>
    <w:rsid w:val="001E6C25"/>
    <w:rsid w:val="001E761A"/>
    <w:rsid w:val="001F120C"/>
    <w:rsid w:val="001F17AA"/>
    <w:rsid w:val="001F2086"/>
    <w:rsid w:val="001F21A3"/>
    <w:rsid w:val="001F2EE7"/>
    <w:rsid w:val="001F3562"/>
    <w:rsid w:val="001F3713"/>
    <w:rsid w:val="001F3C42"/>
    <w:rsid w:val="001F40E5"/>
    <w:rsid w:val="001F46A3"/>
    <w:rsid w:val="001F49B7"/>
    <w:rsid w:val="001F5F00"/>
    <w:rsid w:val="001F66AE"/>
    <w:rsid w:val="001F70D2"/>
    <w:rsid w:val="001F7329"/>
    <w:rsid w:val="00200A35"/>
    <w:rsid w:val="00200DAE"/>
    <w:rsid w:val="0020216A"/>
    <w:rsid w:val="00202293"/>
    <w:rsid w:val="002024D9"/>
    <w:rsid w:val="00202AA2"/>
    <w:rsid w:val="00202B8D"/>
    <w:rsid w:val="00202C45"/>
    <w:rsid w:val="002037BB"/>
    <w:rsid w:val="00204269"/>
    <w:rsid w:val="00204530"/>
    <w:rsid w:val="00204971"/>
    <w:rsid w:val="00204D87"/>
    <w:rsid w:val="00204FDC"/>
    <w:rsid w:val="00205C84"/>
    <w:rsid w:val="002067D7"/>
    <w:rsid w:val="00207412"/>
    <w:rsid w:val="00207F23"/>
    <w:rsid w:val="0021135A"/>
    <w:rsid w:val="002114EE"/>
    <w:rsid w:val="002114F1"/>
    <w:rsid w:val="002117AB"/>
    <w:rsid w:val="0021196A"/>
    <w:rsid w:val="002123B2"/>
    <w:rsid w:val="002132F5"/>
    <w:rsid w:val="00213465"/>
    <w:rsid w:val="00213E88"/>
    <w:rsid w:val="0021480B"/>
    <w:rsid w:val="002157EE"/>
    <w:rsid w:val="00215DC1"/>
    <w:rsid w:val="002171BC"/>
    <w:rsid w:val="002178AD"/>
    <w:rsid w:val="002211F2"/>
    <w:rsid w:val="002217D0"/>
    <w:rsid w:val="00221E29"/>
    <w:rsid w:val="00222709"/>
    <w:rsid w:val="002228D8"/>
    <w:rsid w:val="00222B14"/>
    <w:rsid w:val="00222E96"/>
    <w:rsid w:val="0022464E"/>
    <w:rsid w:val="002256D5"/>
    <w:rsid w:val="00226BBE"/>
    <w:rsid w:val="00226E54"/>
    <w:rsid w:val="002273E5"/>
    <w:rsid w:val="002279E2"/>
    <w:rsid w:val="0023082B"/>
    <w:rsid w:val="00230DEC"/>
    <w:rsid w:val="00232568"/>
    <w:rsid w:val="002329D7"/>
    <w:rsid w:val="002338EB"/>
    <w:rsid w:val="00236C16"/>
    <w:rsid w:val="00237DD5"/>
    <w:rsid w:val="0024119E"/>
    <w:rsid w:val="0024147B"/>
    <w:rsid w:val="00241857"/>
    <w:rsid w:val="00241B42"/>
    <w:rsid w:val="00241F7D"/>
    <w:rsid w:val="0024472F"/>
    <w:rsid w:val="00244F64"/>
    <w:rsid w:val="00245520"/>
    <w:rsid w:val="00245685"/>
    <w:rsid w:val="002477E0"/>
    <w:rsid w:val="00247947"/>
    <w:rsid w:val="00247B10"/>
    <w:rsid w:val="002501D0"/>
    <w:rsid w:val="00250ACB"/>
    <w:rsid w:val="00250CA5"/>
    <w:rsid w:val="00251833"/>
    <w:rsid w:val="00251966"/>
    <w:rsid w:val="00251D70"/>
    <w:rsid w:val="00252BF4"/>
    <w:rsid w:val="00252D00"/>
    <w:rsid w:val="0025310C"/>
    <w:rsid w:val="00253545"/>
    <w:rsid w:val="00254094"/>
    <w:rsid w:val="00254174"/>
    <w:rsid w:val="0025487A"/>
    <w:rsid w:val="00254CC3"/>
    <w:rsid w:val="00256155"/>
    <w:rsid w:val="002563E5"/>
    <w:rsid w:val="002572BB"/>
    <w:rsid w:val="00260BBD"/>
    <w:rsid w:val="0026103B"/>
    <w:rsid w:val="002617BC"/>
    <w:rsid w:val="00262865"/>
    <w:rsid w:val="00263983"/>
    <w:rsid w:val="002639A7"/>
    <w:rsid w:val="00263C1D"/>
    <w:rsid w:val="00263F53"/>
    <w:rsid w:val="0026422C"/>
    <w:rsid w:val="00264300"/>
    <w:rsid w:val="0026520C"/>
    <w:rsid w:val="0026735D"/>
    <w:rsid w:val="0027004E"/>
    <w:rsid w:val="002701D2"/>
    <w:rsid w:val="002703E9"/>
    <w:rsid w:val="002714C8"/>
    <w:rsid w:val="002714DF"/>
    <w:rsid w:val="0027160C"/>
    <w:rsid w:val="00271636"/>
    <w:rsid w:val="00271A0D"/>
    <w:rsid w:val="00271C2B"/>
    <w:rsid w:val="00272580"/>
    <w:rsid w:val="00272984"/>
    <w:rsid w:val="00273165"/>
    <w:rsid w:val="002736BE"/>
    <w:rsid w:val="00274746"/>
    <w:rsid w:val="002748DB"/>
    <w:rsid w:val="00274FE8"/>
    <w:rsid w:val="00275BA9"/>
    <w:rsid w:val="00275C68"/>
    <w:rsid w:val="00275DDB"/>
    <w:rsid w:val="00276E33"/>
    <w:rsid w:val="00277E95"/>
    <w:rsid w:val="00282B79"/>
    <w:rsid w:val="00285325"/>
    <w:rsid w:val="002853A6"/>
    <w:rsid w:val="00285A35"/>
    <w:rsid w:val="00285B97"/>
    <w:rsid w:val="00285D74"/>
    <w:rsid w:val="002864F3"/>
    <w:rsid w:val="00286668"/>
    <w:rsid w:val="00286DF7"/>
    <w:rsid w:val="0028723C"/>
    <w:rsid w:val="00287E82"/>
    <w:rsid w:val="00290040"/>
    <w:rsid w:val="00291242"/>
    <w:rsid w:val="0029285B"/>
    <w:rsid w:val="00292E17"/>
    <w:rsid w:val="002934FF"/>
    <w:rsid w:val="00293D68"/>
    <w:rsid w:val="00295461"/>
    <w:rsid w:val="00295926"/>
    <w:rsid w:val="00295DD5"/>
    <w:rsid w:val="00296D63"/>
    <w:rsid w:val="002973C8"/>
    <w:rsid w:val="002978BA"/>
    <w:rsid w:val="00297960"/>
    <w:rsid w:val="002A1515"/>
    <w:rsid w:val="002A1A4E"/>
    <w:rsid w:val="002A26EB"/>
    <w:rsid w:val="002A2E69"/>
    <w:rsid w:val="002A32CA"/>
    <w:rsid w:val="002A3B63"/>
    <w:rsid w:val="002A3C4F"/>
    <w:rsid w:val="002A4581"/>
    <w:rsid w:val="002A487F"/>
    <w:rsid w:val="002A4ABC"/>
    <w:rsid w:val="002A4F9B"/>
    <w:rsid w:val="002A576A"/>
    <w:rsid w:val="002A626F"/>
    <w:rsid w:val="002A72F1"/>
    <w:rsid w:val="002A7671"/>
    <w:rsid w:val="002B0014"/>
    <w:rsid w:val="002B1678"/>
    <w:rsid w:val="002B2307"/>
    <w:rsid w:val="002B2597"/>
    <w:rsid w:val="002B2FD2"/>
    <w:rsid w:val="002B4042"/>
    <w:rsid w:val="002B40BA"/>
    <w:rsid w:val="002B44FA"/>
    <w:rsid w:val="002B46C9"/>
    <w:rsid w:val="002B54E4"/>
    <w:rsid w:val="002B5583"/>
    <w:rsid w:val="002B5AD0"/>
    <w:rsid w:val="002B6A69"/>
    <w:rsid w:val="002B6C8C"/>
    <w:rsid w:val="002B6FAE"/>
    <w:rsid w:val="002B79AD"/>
    <w:rsid w:val="002B7ACB"/>
    <w:rsid w:val="002B7F58"/>
    <w:rsid w:val="002B7FFE"/>
    <w:rsid w:val="002C026E"/>
    <w:rsid w:val="002C051F"/>
    <w:rsid w:val="002C0BB2"/>
    <w:rsid w:val="002C1A8F"/>
    <w:rsid w:val="002C1B4A"/>
    <w:rsid w:val="002C1D88"/>
    <w:rsid w:val="002C1FFC"/>
    <w:rsid w:val="002C2375"/>
    <w:rsid w:val="002C402B"/>
    <w:rsid w:val="002C4575"/>
    <w:rsid w:val="002C57D7"/>
    <w:rsid w:val="002C5D32"/>
    <w:rsid w:val="002C61F7"/>
    <w:rsid w:val="002C622E"/>
    <w:rsid w:val="002C6463"/>
    <w:rsid w:val="002D03FF"/>
    <w:rsid w:val="002D1328"/>
    <w:rsid w:val="002D1901"/>
    <w:rsid w:val="002D2D1C"/>
    <w:rsid w:val="002D3001"/>
    <w:rsid w:val="002D3677"/>
    <w:rsid w:val="002D4C6F"/>
    <w:rsid w:val="002D5013"/>
    <w:rsid w:val="002D521B"/>
    <w:rsid w:val="002D5247"/>
    <w:rsid w:val="002D5C68"/>
    <w:rsid w:val="002D6298"/>
    <w:rsid w:val="002D7241"/>
    <w:rsid w:val="002D73A5"/>
    <w:rsid w:val="002D7490"/>
    <w:rsid w:val="002D7E22"/>
    <w:rsid w:val="002E04C4"/>
    <w:rsid w:val="002E145C"/>
    <w:rsid w:val="002E18FD"/>
    <w:rsid w:val="002E1C14"/>
    <w:rsid w:val="002E2D88"/>
    <w:rsid w:val="002E32AC"/>
    <w:rsid w:val="002E37B5"/>
    <w:rsid w:val="002E4605"/>
    <w:rsid w:val="002E4D81"/>
    <w:rsid w:val="002E57C2"/>
    <w:rsid w:val="002E5B0F"/>
    <w:rsid w:val="002E5FDD"/>
    <w:rsid w:val="002E68A5"/>
    <w:rsid w:val="002F066E"/>
    <w:rsid w:val="002F18A4"/>
    <w:rsid w:val="002F22B7"/>
    <w:rsid w:val="002F26C9"/>
    <w:rsid w:val="002F2BF2"/>
    <w:rsid w:val="002F2C8E"/>
    <w:rsid w:val="002F462F"/>
    <w:rsid w:val="002F53DF"/>
    <w:rsid w:val="002F5CFE"/>
    <w:rsid w:val="002F736E"/>
    <w:rsid w:val="002F7C61"/>
    <w:rsid w:val="00300775"/>
    <w:rsid w:val="0030130A"/>
    <w:rsid w:val="00301C23"/>
    <w:rsid w:val="003024E0"/>
    <w:rsid w:val="003035D4"/>
    <w:rsid w:val="003045BA"/>
    <w:rsid w:val="00305709"/>
    <w:rsid w:val="00306ABC"/>
    <w:rsid w:val="00307239"/>
    <w:rsid w:val="0030792D"/>
    <w:rsid w:val="00310892"/>
    <w:rsid w:val="003116FD"/>
    <w:rsid w:val="00311DDD"/>
    <w:rsid w:val="00312245"/>
    <w:rsid w:val="0031248C"/>
    <w:rsid w:val="00313ABD"/>
    <w:rsid w:val="00314124"/>
    <w:rsid w:val="003148C0"/>
    <w:rsid w:val="00314F83"/>
    <w:rsid w:val="0031551E"/>
    <w:rsid w:val="00315F72"/>
    <w:rsid w:val="0031631A"/>
    <w:rsid w:val="00316578"/>
    <w:rsid w:val="0031702C"/>
    <w:rsid w:val="00317187"/>
    <w:rsid w:val="003174D3"/>
    <w:rsid w:val="00317A52"/>
    <w:rsid w:val="0032013D"/>
    <w:rsid w:val="003205DF"/>
    <w:rsid w:val="003207AC"/>
    <w:rsid w:val="00320841"/>
    <w:rsid w:val="00321AA4"/>
    <w:rsid w:val="00321D34"/>
    <w:rsid w:val="003221B5"/>
    <w:rsid w:val="00323BB3"/>
    <w:rsid w:val="003246DF"/>
    <w:rsid w:val="00324E96"/>
    <w:rsid w:val="0032598D"/>
    <w:rsid w:val="003259BD"/>
    <w:rsid w:val="0032684D"/>
    <w:rsid w:val="003279C4"/>
    <w:rsid w:val="00330083"/>
    <w:rsid w:val="0033095A"/>
    <w:rsid w:val="003316BE"/>
    <w:rsid w:val="003317BE"/>
    <w:rsid w:val="00331CE7"/>
    <w:rsid w:val="00332427"/>
    <w:rsid w:val="00334640"/>
    <w:rsid w:val="003346A0"/>
    <w:rsid w:val="003348EA"/>
    <w:rsid w:val="00335F04"/>
    <w:rsid w:val="00335F82"/>
    <w:rsid w:val="003378BD"/>
    <w:rsid w:val="003378C6"/>
    <w:rsid w:val="00340314"/>
    <w:rsid w:val="003403D3"/>
    <w:rsid w:val="00341247"/>
    <w:rsid w:val="00341C8C"/>
    <w:rsid w:val="00341E00"/>
    <w:rsid w:val="00342491"/>
    <w:rsid w:val="00342D98"/>
    <w:rsid w:val="00342EA3"/>
    <w:rsid w:val="00345243"/>
    <w:rsid w:val="003452AF"/>
    <w:rsid w:val="00345934"/>
    <w:rsid w:val="0034636C"/>
    <w:rsid w:val="003468CE"/>
    <w:rsid w:val="00346E93"/>
    <w:rsid w:val="00347118"/>
    <w:rsid w:val="00347666"/>
    <w:rsid w:val="003479B5"/>
    <w:rsid w:val="00347AA2"/>
    <w:rsid w:val="00347C96"/>
    <w:rsid w:val="0035081D"/>
    <w:rsid w:val="00350A03"/>
    <w:rsid w:val="0035123A"/>
    <w:rsid w:val="0035126A"/>
    <w:rsid w:val="003529A6"/>
    <w:rsid w:val="00353603"/>
    <w:rsid w:val="00353EF8"/>
    <w:rsid w:val="00354828"/>
    <w:rsid w:val="00355A79"/>
    <w:rsid w:val="0035611B"/>
    <w:rsid w:val="00356F8E"/>
    <w:rsid w:val="00356FA4"/>
    <w:rsid w:val="003570D9"/>
    <w:rsid w:val="00357657"/>
    <w:rsid w:val="00357915"/>
    <w:rsid w:val="003616C1"/>
    <w:rsid w:val="00363A28"/>
    <w:rsid w:val="00364706"/>
    <w:rsid w:val="00365963"/>
    <w:rsid w:val="00365AF6"/>
    <w:rsid w:val="00365C26"/>
    <w:rsid w:val="003666C5"/>
    <w:rsid w:val="003678DF"/>
    <w:rsid w:val="003710B5"/>
    <w:rsid w:val="003739C0"/>
    <w:rsid w:val="00373DC0"/>
    <w:rsid w:val="00374847"/>
    <w:rsid w:val="00374CC8"/>
    <w:rsid w:val="00374F19"/>
    <w:rsid w:val="003754F4"/>
    <w:rsid w:val="0037585A"/>
    <w:rsid w:val="00375DE2"/>
    <w:rsid w:val="00375E2E"/>
    <w:rsid w:val="0037616F"/>
    <w:rsid w:val="00376C35"/>
    <w:rsid w:val="0037753B"/>
    <w:rsid w:val="003779D6"/>
    <w:rsid w:val="00381FFE"/>
    <w:rsid w:val="00382A9C"/>
    <w:rsid w:val="00382C08"/>
    <w:rsid w:val="00383293"/>
    <w:rsid w:val="00383FFB"/>
    <w:rsid w:val="00385988"/>
    <w:rsid w:val="00385BC0"/>
    <w:rsid w:val="00385C46"/>
    <w:rsid w:val="00385E48"/>
    <w:rsid w:val="00385FF6"/>
    <w:rsid w:val="0039050C"/>
    <w:rsid w:val="00390E6C"/>
    <w:rsid w:val="00391090"/>
    <w:rsid w:val="0039162B"/>
    <w:rsid w:val="00392446"/>
    <w:rsid w:val="00392456"/>
    <w:rsid w:val="0039467D"/>
    <w:rsid w:val="00394AA0"/>
    <w:rsid w:val="00394B6D"/>
    <w:rsid w:val="003960ED"/>
    <w:rsid w:val="0039667A"/>
    <w:rsid w:val="00396879"/>
    <w:rsid w:val="00396E11"/>
    <w:rsid w:val="00397084"/>
    <w:rsid w:val="003977C3"/>
    <w:rsid w:val="00397EAF"/>
    <w:rsid w:val="003A08D3"/>
    <w:rsid w:val="003A0B34"/>
    <w:rsid w:val="003A0E1A"/>
    <w:rsid w:val="003A22C5"/>
    <w:rsid w:val="003A2E15"/>
    <w:rsid w:val="003A3BE3"/>
    <w:rsid w:val="003A3EEC"/>
    <w:rsid w:val="003A477B"/>
    <w:rsid w:val="003A4791"/>
    <w:rsid w:val="003A4A93"/>
    <w:rsid w:val="003A4B60"/>
    <w:rsid w:val="003A6762"/>
    <w:rsid w:val="003A6CAE"/>
    <w:rsid w:val="003B157C"/>
    <w:rsid w:val="003B1B5C"/>
    <w:rsid w:val="003B24C3"/>
    <w:rsid w:val="003B2527"/>
    <w:rsid w:val="003B274E"/>
    <w:rsid w:val="003B2B37"/>
    <w:rsid w:val="003B2F8A"/>
    <w:rsid w:val="003B35A6"/>
    <w:rsid w:val="003B4F4F"/>
    <w:rsid w:val="003B53C1"/>
    <w:rsid w:val="003B5B7D"/>
    <w:rsid w:val="003B7131"/>
    <w:rsid w:val="003C0131"/>
    <w:rsid w:val="003C0EF8"/>
    <w:rsid w:val="003C12FF"/>
    <w:rsid w:val="003C1634"/>
    <w:rsid w:val="003C1CF1"/>
    <w:rsid w:val="003C2185"/>
    <w:rsid w:val="003C2D87"/>
    <w:rsid w:val="003C49F9"/>
    <w:rsid w:val="003C4C9A"/>
    <w:rsid w:val="003C53B9"/>
    <w:rsid w:val="003C59C1"/>
    <w:rsid w:val="003D0ADE"/>
    <w:rsid w:val="003D18B9"/>
    <w:rsid w:val="003D1AC8"/>
    <w:rsid w:val="003D21E7"/>
    <w:rsid w:val="003D34FB"/>
    <w:rsid w:val="003D38C4"/>
    <w:rsid w:val="003D43ED"/>
    <w:rsid w:val="003D44D6"/>
    <w:rsid w:val="003D534E"/>
    <w:rsid w:val="003D53F6"/>
    <w:rsid w:val="003D5841"/>
    <w:rsid w:val="003D58C9"/>
    <w:rsid w:val="003D5D1F"/>
    <w:rsid w:val="003D6FE8"/>
    <w:rsid w:val="003D7546"/>
    <w:rsid w:val="003D7767"/>
    <w:rsid w:val="003E0299"/>
    <w:rsid w:val="003E0A3A"/>
    <w:rsid w:val="003E0E42"/>
    <w:rsid w:val="003E161D"/>
    <w:rsid w:val="003E165E"/>
    <w:rsid w:val="003E1B28"/>
    <w:rsid w:val="003E1D57"/>
    <w:rsid w:val="003E1FE5"/>
    <w:rsid w:val="003E22BC"/>
    <w:rsid w:val="003E2587"/>
    <w:rsid w:val="003E2B4B"/>
    <w:rsid w:val="003E2C60"/>
    <w:rsid w:val="003E366E"/>
    <w:rsid w:val="003E3B25"/>
    <w:rsid w:val="003E489B"/>
    <w:rsid w:val="003E4FD2"/>
    <w:rsid w:val="003E518E"/>
    <w:rsid w:val="003E5FC7"/>
    <w:rsid w:val="003E630A"/>
    <w:rsid w:val="003E65BF"/>
    <w:rsid w:val="003E7146"/>
    <w:rsid w:val="003F03AD"/>
    <w:rsid w:val="003F03D2"/>
    <w:rsid w:val="003F07DC"/>
    <w:rsid w:val="003F0C10"/>
    <w:rsid w:val="003F1634"/>
    <w:rsid w:val="003F1827"/>
    <w:rsid w:val="003F3CEA"/>
    <w:rsid w:val="003F5852"/>
    <w:rsid w:val="003F59FD"/>
    <w:rsid w:val="003F6A84"/>
    <w:rsid w:val="003F6F2D"/>
    <w:rsid w:val="003F7425"/>
    <w:rsid w:val="003F7AA6"/>
    <w:rsid w:val="00401861"/>
    <w:rsid w:val="004025D9"/>
    <w:rsid w:val="00403232"/>
    <w:rsid w:val="0040349D"/>
    <w:rsid w:val="00404DFE"/>
    <w:rsid w:val="0040570C"/>
    <w:rsid w:val="004072A4"/>
    <w:rsid w:val="00407B79"/>
    <w:rsid w:val="00407CC0"/>
    <w:rsid w:val="00407D2E"/>
    <w:rsid w:val="004105ED"/>
    <w:rsid w:val="00410ACC"/>
    <w:rsid w:val="004113E5"/>
    <w:rsid w:val="00411617"/>
    <w:rsid w:val="004130DD"/>
    <w:rsid w:val="0041498C"/>
    <w:rsid w:val="00415F47"/>
    <w:rsid w:val="00416304"/>
    <w:rsid w:val="004169B5"/>
    <w:rsid w:val="00416B93"/>
    <w:rsid w:val="00416BA8"/>
    <w:rsid w:val="00417009"/>
    <w:rsid w:val="0041704B"/>
    <w:rsid w:val="00417707"/>
    <w:rsid w:val="004200E6"/>
    <w:rsid w:val="004205B2"/>
    <w:rsid w:val="00420FFA"/>
    <w:rsid w:val="00421AAC"/>
    <w:rsid w:val="00421BA6"/>
    <w:rsid w:val="004224CF"/>
    <w:rsid w:val="00422AE3"/>
    <w:rsid w:val="0042341C"/>
    <w:rsid w:val="00423FFB"/>
    <w:rsid w:val="00425A7D"/>
    <w:rsid w:val="00425A9F"/>
    <w:rsid w:val="00425DDD"/>
    <w:rsid w:val="00425FCB"/>
    <w:rsid w:val="004271EF"/>
    <w:rsid w:val="0043099F"/>
    <w:rsid w:val="00430FF2"/>
    <w:rsid w:val="00432753"/>
    <w:rsid w:val="00433A14"/>
    <w:rsid w:val="0043427E"/>
    <w:rsid w:val="004345A2"/>
    <w:rsid w:val="004346C9"/>
    <w:rsid w:val="00434771"/>
    <w:rsid w:val="004348F6"/>
    <w:rsid w:val="00434BB8"/>
    <w:rsid w:val="004365DB"/>
    <w:rsid w:val="00436724"/>
    <w:rsid w:val="00436940"/>
    <w:rsid w:val="00437E18"/>
    <w:rsid w:val="0044086B"/>
    <w:rsid w:val="004409B7"/>
    <w:rsid w:val="00441896"/>
    <w:rsid w:val="00441973"/>
    <w:rsid w:val="0044263F"/>
    <w:rsid w:val="00442C34"/>
    <w:rsid w:val="00442E89"/>
    <w:rsid w:val="00443231"/>
    <w:rsid w:val="00443FD5"/>
    <w:rsid w:val="004448E6"/>
    <w:rsid w:val="00444AA5"/>
    <w:rsid w:val="00444BA7"/>
    <w:rsid w:val="00445063"/>
    <w:rsid w:val="0044506F"/>
    <w:rsid w:val="00445161"/>
    <w:rsid w:val="00446280"/>
    <w:rsid w:val="00446AB8"/>
    <w:rsid w:val="00447808"/>
    <w:rsid w:val="004500CA"/>
    <w:rsid w:val="00452CE4"/>
    <w:rsid w:val="004551FF"/>
    <w:rsid w:val="0045563D"/>
    <w:rsid w:val="00456241"/>
    <w:rsid w:val="0045632B"/>
    <w:rsid w:val="004565E0"/>
    <w:rsid w:val="00456AF3"/>
    <w:rsid w:val="00456B2A"/>
    <w:rsid w:val="004605ED"/>
    <w:rsid w:val="004610F1"/>
    <w:rsid w:val="00461353"/>
    <w:rsid w:val="00461477"/>
    <w:rsid w:val="00461D5B"/>
    <w:rsid w:val="00462B2B"/>
    <w:rsid w:val="00462FDD"/>
    <w:rsid w:val="004637DB"/>
    <w:rsid w:val="00464408"/>
    <w:rsid w:val="00465DAB"/>
    <w:rsid w:val="00466D73"/>
    <w:rsid w:val="00466F81"/>
    <w:rsid w:val="004673D7"/>
    <w:rsid w:val="00467D26"/>
    <w:rsid w:val="00470EC2"/>
    <w:rsid w:val="004711B5"/>
    <w:rsid w:val="004711BD"/>
    <w:rsid w:val="00471FDA"/>
    <w:rsid w:val="00472291"/>
    <w:rsid w:val="004730F3"/>
    <w:rsid w:val="0047329E"/>
    <w:rsid w:val="00473E74"/>
    <w:rsid w:val="004740AF"/>
    <w:rsid w:val="00474D8B"/>
    <w:rsid w:val="004751CF"/>
    <w:rsid w:val="004751D7"/>
    <w:rsid w:val="004759B3"/>
    <w:rsid w:val="0047667E"/>
    <w:rsid w:val="00476860"/>
    <w:rsid w:val="00477924"/>
    <w:rsid w:val="00480A98"/>
    <w:rsid w:val="00480FDC"/>
    <w:rsid w:val="00481236"/>
    <w:rsid w:val="004825B8"/>
    <w:rsid w:val="0048340D"/>
    <w:rsid w:val="004836B5"/>
    <w:rsid w:val="00483885"/>
    <w:rsid w:val="00483A41"/>
    <w:rsid w:val="00483B39"/>
    <w:rsid w:val="00483D85"/>
    <w:rsid w:val="00484BC5"/>
    <w:rsid w:val="00484E98"/>
    <w:rsid w:val="00485745"/>
    <w:rsid w:val="004872DE"/>
    <w:rsid w:val="00487882"/>
    <w:rsid w:val="00487B33"/>
    <w:rsid w:val="00487B52"/>
    <w:rsid w:val="00487FB0"/>
    <w:rsid w:val="00490215"/>
    <w:rsid w:val="0049037A"/>
    <w:rsid w:val="00490D6E"/>
    <w:rsid w:val="0049167B"/>
    <w:rsid w:val="004928CA"/>
    <w:rsid w:val="004928D1"/>
    <w:rsid w:val="004934D4"/>
    <w:rsid w:val="004938FC"/>
    <w:rsid w:val="0049420A"/>
    <w:rsid w:val="00494C70"/>
    <w:rsid w:val="00494E18"/>
    <w:rsid w:val="00494E78"/>
    <w:rsid w:val="004954B2"/>
    <w:rsid w:val="00495E85"/>
    <w:rsid w:val="00495F8E"/>
    <w:rsid w:val="00496F65"/>
    <w:rsid w:val="004A0327"/>
    <w:rsid w:val="004A03B1"/>
    <w:rsid w:val="004A10B5"/>
    <w:rsid w:val="004A10CB"/>
    <w:rsid w:val="004A1738"/>
    <w:rsid w:val="004A1F67"/>
    <w:rsid w:val="004A2247"/>
    <w:rsid w:val="004A24FE"/>
    <w:rsid w:val="004A2620"/>
    <w:rsid w:val="004A35A2"/>
    <w:rsid w:val="004A3F8C"/>
    <w:rsid w:val="004A40AD"/>
    <w:rsid w:val="004A4590"/>
    <w:rsid w:val="004A5B86"/>
    <w:rsid w:val="004A5CB2"/>
    <w:rsid w:val="004A5CD7"/>
    <w:rsid w:val="004A6E4E"/>
    <w:rsid w:val="004A7518"/>
    <w:rsid w:val="004A7A5C"/>
    <w:rsid w:val="004B0B14"/>
    <w:rsid w:val="004B18D6"/>
    <w:rsid w:val="004B21FF"/>
    <w:rsid w:val="004B288A"/>
    <w:rsid w:val="004B29F0"/>
    <w:rsid w:val="004B2AD5"/>
    <w:rsid w:val="004B34F6"/>
    <w:rsid w:val="004B38F0"/>
    <w:rsid w:val="004B396E"/>
    <w:rsid w:val="004B4767"/>
    <w:rsid w:val="004B4B4C"/>
    <w:rsid w:val="004B50F3"/>
    <w:rsid w:val="004B5411"/>
    <w:rsid w:val="004B5ED4"/>
    <w:rsid w:val="004B5F31"/>
    <w:rsid w:val="004B6D33"/>
    <w:rsid w:val="004B7249"/>
    <w:rsid w:val="004B72BB"/>
    <w:rsid w:val="004B7DAA"/>
    <w:rsid w:val="004C0A4D"/>
    <w:rsid w:val="004C0C98"/>
    <w:rsid w:val="004C105A"/>
    <w:rsid w:val="004C1C1E"/>
    <w:rsid w:val="004C20B6"/>
    <w:rsid w:val="004C382E"/>
    <w:rsid w:val="004C4461"/>
    <w:rsid w:val="004C4B74"/>
    <w:rsid w:val="004C4DBD"/>
    <w:rsid w:val="004C5A7A"/>
    <w:rsid w:val="004C60CD"/>
    <w:rsid w:val="004C655A"/>
    <w:rsid w:val="004C6C92"/>
    <w:rsid w:val="004C70A0"/>
    <w:rsid w:val="004C7426"/>
    <w:rsid w:val="004D08DE"/>
    <w:rsid w:val="004D0DA1"/>
    <w:rsid w:val="004D10CD"/>
    <w:rsid w:val="004D11E6"/>
    <w:rsid w:val="004D19BC"/>
    <w:rsid w:val="004D216F"/>
    <w:rsid w:val="004D59A7"/>
    <w:rsid w:val="004D5AFF"/>
    <w:rsid w:val="004D5D4D"/>
    <w:rsid w:val="004E13E2"/>
    <w:rsid w:val="004E207E"/>
    <w:rsid w:val="004E2406"/>
    <w:rsid w:val="004E3070"/>
    <w:rsid w:val="004E431C"/>
    <w:rsid w:val="004E459D"/>
    <w:rsid w:val="004E4BA3"/>
    <w:rsid w:val="004E51A6"/>
    <w:rsid w:val="004E571D"/>
    <w:rsid w:val="004E5789"/>
    <w:rsid w:val="004E5E11"/>
    <w:rsid w:val="004E66CF"/>
    <w:rsid w:val="004E7997"/>
    <w:rsid w:val="004E7D61"/>
    <w:rsid w:val="004F0330"/>
    <w:rsid w:val="004F06F8"/>
    <w:rsid w:val="004F1202"/>
    <w:rsid w:val="004F1506"/>
    <w:rsid w:val="004F1F71"/>
    <w:rsid w:val="004F2762"/>
    <w:rsid w:val="004F2AB7"/>
    <w:rsid w:val="004F2C8B"/>
    <w:rsid w:val="004F4035"/>
    <w:rsid w:val="004F407F"/>
    <w:rsid w:val="004F51C3"/>
    <w:rsid w:val="004F5523"/>
    <w:rsid w:val="004F5CF3"/>
    <w:rsid w:val="004F785A"/>
    <w:rsid w:val="00500063"/>
    <w:rsid w:val="00503757"/>
    <w:rsid w:val="00503955"/>
    <w:rsid w:val="005051B5"/>
    <w:rsid w:val="00505612"/>
    <w:rsid w:val="00505C63"/>
    <w:rsid w:val="005066DF"/>
    <w:rsid w:val="00506A78"/>
    <w:rsid w:val="005078D2"/>
    <w:rsid w:val="00510966"/>
    <w:rsid w:val="005112B0"/>
    <w:rsid w:val="00511F35"/>
    <w:rsid w:val="005120FA"/>
    <w:rsid w:val="00512895"/>
    <w:rsid w:val="00512ED2"/>
    <w:rsid w:val="005130CD"/>
    <w:rsid w:val="005132E2"/>
    <w:rsid w:val="005133D6"/>
    <w:rsid w:val="00513716"/>
    <w:rsid w:val="0051556C"/>
    <w:rsid w:val="00515805"/>
    <w:rsid w:val="00515CD6"/>
    <w:rsid w:val="00516B77"/>
    <w:rsid w:val="005174BD"/>
    <w:rsid w:val="00517CD6"/>
    <w:rsid w:val="00521F0D"/>
    <w:rsid w:val="00523568"/>
    <w:rsid w:val="00524072"/>
    <w:rsid w:val="0052448A"/>
    <w:rsid w:val="0052579A"/>
    <w:rsid w:val="00525CFC"/>
    <w:rsid w:val="0052606B"/>
    <w:rsid w:val="005274A2"/>
    <w:rsid w:val="00530268"/>
    <w:rsid w:val="00530D76"/>
    <w:rsid w:val="00530EFC"/>
    <w:rsid w:val="005310CE"/>
    <w:rsid w:val="0053369A"/>
    <w:rsid w:val="00533910"/>
    <w:rsid w:val="00533E6D"/>
    <w:rsid w:val="005347A9"/>
    <w:rsid w:val="0053564F"/>
    <w:rsid w:val="00535C35"/>
    <w:rsid w:val="00536A7B"/>
    <w:rsid w:val="00536E48"/>
    <w:rsid w:val="00537014"/>
    <w:rsid w:val="005375EF"/>
    <w:rsid w:val="00537759"/>
    <w:rsid w:val="005378F8"/>
    <w:rsid w:val="00537D6F"/>
    <w:rsid w:val="00537F3E"/>
    <w:rsid w:val="0054058F"/>
    <w:rsid w:val="0054076B"/>
    <w:rsid w:val="005408A6"/>
    <w:rsid w:val="00540E5D"/>
    <w:rsid w:val="005422F7"/>
    <w:rsid w:val="005434DC"/>
    <w:rsid w:val="0054416D"/>
    <w:rsid w:val="005457A0"/>
    <w:rsid w:val="00545C98"/>
    <w:rsid w:val="005460F7"/>
    <w:rsid w:val="005461CA"/>
    <w:rsid w:val="00546E9E"/>
    <w:rsid w:val="00547027"/>
    <w:rsid w:val="00547267"/>
    <w:rsid w:val="00547962"/>
    <w:rsid w:val="00547A8F"/>
    <w:rsid w:val="005506A6"/>
    <w:rsid w:val="00550872"/>
    <w:rsid w:val="00551121"/>
    <w:rsid w:val="005536A1"/>
    <w:rsid w:val="00553AA4"/>
    <w:rsid w:val="0055409E"/>
    <w:rsid w:val="005549AE"/>
    <w:rsid w:val="00554DF5"/>
    <w:rsid w:val="0055516E"/>
    <w:rsid w:val="00555420"/>
    <w:rsid w:val="00556A68"/>
    <w:rsid w:val="0055786F"/>
    <w:rsid w:val="005600A8"/>
    <w:rsid w:val="0056045C"/>
    <w:rsid w:val="0056052C"/>
    <w:rsid w:val="005607C2"/>
    <w:rsid w:val="00560B60"/>
    <w:rsid w:val="0056111D"/>
    <w:rsid w:val="0056142E"/>
    <w:rsid w:val="00562170"/>
    <w:rsid w:val="005621E4"/>
    <w:rsid w:val="00562E42"/>
    <w:rsid w:val="00563750"/>
    <w:rsid w:val="005639CC"/>
    <w:rsid w:val="00564277"/>
    <w:rsid w:val="00564A60"/>
    <w:rsid w:val="005655AA"/>
    <w:rsid w:val="00566437"/>
    <w:rsid w:val="00566877"/>
    <w:rsid w:val="00566B04"/>
    <w:rsid w:val="0056730B"/>
    <w:rsid w:val="00567D00"/>
    <w:rsid w:val="0057017C"/>
    <w:rsid w:val="00572130"/>
    <w:rsid w:val="005727FA"/>
    <w:rsid w:val="00574183"/>
    <w:rsid w:val="00574993"/>
    <w:rsid w:val="005753DD"/>
    <w:rsid w:val="00575798"/>
    <w:rsid w:val="005759DC"/>
    <w:rsid w:val="0057747C"/>
    <w:rsid w:val="005774DA"/>
    <w:rsid w:val="00577611"/>
    <w:rsid w:val="00577BF1"/>
    <w:rsid w:val="00577C69"/>
    <w:rsid w:val="0058021F"/>
    <w:rsid w:val="005803D5"/>
    <w:rsid w:val="00580ABD"/>
    <w:rsid w:val="00581FE1"/>
    <w:rsid w:val="00582367"/>
    <w:rsid w:val="00583717"/>
    <w:rsid w:val="00583C73"/>
    <w:rsid w:val="00583D38"/>
    <w:rsid w:val="00583DD0"/>
    <w:rsid w:val="0058469E"/>
    <w:rsid w:val="00585AC5"/>
    <w:rsid w:val="0058673D"/>
    <w:rsid w:val="00586A55"/>
    <w:rsid w:val="00586D42"/>
    <w:rsid w:val="00587AE7"/>
    <w:rsid w:val="005913F0"/>
    <w:rsid w:val="00591E1D"/>
    <w:rsid w:val="0059240C"/>
    <w:rsid w:val="005924F4"/>
    <w:rsid w:val="0059250E"/>
    <w:rsid w:val="005928AB"/>
    <w:rsid w:val="00593F7D"/>
    <w:rsid w:val="005947E6"/>
    <w:rsid w:val="00596464"/>
    <w:rsid w:val="005964D3"/>
    <w:rsid w:val="00596646"/>
    <w:rsid w:val="00596EE1"/>
    <w:rsid w:val="005978AE"/>
    <w:rsid w:val="00597A0A"/>
    <w:rsid w:val="005A02A9"/>
    <w:rsid w:val="005A07EA"/>
    <w:rsid w:val="005A1E0D"/>
    <w:rsid w:val="005A267C"/>
    <w:rsid w:val="005A27D2"/>
    <w:rsid w:val="005A3B06"/>
    <w:rsid w:val="005A3CDB"/>
    <w:rsid w:val="005A41B8"/>
    <w:rsid w:val="005A4463"/>
    <w:rsid w:val="005A4ADE"/>
    <w:rsid w:val="005A4B2C"/>
    <w:rsid w:val="005A50DE"/>
    <w:rsid w:val="005A539E"/>
    <w:rsid w:val="005A5752"/>
    <w:rsid w:val="005A65A1"/>
    <w:rsid w:val="005A715B"/>
    <w:rsid w:val="005A7BEE"/>
    <w:rsid w:val="005A7C2D"/>
    <w:rsid w:val="005A7DCF"/>
    <w:rsid w:val="005B24F4"/>
    <w:rsid w:val="005B3273"/>
    <w:rsid w:val="005B35DE"/>
    <w:rsid w:val="005B375F"/>
    <w:rsid w:val="005B37D2"/>
    <w:rsid w:val="005B4C7F"/>
    <w:rsid w:val="005B4F9C"/>
    <w:rsid w:val="005B5E0B"/>
    <w:rsid w:val="005B643C"/>
    <w:rsid w:val="005B65A0"/>
    <w:rsid w:val="005B66C3"/>
    <w:rsid w:val="005B6DFF"/>
    <w:rsid w:val="005B75B9"/>
    <w:rsid w:val="005B77A4"/>
    <w:rsid w:val="005B7B5D"/>
    <w:rsid w:val="005C0952"/>
    <w:rsid w:val="005C0C31"/>
    <w:rsid w:val="005C290B"/>
    <w:rsid w:val="005C2BED"/>
    <w:rsid w:val="005C2C3B"/>
    <w:rsid w:val="005C2C9D"/>
    <w:rsid w:val="005C325E"/>
    <w:rsid w:val="005C3D85"/>
    <w:rsid w:val="005C6641"/>
    <w:rsid w:val="005C706C"/>
    <w:rsid w:val="005C709D"/>
    <w:rsid w:val="005C7922"/>
    <w:rsid w:val="005C7A15"/>
    <w:rsid w:val="005D05DC"/>
    <w:rsid w:val="005D1FDD"/>
    <w:rsid w:val="005D2415"/>
    <w:rsid w:val="005D2E57"/>
    <w:rsid w:val="005D312B"/>
    <w:rsid w:val="005D33FB"/>
    <w:rsid w:val="005D3727"/>
    <w:rsid w:val="005D37DA"/>
    <w:rsid w:val="005D3B70"/>
    <w:rsid w:val="005D3BED"/>
    <w:rsid w:val="005D3DED"/>
    <w:rsid w:val="005D3FDC"/>
    <w:rsid w:val="005D4535"/>
    <w:rsid w:val="005D4AB4"/>
    <w:rsid w:val="005D4CE6"/>
    <w:rsid w:val="005D4E34"/>
    <w:rsid w:val="005D5B42"/>
    <w:rsid w:val="005D6475"/>
    <w:rsid w:val="005D6C3F"/>
    <w:rsid w:val="005D6F99"/>
    <w:rsid w:val="005D6F9C"/>
    <w:rsid w:val="005D703B"/>
    <w:rsid w:val="005D7081"/>
    <w:rsid w:val="005D722A"/>
    <w:rsid w:val="005E06F7"/>
    <w:rsid w:val="005E0E1A"/>
    <w:rsid w:val="005E272E"/>
    <w:rsid w:val="005E41F4"/>
    <w:rsid w:val="005E4371"/>
    <w:rsid w:val="005E47D2"/>
    <w:rsid w:val="005E4940"/>
    <w:rsid w:val="005E4DCF"/>
    <w:rsid w:val="005E5C45"/>
    <w:rsid w:val="005E5D09"/>
    <w:rsid w:val="005E6204"/>
    <w:rsid w:val="005E6353"/>
    <w:rsid w:val="005E6D2B"/>
    <w:rsid w:val="005F04C2"/>
    <w:rsid w:val="005F0C23"/>
    <w:rsid w:val="005F1230"/>
    <w:rsid w:val="005F2E00"/>
    <w:rsid w:val="005F3222"/>
    <w:rsid w:val="005F34A4"/>
    <w:rsid w:val="005F37BD"/>
    <w:rsid w:val="005F3A3D"/>
    <w:rsid w:val="005F3F18"/>
    <w:rsid w:val="005F4007"/>
    <w:rsid w:val="005F4125"/>
    <w:rsid w:val="005F44EF"/>
    <w:rsid w:val="005F479D"/>
    <w:rsid w:val="005F56BC"/>
    <w:rsid w:val="005F5782"/>
    <w:rsid w:val="005F5F54"/>
    <w:rsid w:val="005F6411"/>
    <w:rsid w:val="005F6465"/>
    <w:rsid w:val="005F6755"/>
    <w:rsid w:val="005F73DF"/>
    <w:rsid w:val="005F79B8"/>
    <w:rsid w:val="006028D4"/>
    <w:rsid w:val="0060484D"/>
    <w:rsid w:val="00604D16"/>
    <w:rsid w:val="006050A9"/>
    <w:rsid w:val="006063DD"/>
    <w:rsid w:val="0060712C"/>
    <w:rsid w:val="0060741E"/>
    <w:rsid w:val="00607A20"/>
    <w:rsid w:val="0061087C"/>
    <w:rsid w:val="006110D3"/>
    <w:rsid w:val="0061140A"/>
    <w:rsid w:val="00611897"/>
    <w:rsid w:val="00611B08"/>
    <w:rsid w:val="00611DD1"/>
    <w:rsid w:val="006127CA"/>
    <w:rsid w:val="006130C8"/>
    <w:rsid w:val="00613AD2"/>
    <w:rsid w:val="006144A8"/>
    <w:rsid w:val="006152B4"/>
    <w:rsid w:val="006156A3"/>
    <w:rsid w:val="0061575C"/>
    <w:rsid w:val="00616DA9"/>
    <w:rsid w:val="00616E6E"/>
    <w:rsid w:val="006173FA"/>
    <w:rsid w:val="00617C1D"/>
    <w:rsid w:val="006201D8"/>
    <w:rsid w:val="0062111E"/>
    <w:rsid w:val="006215BF"/>
    <w:rsid w:val="0062266D"/>
    <w:rsid w:val="006228F2"/>
    <w:rsid w:val="00623952"/>
    <w:rsid w:val="00623F60"/>
    <w:rsid w:val="0062465D"/>
    <w:rsid w:val="006257FD"/>
    <w:rsid w:val="0062634D"/>
    <w:rsid w:val="0062640D"/>
    <w:rsid w:val="0062701D"/>
    <w:rsid w:val="006276FC"/>
    <w:rsid w:val="00627E7F"/>
    <w:rsid w:val="00631505"/>
    <w:rsid w:val="00631B92"/>
    <w:rsid w:val="00631E43"/>
    <w:rsid w:val="00632D3C"/>
    <w:rsid w:val="00633E42"/>
    <w:rsid w:val="00634922"/>
    <w:rsid w:val="00636E2D"/>
    <w:rsid w:val="0063742E"/>
    <w:rsid w:val="00637BE1"/>
    <w:rsid w:val="00637E39"/>
    <w:rsid w:val="00640A6D"/>
    <w:rsid w:val="006414F6"/>
    <w:rsid w:val="00642206"/>
    <w:rsid w:val="006426DF"/>
    <w:rsid w:val="00642B81"/>
    <w:rsid w:val="00642DDE"/>
    <w:rsid w:val="00644268"/>
    <w:rsid w:val="00644912"/>
    <w:rsid w:val="00644913"/>
    <w:rsid w:val="00644999"/>
    <w:rsid w:val="00645617"/>
    <w:rsid w:val="006509B9"/>
    <w:rsid w:val="0065125A"/>
    <w:rsid w:val="00651A46"/>
    <w:rsid w:val="0065200A"/>
    <w:rsid w:val="00652186"/>
    <w:rsid w:val="00652309"/>
    <w:rsid w:val="00652A6D"/>
    <w:rsid w:val="00653071"/>
    <w:rsid w:val="00654798"/>
    <w:rsid w:val="006549A4"/>
    <w:rsid w:val="00654FB0"/>
    <w:rsid w:val="0065585D"/>
    <w:rsid w:val="00655E14"/>
    <w:rsid w:val="006574A1"/>
    <w:rsid w:val="00657AC2"/>
    <w:rsid w:val="0066026C"/>
    <w:rsid w:val="0066063D"/>
    <w:rsid w:val="006608F0"/>
    <w:rsid w:val="00660A23"/>
    <w:rsid w:val="00661FCC"/>
    <w:rsid w:val="00662138"/>
    <w:rsid w:val="006621E6"/>
    <w:rsid w:val="006636A0"/>
    <w:rsid w:val="00664A0F"/>
    <w:rsid w:val="006659A0"/>
    <w:rsid w:val="00666275"/>
    <w:rsid w:val="00666650"/>
    <w:rsid w:val="00666FF9"/>
    <w:rsid w:val="0066784F"/>
    <w:rsid w:val="00667D45"/>
    <w:rsid w:val="0067009F"/>
    <w:rsid w:val="006709FB"/>
    <w:rsid w:val="00670EFE"/>
    <w:rsid w:val="00671265"/>
    <w:rsid w:val="00671274"/>
    <w:rsid w:val="00672D43"/>
    <w:rsid w:val="00673369"/>
    <w:rsid w:val="00673926"/>
    <w:rsid w:val="006755CF"/>
    <w:rsid w:val="006757B3"/>
    <w:rsid w:val="00675E75"/>
    <w:rsid w:val="00676C5E"/>
    <w:rsid w:val="006771EA"/>
    <w:rsid w:val="0068031A"/>
    <w:rsid w:val="00680785"/>
    <w:rsid w:val="00680E3D"/>
    <w:rsid w:val="00681E15"/>
    <w:rsid w:val="0068268B"/>
    <w:rsid w:val="00683818"/>
    <w:rsid w:val="00683F6E"/>
    <w:rsid w:val="006851F9"/>
    <w:rsid w:val="00685DC2"/>
    <w:rsid w:val="00685EB9"/>
    <w:rsid w:val="00685F5F"/>
    <w:rsid w:val="006870C4"/>
    <w:rsid w:val="00687228"/>
    <w:rsid w:val="0068785A"/>
    <w:rsid w:val="00690211"/>
    <w:rsid w:val="00692B46"/>
    <w:rsid w:val="00692CBF"/>
    <w:rsid w:val="0069349A"/>
    <w:rsid w:val="00693D6B"/>
    <w:rsid w:val="0069438C"/>
    <w:rsid w:val="0069604D"/>
    <w:rsid w:val="006960A6"/>
    <w:rsid w:val="006970C0"/>
    <w:rsid w:val="006973C6"/>
    <w:rsid w:val="006A01B9"/>
    <w:rsid w:val="006A0602"/>
    <w:rsid w:val="006A086A"/>
    <w:rsid w:val="006A0D0A"/>
    <w:rsid w:val="006A1051"/>
    <w:rsid w:val="006A1337"/>
    <w:rsid w:val="006A1E1D"/>
    <w:rsid w:val="006A261C"/>
    <w:rsid w:val="006A296C"/>
    <w:rsid w:val="006A2CC9"/>
    <w:rsid w:val="006A34AB"/>
    <w:rsid w:val="006A3BD7"/>
    <w:rsid w:val="006A492F"/>
    <w:rsid w:val="006A649E"/>
    <w:rsid w:val="006A66A5"/>
    <w:rsid w:val="006A6F3B"/>
    <w:rsid w:val="006A77B8"/>
    <w:rsid w:val="006A7900"/>
    <w:rsid w:val="006B08AA"/>
    <w:rsid w:val="006B09CB"/>
    <w:rsid w:val="006B12AC"/>
    <w:rsid w:val="006B13E9"/>
    <w:rsid w:val="006B18F0"/>
    <w:rsid w:val="006B1B73"/>
    <w:rsid w:val="006B30A9"/>
    <w:rsid w:val="006B394C"/>
    <w:rsid w:val="006B4373"/>
    <w:rsid w:val="006B44E4"/>
    <w:rsid w:val="006B4BBB"/>
    <w:rsid w:val="006B56FB"/>
    <w:rsid w:val="006B60B0"/>
    <w:rsid w:val="006B64FA"/>
    <w:rsid w:val="006B6DD6"/>
    <w:rsid w:val="006B746D"/>
    <w:rsid w:val="006C06FC"/>
    <w:rsid w:val="006C1ACA"/>
    <w:rsid w:val="006C2181"/>
    <w:rsid w:val="006C234D"/>
    <w:rsid w:val="006C3852"/>
    <w:rsid w:val="006C3DDA"/>
    <w:rsid w:val="006C4787"/>
    <w:rsid w:val="006C49AB"/>
    <w:rsid w:val="006C6161"/>
    <w:rsid w:val="006C6502"/>
    <w:rsid w:val="006C655E"/>
    <w:rsid w:val="006C7D1C"/>
    <w:rsid w:val="006D08A2"/>
    <w:rsid w:val="006D0A1E"/>
    <w:rsid w:val="006D0AD5"/>
    <w:rsid w:val="006D0B77"/>
    <w:rsid w:val="006D2918"/>
    <w:rsid w:val="006D313F"/>
    <w:rsid w:val="006D32E2"/>
    <w:rsid w:val="006D34FE"/>
    <w:rsid w:val="006D35F5"/>
    <w:rsid w:val="006D35F7"/>
    <w:rsid w:val="006D42E0"/>
    <w:rsid w:val="006D63E7"/>
    <w:rsid w:val="006D6BA3"/>
    <w:rsid w:val="006D7616"/>
    <w:rsid w:val="006D7FEE"/>
    <w:rsid w:val="006E00C2"/>
    <w:rsid w:val="006E2317"/>
    <w:rsid w:val="006E26B8"/>
    <w:rsid w:val="006E2B2F"/>
    <w:rsid w:val="006E2CD9"/>
    <w:rsid w:val="006E2D44"/>
    <w:rsid w:val="006E2F05"/>
    <w:rsid w:val="006E3045"/>
    <w:rsid w:val="006E4FAB"/>
    <w:rsid w:val="006E5269"/>
    <w:rsid w:val="006E52E8"/>
    <w:rsid w:val="006E535A"/>
    <w:rsid w:val="006E5502"/>
    <w:rsid w:val="006E5995"/>
    <w:rsid w:val="006E5E6C"/>
    <w:rsid w:val="006E6179"/>
    <w:rsid w:val="006E6B98"/>
    <w:rsid w:val="006E6F8B"/>
    <w:rsid w:val="006E7ED5"/>
    <w:rsid w:val="006F0764"/>
    <w:rsid w:val="006F103C"/>
    <w:rsid w:val="006F1494"/>
    <w:rsid w:val="006F3F9D"/>
    <w:rsid w:val="006F4844"/>
    <w:rsid w:val="006F5A13"/>
    <w:rsid w:val="006F648D"/>
    <w:rsid w:val="006F6C5D"/>
    <w:rsid w:val="006F725B"/>
    <w:rsid w:val="007001E8"/>
    <w:rsid w:val="00700429"/>
    <w:rsid w:val="00701208"/>
    <w:rsid w:val="00701E6F"/>
    <w:rsid w:val="00702044"/>
    <w:rsid w:val="00702385"/>
    <w:rsid w:val="00702C4E"/>
    <w:rsid w:val="00704838"/>
    <w:rsid w:val="00704FC2"/>
    <w:rsid w:val="0070543E"/>
    <w:rsid w:val="00706487"/>
    <w:rsid w:val="00706603"/>
    <w:rsid w:val="00706CB4"/>
    <w:rsid w:val="00707118"/>
    <w:rsid w:val="00707887"/>
    <w:rsid w:val="00707CE2"/>
    <w:rsid w:val="00710C9C"/>
    <w:rsid w:val="007114A0"/>
    <w:rsid w:val="007114D3"/>
    <w:rsid w:val="00711BE9"/>
    <w:rsid w:val="00711DB7"/>
    <w:rsid w:val="007131B6"/>
    <w:rsid w:val="00714234"/>
    <w:rsid w:val="00714908"/>
    <w:rsid w:val="0071518B"/>
    <w:rsid w:val="0071535C"/>
    <w:rsid w:val="00715875"/>
    <w:rsid w:val="00715ABC"/>
    <w:rsid w:val="00716F8E"/>
    <w:rsid w:val="0071726F"/>
    <w:rsid w:val="00720999"/>
    <w:rsid w:val="0072127F"/>
    <w:rsid w:val="007217F8"/>
    <w:rsid w:val="00721FD1"/>
    <w:rsid w:val="00722E5E"/>
    <w:rsid w:val="00722F6B"/>
    <w:rsid w:val="00723A0B"/>
    <w:rsid w:val="00724BEB"/>
    <w:rsid w:val="007252E4"/>
    <w:rsid w:val="007256EE"/>
    <w:rsid w:val="0072578C"/>
    <w:rsid w:val="00726379"/>
    <w:rsid w:val="00726603"/>
    <w:rsid w:val="00726BB3"/>
    <w:rsid w:val="007270B9"/>
    <w:rsid w:val="00727518"/>
    <w:rsid w:val="007305E6"/>
    <w:rsid w:val="00730631"/>
    <w:rsid w:val="007318DE"/>
    <w:rsid w:val="007318EE"/>
    <w:rsid w:val="00732109"/>
    <w:rsid w:val="0073256D"/>
    <w:rsid w:val="00733181"/>
    <w:rsid w:val="0073395D"/>
    <w:rsid w:val="00734578"/>
    <w:rsid w:val="007347C8"/>
    <w:rsid w:val="00736384"/>
    <w:rsid w:val="00736638"/>
    <w:rsid w:val="00736D56"/>
    <w:rsid w:val="007372F7"/>
    <w:rsid w:val="0073793B"/>
    <w:rsid w:val="00737B52"/>
    <w:rsid w:val="00737BB4"/>
    <w:rsid w:val="00740DAF"/>
    <w:rsid w:val="007427DB"/>
    <w:rsid w:val="00743528"/>
    <w:rsid w:val="00743A50"/>
    <w:rsid w:val="0074411E"/>
    <w:rsid w:val="007442F8"/>
    <w:rsid w:val="007451FA"/>
    <w:rsid w:val="007457CF"/>
    <w:rsid w:val="00746D55"/>
    <w:rsid w:val="0074720F"/>
    <w:rsid w:val="00750C5A"/>
    <w:rsid w:val="007517CA"/>
    <w:rsid w:val="00751D99"/>
    <w:rsid w:val="00752230"/>
    <w:rsid w:val="00752D50"/>
    <w:rsid w:val="00753892"/>
    <w:rsid w:val="00753D95"/>
    <w:rsid w:val="007540D1"/>
    <w:rsid w:val="007540D7"/>
    <w:rsid w:val="00754742"/>
    <w:rsid w:val="00755C4F"/>
    <w:rsid w:val="007573CE"/>
    <w:rsid w:val="0075748B"/>
    <w:rsid w:val="00757EB7"/>
    <w:rsid w:val="00761597"/>
    <w:rsid w:val="00762261"/>
    <w:rsid w:val="00762400"/>
    <w:rsid w:val="00762567"/>
    <w:rsid w:val="00762610"/>
    <w:rsid w:val="0076263C"/>
    <w:rsid w:val="00762A56"/>
    <w:rsid w:val="00762ECE"/>
    <w:rsid w:val="00763474"/>
    <w:rsid w:val="007635D6"/>
    <w:rsid w:val="00763A45"/>
    <w:rsid w:val="00764A14"/>
    <w:rsid w:val="00764CA9"/>
    <w:rsid w:val="0076523C"/>
    <w:rsid w:val="00765389"/>
    <w:rsid w:val="00765F30"/>
    <w:rsid w:val="00766BB8"/>
    <w:rsid w:val="00766F49"/>
    <w:rsid w:val="00767694"/>
    <w:rsid w:val="00770408"/>
    <w:rsid w:val="00770A7A"/>
    <w:rsid w:val="00771D14"/>
    <w:rsid w:val="00771FE2"/>
    <w:rsid w:val="007723BF"/>
    <w:rsid w:val="00772777"/>
    <w:rsid w:val="00772818"/>
    <w:rsid w:val="0077302F"/>
    <w:rsid w:val="00773CC3"/>
    <w:rsid w:val="00773F7D"/>
    <w:rsid w:val="007750AC"/>
    <w:rsid w:val="007758B1"/>
    <w:rsid w:val="00775B12"/>
    <w:rsid w:val="00776134"/>
    <w:rsid w:val="00776669"/>
    <w:rsid w:val="007767CC"/>
    <w:rsid w:val="00777454"/>
    <w:rsid w:val="00777836"/>
    <w:rsid w:val="00777DB4"/>
    <w:rsid w:val="00781AC4"/>
    <w:rsid w:val="007828CE"/>
    <w:rsid w:val="0078318F"/>
    <w:rsid w:val="007836AD"/>
    <w:rsid w:val="00783BF0"/>
    <w:rsid w:val="00783F2C"/>
    <w:rsid w:val="00784C9E"/>
    <w:rsid w:val="00785131"/>
    <w:rsid w:val="007865FD"/>
    <w:rsid w:val="00786B30"/>
    <w:rsid w:val="00787B82"/>
    <w:rsid w:val="00787D30"/>
    <w:rsid w:val="00791A5C"/>
    <w:rsid w:val="007921CE"/>
    <w:rsid w:val="00792D19"/>
    <w:rsid w:val="007933AF"/>
    <w:rsid w:val="0079376B"/>
    <w:rsid w:val="00793D5E"/>
    <w:rsid w:val="00793EEA"/>
    <w:rsid w:val="00794206"/>
    <w:rsid w:val="00795732"/>
    <w:rsid w:val="007960D0"/>
    <w:rsid w:val="007960D9"/>
    <w:rsid w:val="007961A1"/>
    <w:rsid w:val="0079667E"/>
    <w:rsid w:val="00796FEB"/>
    <w:rsid w:val="007A037F"/>
    <w:rsid w:val="007A07A9"/>
    <w:rsid w:val="007A0A15"/>
    <w:rsid w:val="007A12B3"/>
    <w:rsid w:val="007A1EF9"/>
    <w:rsid w:val="007A285C"/>
    <w:rsid w:val="007A2B6E"/>
    <w:rsid w:val="007A3035"/>
    <w:rsid w:val="007A3659"/>
    <w:rsid w:val="007A370E"/>
    <w:rsid w:val="007A388E"/>
    <w:rsid w:val="007A3DDE"/>
    <w:rsid w:val="007A430B"/>
    <w:rsid w:val="007A4452"/>
    <w:rsid w:val="007A451F"/>
    <w:rsid w:val="007A552A"/>
    <w:rsid w:val="007A5BFF"/>
    <w:rsid w:val="007A6C32"/>
    <w:rsid w:val="007A7829"/>
    <w:rsid w:val="007B05AC"/>
    <w:rsid w:val="007B0E3A"/>
    <w:rsid w:val="007B155C"/>
    <w:rsid w:val="007B1AE2"/>
    <w:rsid w:val="007B26E6"/>
    <w:rsid w:val="007B2CC2"/>
    <w:rsid w:val="007B2D8F"/>
    <w:rsid w:val="007B3B21"/>
    <w:rsid w:val="007B3ECC"/>
    <w:rsid w:val="007B5A3C"/>
    <w:rsid w:val="007B5ACC"/>
    <w:rsid w:val="007B701F"/>
    <w:rsid w:val="007B7935"/>
    <w:rsid w:val="007C070E"/>
    <w:rsid w:val="007C0E89"/>
    <w:rsid w:val="007C12A9"/>
    <w:rsid w:val="007C1D1D"/>
    <w:rsid w:val="007C1D9B"/>
    <w:rsid w:val="007C1DE3"/>
    <w:rsid w:val="007C1EFC"/>
    <w:rsid w:val="007C2991"/>
    <w:rsid w:val="007C2D89"/>
    <w:rsid w:val="007C4D3C"/>
    <w:rsid w:val="007C52B6"/>
    <w:rsid w:val="007C68F2"/>
    <w:rsid w:val="007C7434"/>
    <w:rsid w:val="007C79EE"/>
    <w:rsid w:val="007C7B41"/>
    <w:rsid w:val="007D11EB"/>
    <w:rsid w:val="007D2295"/>
    <w:rsid w:val="007D2E54"/>
    <w:rsid w:val="007D34C7"/>
    <w:rsid w:val="007D482E"/>
    <w:rsid w:val="007D4A45"/>
    <w:rsid w:val="007D6118"/>
    <w:rsid w:val="007D6C44"/>
    <w:rsid w:val="007D7554"/>
    <w:rsid w:val="007D7C0A"/>
    <w:rsid w:val="007E01A4"/>
    <w:rsid w:val="007E05FD"/>
    <w:rsid w:val="007E1B62"/>
    <w:rsid w:val="007E1D00"/>
    <w:rsid w:val="007E1E94"/>
    <w:rsid w:val="007E2BA0"/>
    <w:rsid w:val="007E4550"/>
    <w:rsid w:val="007E5200"/>
    <w:rsid w:val="007E5AF8"/>
    <w:rsid w:val="007E5E27"/>
    <w:rsid w:val="007E78CB"/>
    <w:rsid w:val="007E7BBA"/>
    <w:rsid w:val="007F0FD8"/>
    <w:rsid w:val="007F14AE"/>
    <w:rsid w:val="007F180E"/>
    <w:rsid w:val="007F2501"/>
    <w:rsid w:val="007F2996"/>
    <w:rsid w:val="007F2A46"/>
    <w:rsid w:val="007F2A8A"/>
    <w:rsid w:val="007F360C"/>
    <w:rsid w:val="007F3EF3"/>
    <w:rsid w:val="007F46BE"/>
    <w:rsid w:val="007F562E"/>
    <w:rsid w:val="007F5D68"/>
    <w:rsid w:val="007F5D70"/>
    <w:rsid w:val="007F62E2"/>
    <w:rsid w:val="007F703D"/>
    <w:rsid w:val="007F7BD3"/>
    <w:rsid w:val="00800470"/>
    <w:rsid w:val="00800F8F"/>
    <w:rsid w:val="00801934"/>
    <w:rsid w:val="00801A84"/>
    <w:rsid w:val="00801C3D"/>
    <w:rsid w:val="008027A0"/>
    <w:rsid w:val="00802E62"/>
    <w:rsid w:val="00802EFA"/>
    <w:rsid w:val="00803D7E"/>
    <w:rsid w:val="00804464"/>
    <w:rsid w:val="008049D5"/>
    <w:rsid w:val="00804C90"/>
    <w:rsid w:val="00805332"/>
    <w:rsid w:val="0080553F"/>
    <w:rsid w:val="00805A14"/>
    <w:rsid w:val="00806AC0"/>
    <w:rsid w:val="00806DB2"/>
    <w:rsid w:val="00810BA0"/>
    <w:rsid w:val="00810BC1"/>
    <w:rsid w:val="00810EAF"/>
    <w:rsid w:val="008111B1"/>
    <w:rsid w:val="00811C1D"/>
    <w:rsid w:val="0081356A"/>
    <w:rsid w:val="008138FB"/>
    <w:rsid w:val="00813D1F"/>
    <w:rsid w:val="00813E2A"/>
    <w:rsid w:val="00814532"/>
    <w:rsid w:val="00815117"/>
    <w:rsid w:val="00816BD0"/>
    <w:rsid w:val="00816E6A"/>
    <w:rsid w:val="008173D5"/>
    <w:rsid w:val="00820605"/>
    <w:rsid w:val="00820D57"/>
    <w:rsid w:val="008219CB"/>
    <w:rsid w:val="00821D1F"/>
    <w:rsid w:val="00822FB6"/>
    <w:rsid w:val="00823BB6"/>
    <w:rsid w:val="00826385"/>
    <w:rsid w:val="00830083"/>
    <w:rsid w:val="00830410"/>
    <w:rsid w:val="00830D94"/>
    <w:rsid w:val="008324BC"/>
    <w:rsid w:val="0083297D"/>
    <w:rsid w:val="00833926"/>
    <w:rsid w:val="0083415E"/>
    <w:rsid w:val="00834D8E"/>
    <w:rsid w:val="00835031"/>
    <w:rsid w:val="008353D4"/>
    <w:rsid w:val="00835F3B"/>
    <w:rsid w:val="00836262"/>
    <w:rsid w:val="00836492"/>
    <w:rsid w:val="00837C55"/>
    <w:rsid w:val="0084110A"/>
    <w:rsid w:val="008417D4"/>
    <w:rsid w:val="00841BBB"/>
    <w:rsid w:val="008421A2"/>
    <w:rsid w:val="00843540"/>
    <w:rsid w:val="0084459E"/>
    <w:rsid w:val="008447FB"/>
    <w:rsid w:val="0084671C"/>
    <w:rsid w:val="00846CF7"/>
    <w:rsid w:val="00847781"/>
    <w:rsid w:val="00850BB5"/>
    <w:rsid w:val="00851063"/>
    <w:rsid w:val="00851347"/>
    <w:rsid w:val="008517E4"/>
    <w:rsid w:val="00851C9E"/>
    <w:rsid w:val="008534B6"/>
    <w:rsid w:val="00854442"/>
    <w:rsid w:val="0085618E"/>
    <w:rsid w:val="008564A1"/>
    <w:rsid w:val="00857053"/>
    <w:rsid w:val="0085706A"/>
    <w:rsid w:val="008570D3"/>
    <w:rsid w:val="00857828"/>
    <w:rsid w:val="00857974"/>
    <w:rsid w:val="00857991"/>
    <w:rsid w:val="00861141"/>
    <w:rsid w:val="008618BD"/>
    <w:rsid w:val="00861D10"/>
    <w:rsid w:val="00862857"/>
    <w:rsid w:val="00862FDA"/>
    <w:rsid w:val="00863EEF"/>
    <w:rsid w:val="00864962"/>
    <w:rsid w:val="0086536A"/>
    <w:rsid w:val="00866530"/>
    <w:rsid w:val="00872881"/>
    <w:rsid w:val="008728AB"/>
    <w:rsid w:val="00872EAE"/>
    <w:rsid w:val="00874A26"/>
    <w:rsid w:val="00874A7E"/>
    <w:rsid w:val="00874D6B"/>
    <w:rsid w:val="0087506B"/>
    <w:rsid w:val="0087614E"/>
    <w:rsid w:val="00876380"/>
    <w:rsid w:val="0087646C"/>
    <w:rsid w:val="008767CB"/>
    <w:rsid w:val="00877165"/>
    <w:rsid w:val="00877587"/>
    <w:rsid w:val="008778BD"/>
    <w:rsid w:val="008779A2"/>
    <w:rsid w:val="008801CF"/>
    <w:rsid w:val="0088081A"/>
    <w:rsid w:val="00881706"/>
    <w:rsid w:val="008820D7"/>
    <w:rsid w:val="008826CE"/>
    <w:rsid w:val="00882E9D"/>
    <w:rsid w:val="0088355B"/>
    <w:rsid w:val="00884098"/>
    <w:rsid w:val="00885686"/>
    <w:rsid w:val="0088591A"/>
    <w:rsid w:val="00886A47"/>
    <w:rsid w:val="00887231"/>
    <w:rsid w:val="00890CD0"/>
    <w:rsid w:val="008910FB"/>
    <w:rsid w:val="00892740"/>
    <w:rsid w:val="00892741"/>
    <w:rsid w:val="00892B66"/>
    <w:rsid w:val="00892CE5"/>
    <w:rsid w:val="00893E2D"/>
    <w:rsid w:val="0089436D"/>
    <w:rsid w:val="00894F07"/>
    <w:rsid w:val="00895082"/>
    <w:rsid w:val="00895176"/>
    <w:rsid w:val="008966A0"/>
    <w:rsid w:val="00897509"/>
    <w:rsid w:val="00897590"/>
    <w:rsid w:val="008977A6"/>
    <w:rsid w:val="008A039F"/>
    <w:rsid w:val="008A0BA0"/>
    <w:rsid w:val="008A1899"/>
    <w:rsid w:val="008A1966"/>
    <w:rsid w:val="008A1D8D"/>
    <w:rsid w:val="008A2C7C"/>
    <w:rsid w:val="008A2EE6"/>
    <w:rsid w:val="008A35B8"/>
    <w:rsid w:val="008A36E7"/>
    <w:rsid w:val="008A52EE"/>
    <w:rsid w:val="008A544C"/>
    <w:rsid w:val="008A65F6"/>
    <w:rsid w:val="008A7663"/>
    <w:rsid w:val="008B0171"/>
    <w:rsid w:val="008B02DF"/>
    <w:rsid w:val="008B056E"/>
    <w:rsid w:val="008B1573"/>
    <w:rsid w:val="008B22FB"/>
    <w:rsid w:val="008B2D57"/>
    <w:rsid w:val="008B3020"/>
    <w:rsid w:val="008B3092"/>
    <w:rsid w:val="008B37DA"/>
    <w:rsid w:val="008B3EE1"/>
    <w:rsid w:val="008B4239"/>
    <w:rsid w:val="008B429B"/>
    <w:rsid w:val="008B442C"/>
    <w:rsid w:val="008B44A8"/>
    <w:rsid w:val="008B5342"/>
    <w:rsid w:val="008B554D"/>
    <w:rsid w:val="008B5819"/>
    <w:rsid w:val="008B5863"/>
    <w:rsid w:val="008B599B"/>
    <w:rsid w:val="008B5D30"/>
    <w:rsid w:val="008B5E64"/>
    <w:rsid w:val="008B737D"/>
    <w:rsid w:val="008B7AD7"/>
    <w:rsid w:val="008C0452"/>
    <w:rsid w:val="008C0EFC"/>
    <w:rsid w:val="008C16C3"/>
    <w:rsid w:val="008C18EA"/>
    <w:rsid w:val="008C258F"/>
    <w:rsid w:val="008C2917"/>
    <w:rsid w:val="008C4923"/>
    <w:rsid w:val="008C53C7"/>
    <w:rsid w:val="008C544F"/>
    <w:rsid w:val="008C5F9E"/>
    <w:rsid w:val="008C7491"/>
    <w:rsid w:val="008C76D5"/>
    <w:rsid w:val="008C79A8"/>
    <w:rsid w:val="008C7F0B"/>
    <w:rsid w:val="008D0647"/>
    <w:rsid w:val="008D114F"/>
    <w:rsid w:val="008D1340"/>
    <w:rsid w:val="008D25AD"/>
    <w:rsid w:val="008D25B0"/>
    <w:rsid w:val="008D273B"/>
    <w:rsid w:val="008D279F"/>
    <w:rsid w:val="008D334B"/>
    <w:rsid w:val="008D37C3"/>
    <w:rsid w:val="008D4596"/>
    <w:rsid w:val="008D57F9"/>
    <w:rsid w:val="008D5931"/>
    <w:rsid w:val="008D5EF8"/>
    <w:rsid w:val="008D67DD"/>
    <w:rsid w:val="008D7624"/>
    <w:rsid w:val="008D78BC"/>
    <w:rsid w:val="008D7A6E"/>
    <w:rsid w:val="008E030F"/>
    <w:rsid w:val="008E056A"/>
    <w:rsid w:val="008E150C"/>
    <w:rsid w:val="008E1F4B"/>
    <w:rsid w:val="008E25E2"/>
    <w:rsid w:val="008E26BF"/>
    <w:rsid w:val="008E28C6"/>
    <w:rsid w:val="008E342B"/>
    <w:rsid w:val="008E40E0"/>
    <w:rsid w:val="008E42B9"/>
    <w:rsid w:val="008E488B"/>
    <w:rsid w:val="008E582C"/>
    <w:rsid w:val="008E6DDD"/>
    <w:rsid w:val="008F1734"/>
    <w:rsid w:val="008F2035"/>
    <w:rsid w:val="008F2FD5"/>
    <w:rsid w:val="008F362D"/>
    <w:rsid w:val="008F3895"/>
    <w:rsid w:val="008F47DD"/>
    <w:rsid w:val="008F4CC7"/>
    <w:rsid w:val="008F4CDC"/>
    <w:rsid w:val="008F503C"/>
    <w:rsid w:val="008F54B9"/>
    <w:rsid w:val="008F574B"/>
    <w:rsid w:val="008F5783"/>
    <w:rsid w:val="008F5867"/>
    <w:rsid w:val="008F5A95"/>
    <w:rsid w:val="008F5E17"/>
    <w:rsid w:val="008F6B20"/>
    <w:rsid w:val="008F7502"/>
    <w:rsid w:val="009038EF"/>
    <w:rsid w:val="00904A1C"/>
    <w:rsid w:val="00904CAA"/>
    <w:rsid w:val="00905516"/>
    <w:rsid w:val="00905DF6"/>
    <w:rsid w:val="009065F0"/>
    <w:rsid w:val="00906782"/>
    <w:rsid w:val="00907809"/>
    <w:rsid w:val="00907A73"/>
    <w:rsid w:val="00907C9F"/>
    <w:rsid w:val="00907EC7"/>
    <w:rsid w:val="00911109"/>
    <w:rsid w:val="009118FB"/>
    <w:rsid w:val="009126BD"/>
    <w:rsid w:val="009138B2"/>
    <w:rsid w:val="00913D99"/>
    <w:rsid w:val="009145AF"/>
    <w:rsid w:val="00914C00"/>
    <w:rsid w:val="00914C15"/>
    <w:rsid w:val="00915755"/>
    <w:rsid w:val="009162A7"/>
    <w:rsid w:val="0091690E"/>
    <w:rsid w:val="0092016D"/>
    <w:rsid w:val="00920633"/>
    <w:rsid w:val="00920C9C"/>
    <w:rsid w:val="00920F68"/>
    <w:rsid w:val="0092108A"/>
    <w:rsid w:val="009213F9"/>
    <w:rsid w:val="00921F11"/>
    <w:rsid w:val="00921F4F"/>
    <w:rsid w:val="009230D4"/>
    <w:rsid w:val="00924AB9"/>
    <w:rsid w:val="00924B3E"/>
    <w:rsid w:val="00924F2B"/>
    <w:rsid w:val="009262BE"/>
    <w:rsid w:val="009263AE"/>
    <w:rsid w:val="0092769F"/>
    <w:rsid w:val="009304C4"/>
    <w:rsid w:val="00930BB8"/>
    <w:rsid w:val="00931D37"/>
    <w:rsid w:val="0093275E"/>
    <w:rsid w:val="00932F6E"/>
    <w:rsid w:val="009339F4"/>
    <w:rsid w:val="009346AD"/>
    <w:rsid w:val="009347EC"/>
    <w:rsid w:val="00934B4B"/>
    <w:rsid w:val="00934F6C"/>
    <w:rsid w:val="0093551D"/>
    <w:rsid w:val="00936B1D"/>
    <w:rsid w:val="009372F2"/>
    <w:rsid w:val="009377D8"/>
    <w:rsid w:val="009378AB"/>
    <w:rsid w:val="00941003"/>
    <w:rsid w:val="009419F3"/>
    <w:rsid w:val="00941ACE"/>
    <w:rsid w:val="00942CBA"/>
    <w:rsid w:val="00943119"/>
    <w:rsid w:val="009431BC"/>
    <w:rsid w:val="009431C0"/>
    <w:rsid w:val="00943581"/>
    <w:rsid w:val="00943F71"/>
    <w:rsid w:val="00944EEF"/>
    <w:rsid w:val="00945C7B"/>
    <w:rsid w:val="00946C1C"/>
    <w:rsid w:val="00947189"/>
    <w:rsid w:val="009477CE"/>
    <w:rsid w:val="00947987"/>
    <w:rsid w:val="00950C0C"/>
    <w:rsid w:val="00950DF8"/>
    <w:rsid w:val="00950E1A"/>
    <w:rsid w:val="009514D2"/>
    <w:rsid w:val="009516F3"/>
    <w:rsid w:val="00952625"/>
    <w:rsid w:val="00952B07"/>
    <w:rsid w:val="00953051"/>
    <w:rsid w:val="0095359A"/>
    <w:rsid w:val="00953990"/>
    <w:rsid w:val="009542DB"/>
    <w:rsid w:val="00954971"/>
    <w:rsid w:val="00954AD1"/>
    <w:rsid w:val="00955A80"/>
    <w:rsid w:val="00955B0E"/>
    <w:rsid w:val="00955C39"/>
    <w:rsid w:val="009564C7"/>
    <w:rsid w:val="00956512"/>
    <w:rsid w:val="009578DB"/>
    <w:rsid w:val="00957ACB"/>
    <w:rsid w:val="00957E82"/>
    <w:rsid w:val="00960676"/>
    <w:rsid w:val="00960B1B"/>
    <w:rsid w:val="00960DAE"/>
    <w:rsid w:val="00961B27"/>
    <w:rsid w:val="00964594"/>
    <w:rsid w:val="00964895"/>
    <w:rsid w:val="00964AE3"/>
    <w:rsid w:val="00965772"/>
    <w:rsid w:val="00966D7E"/>
    <w:rsid w:val="00966DDD"/>
    <w:rsid w:val="00966E6B"/>
    <w:rsid w:val="009678BC"/>
    <w:rsid w:val="00967B9B"/>
    <w:rsid w:val="00967C0F"/>
    <w:rsid w:val="00971706"/>
    <w:rsid w:val="00971A4E"/>
    <w:rsid w:val="00972051"/>
    <w:rsid w:val="009731E5"/>
    <w:rsid w:val="00974B0D"/>
    <w:rsid w:val="00974F92"/>
    <w:rsid w:val="009756F3"/>
    <w:rsid w:val="0097606E"/>
    <w:rsid w:val="00976568"/>
    <w:rsid w:val="0097668A"/>
    <w:rsid w:val="00976E92"/>
    <w:rsid w:val="00977394"/>
    <w:rsid w:val="00977506"/>
    <w:rsid w:val="00980BA0"/>
    <w:rsid w:val="00980C0C"/>
    <w:rsid w:val="00981D50"/>
    <w:rsid w:val="00981D94"/>
    <w:rsid w:val="00981E17"/>
    <w:rsid w:val="0098200C"/>
    <w:rsid w:val="00983C0D"/>
    <w:rsid w:val="00984246"/>
    <w:rsid w:val="0098432D"/>
    <w:rsid w:val="00984D10"/>
    <w:rsid w:val="00985A54"/>
    <w:rsid w:val="00985D28"/>
    <w:rsid w:val="00985EC6"/>
    <w:rsid w:val="00990D13"/>
    <w:rsid w:val="00991781"/>
    <w:rsid w:val="00991C47"/>
    <w:rsid w:val="009922C8"/>
    <w:rsid w:val="00993502"/>
    <w:rsid w:val="00993748"/>
    <w:rsid w:val="009938D3"/>
    <w:rsid w:val="009946ED"/>
    <w:rsid w:val="00995DB0"/>
    <w:rsid w:val="00997205"/>
    <w:rsid w:val="009A0064"/>
    <w:rsid w:val="009A0279"/>
    <w:rsid w:val="009A029D"/>
    <w:rsid w:val="009A0A4D"/>
    <w:rsid w:val="009A0D25"/>
    <w:rsid w:val="009A116C"/>
    <w:rsid w:val="009A233C"/>
    <w:rsid w:val="009A27A4"/>
    <w:rsid w:val="009A2A67"/>
    <w:rsid w:val="009A2D97"/>
    <w:rsid w:val="009A3237"/>
    <w:rsid w:val="009A3547"/>
    <w:rsid w:val="009A45C0"/>
    <w:rsid w:val="009A4984"/>
    <w:rsid w:val="009A4ACF"/>
    <w:rsid w:val="009A556F"/>
    <w:rsid w:val="009A5AA9"/>
    <w:rsid w:val="009A64A8"/>
    <w:rsid w:val="009A7CF9"/>
    <w:rsid w:val="009B0BDD"/>
    <w:rsid w:val="009B0C25"/>
    <w:rsid w:val="009B170A"/>
    <w:rsid w:val="009B1F18"/>
    <w:rsid w:val="009B201D"/>
    <w:rsid w:val="009B3C68"/>
    <w:rsid w:val="009B4F00"/>
    <w:rsid w:val="009B5D65"/>
    <w:rsid w:val="009B5E96"/>
    <w:rsid w:val="009B5F51"/>
    <w:rsid w:val="009B60A1"/>
    <w:rsid w:val="009B64C0"/>
    <w:rsid w:val="009B6B1C"/>
    <w:rsid w:val="009B6FD6"/>
    <w:rsid w:val="009B7156"/>
    <w:rsid w:val="009C10A0"/>
    <w:rsid w:val="009C2FE2"/>
    <w:rsid w:val="009C3870"/>
    <w:rsid w:val="009C3A2D"/>
    <w:rsid w:val="009C3BDC"/>
    <w:rsid w:val="009C3D5D"/>
    <w:rsid w:val="009C405D"/>
    <w:rsid w:val="009C616C"/>
    <w:rsid w:val="009C6520"/>
    <w:rsid w:val="009C6A75"/>
    <w:rsid w:val="009C6C4C"/>
    <w:rsid w:val="009C6EEA"/>
    <w:rsid w:val="009C7124"/>
    <w:rsid w:val="009C7331"/>
    <w:rsid w:val="009C74C1"/>
    <w:rsid w:val="009D09B0"/>
    <w:rsid w:val="009D0B35"/>
    <w:rsid w:val="009D12A4"/>
    <w:rsid w:val="009D14A2"/>
    <w:rsid w:val="009D2776"/>
    <w:rsid w:val="009D2935"/>
    <w:rsid w:val="009D3042"/>
    <w:rsid w:val="009D3922"/>
    <w:rsid w:val="009D3E05"/>
    <w:rsid w:val="009D40F8"/>
    <w:rsid w:val="009D4556"/>
    <w:rsid w:val="009D5FE9"/>
    <w:rsid w:val="009D6F3F"/>
    <w:rsid w:val="009D7B34"/>
    <w:rsid w:val="009E0805"/>
    <w:rsid w:val="009E10A2"/>
    <w:rsid w:val="009E1560"/>
    <w:rsid w:val="009E1625"/>
    <w:rsid w:val="009E2F8F"/>
    <w:rsid w:val="009E3296"/>
    <w:rsid w:val="009E38BE"/>
    <w:rsid w:val="009E3A96"/>
    <w:rsid w:val="009E4F04"/>
    <w:rsid w:val="009E61AA"/>
    <w:rsid w:val="009E6F73"/>
    <w:rsid w:val="009E7125"/>
    <w:rsid w:val="009E7459"/>
    <w:rsid w:val="009E7800"/>
    <w:rsid w:val="009E7C22"/>
    <w:rsid w:val="009E7C64"/>
    <w:rsid w:val="009E7EB4"/>
    <w:rsid w:val="009F0083"/>
    <w:rsid w:val="009F11A5"/>
    <w:rsid w:val="009F29B6"/>
    <w:rsid w:val="009F2F06"/>
    <w:rsid w:val="009F31CD"/>
    <w:rsid w:val="009F32C4"/>
    <w:rsid w:val="009F382A"/>
    <w:rsid w:val="009F3CA2"/>
    <w:rsid w:val="009F4468"/>
    <w:rsid w:val="009F4669"/>
    <w:rsid w:val="009F478A"/>
    <w:rsid w:val="009F4FC8"/>
    <w:rsid w:val="009F5499"/>
    <w:rsid w:val="009F5708"/>
    <w:rsid w:val="009F581E"/>
    <w:rsid w:val="009F5E16"/>
    <w:rsid w:val="009F66DD"/>
    <w:rsid w:val="00A00E1F"/>
    <w:rsid w:val="00A00E9A"/>
    <w:rsid w:val="00A01155"/>
    <w:rsid w:val="00A03999"/>
    <w:rsid w:val="00A04275"/>
    <w:rsid w:val="00A048D9"/>
    <w:rsid w:val="00A05103"/>
    <w:rsid w:val="00A05298"/>
    <w:rsid w:val="00A053C0"/>
    <w:rsid w:val="00A070C4"/>
    <w:rsid w:val="00A10B03"/>
    <w:rsid w:val="00A10E7F"/>
    <w:rsid w:val="00A11304"/>
    <w:rsid w:val="00A13326"/>
    <w:rsid w:val="00A14103"/>
    <w:rsid w:val="00A14F85"/>
    <w:rsid w:val="00A15CC3"/>
    <w:rsid w:val="00A166A0"/>
    <w:rsid w:val="00A16AAF"/>
    <w:rsid w:val="00A16C66"/>
    <w:rsid w:val="00A17FC8"/>
    <w:rsid w:val="00A20298"/>
    <w:rsid w:val="00A21A26"/>
    <w:rsid w:val="00A21D24"/>
    <w:rsid w:val="00A21EC9"/>
    <w:rsid w:val="00A220B1"/>
    <w:rsid w:val="00A225FD"/>
    <w:rsid w:val="00A24434"/>
    <w:rsid w:val="00A244ED"/>
    <w:rsid w:val="00A24587"/>
    <w:rsid w:val="00A24BD2"/>
    <w:rsid w:val="00A24C21"/>
    <w:rsid w:val="00A24D6D"/>
    <w:rsid w:val="00A25721"/>
    <w:rsid w:val="00A259F9"/>
    <w:rsid w:val="00A25EF4"/>
    <w:rsid w:val="00A26233"/>
    <w:rsid w:val="00A26A78"/>
    <w:rsid w:val="00A30665"/>
    <w:rsid w:val="00A30881"/>
    <w:rsid w:val="00A31375"/>
    <w:rsid w:val="00A3152F"/>
    <w:rsid w:val="00A3166C"/>
    <w:rsid w:val="00A31C18"/>
    <w:rsid w:val="00A32329"/>
    <w:rsid w:val="00A3232A"/>
    <w:rsid w:val="00A32AD2"/>
    <w:rsid w:val="00A32F1F"/>
    <w:rsid w:val="00A3342F"/>
    <w:rsid w:val="00A33A72"/>
    <w:rsid w:val="00A33FC9"/>
    <w:rsid w:val="00A34513"/>
    <w:rsid w:val="00A35E99"/>
    <w:rsid w:val="00A36523"/>
    <w:rsid w:val="00A36580"/>
    <w:rsid w:val="00A37018"/>
    <w:rsid w:val="00A37EB9"/>
    <w:rsid w:val="00A406E7"/>
    <w:rsid w:val="00A40C13"/>
    <w:rsid w:val="00A4153B"/>
    <w:rsid w:val="00A419A7"/>
    <w:rsid w:val="00A4293B"/>
    <w:rsid w:val="00A436AF"/>
    <w:rsid w:val="00A443D3"/>
    <w:rsid w:val="00A446FA"/>
    <w:rsid w:val="00A4479A"/>
    <w:rsid w:val="00A50B39"/>
    <w:rsid w:val="00A50D7D"/>
    <w:rsid w:val="00A51420"/>
    <w:rsid w:val="00A51B33"/>
    <w:rsid w:val="00A547F0"/>
    <w:rsid w:val="00A5605A"/>
    <w:rsid w:val="00A56C2F"/>
    <w:rsid w:val="00A571BB"/>
    <w:rsid w:val="00A579EC"/>
    <w:rsid w:val="00A57B3E"/>
    <w:rsid w:val="00A57C3D"/>
    <w:rsid w:val="00A57EB9"/>
    <w:rsid w:val="00A611A4"/>
    <w:rsid w:val="00A61BE3"/>
    <w:rsid w:val="00A6271E"/>
    <w:rsid w:val="00A62AEF"/>
    <w:rsid w:val="00A62D81"/>
    <w:rsid w:val="00A64279"/>
    <w:rsid w:val="00A64E91"/>
    <w:rsid w:val="00A65BE6"/>
    <w:rsid w:val="00A65C5D"/>
    <w:rsid w:val="00A65D4A"/>
    <w:rsid w:val="00A6664D"/>
    <w:rsid w:val="00A6776B"/>
    <w:rsid w:val="00A70B22"/>
    <w:rsid w:val="00A70CB1"/>
    <w:rsid w:val="00A712AC"/>
    <w:rsid w:val="00A71649"/>
    <w:rsid w:val="00A71988"/>
    <w:rsid w:val="00A71DFE"/>
    <w:rsid w:val="00A71E74"/>
    <w:rsid w:val="00A72028"/>
    <w:rsid w:val="00A72243"/>
    <w:rsid w:val="00A723EC"/>
    <w:rsid w:val="00A7292E"/>
    <w:rsid w:val="00A73891"/>
    <w:rsid w:val="00A74152"/>
    <w:rsid w:val="00A7457C"/>
    <w:rsid w:val="00A7476B"/>
    <w:rsid w:val="00A74EB6"/>
    <w:rsid w:val="00A7522B"/>
    <w:rsid w:val="00A75838"/>
    <w:rsid w:val="00A75EA6"/>
    <w:rsid w:val="00A76139"/>
    <w:rsid w:val="00A77506"/>
    <w:rsid w:val="00A80388"/>
    <w:rsid w:val="00A8209B"/>
    <w:rsid w:val="00A82957"/>
    <w:rsid w:val="00A8567E"/>
    <w:rsid w:val="00A85CB5"/>
    <w:rsid w:val="00A861AB"/>
    <w:rsid w:val="00A86515"/>
    <w:rsid w:val="00A87A86"/>
    <w:rsid w:val="00A87B24"/>
    <w:rsid w:val="00A90170"/>
    <w:rsid w:val="00A90934"/>
    <w:rsid w:val="00A90B18"/>
    <w:rsid w:val="00A90C58"/>
    <w:rsid w:val="00A914F6"/>
    <w:rsid w:val="00A91B18"/>
    <w:rsid w:val="00A91CDC"/>
    <w:rsid w:val="00A92675"/>
    <w:rsid w:val="00A926D2"/>
    <w:rsid w:val="00A9363C"/>
    <w:rsid w:val="00A93A7C"/>
    <w:rsid w:val="00A93FC3"/>
    <w:rsid w:val="00A94326"/>
    <w:rsid w:val="00A943E4"/>
    <w:rsid w:val="00A9574F"/>
    <w:rsid w:val="00A9590E"/>
    <w:rsid w:val="00A9616A"/>
    <w:rsid w:val="00A96373"/>
    <w:rsid w:val="00A9711F"/>
    <w:rsid w:val="00A9713F"/>
    <w:rsid w:val="00A972D6"/>
    <w:rsid w:val="00A976E5"/>
    <w:rsid w:val="00A979A0"/>
    <w:rsid w:val="00A979B1"/>
    <w:rsid w:val="00AA0C16"/>
    <w:rsid w:val="00AA0E0E"/>
    <w:rsid w:val="00AA1812"/>
    <w:rsid w:val="00AA5865"/>
    <w:rsid w:val="00AA5E2F"/>
    <w:rsid w:val="00AA5F39"/>
    <w:rsid w:val="00AA6A68"/>
    <w:rsid w:val="00AB0496"/>
    <w:rsid w:val="00AB1732"/>
    <w:rsid w:val="00AB21B8"/>
    <w:rsid w:val="00AB22A9"/>
    <w:rsid w:val="00AB27A5"/>
    <w:rsid w:val="00AB29E4"/>
    <w:rsid w:val="00AB2AF2"/>
    <w:rsid w:val="00AB3083"/>
    <w:rsid w:val="00AB31A5"/>
    <w:rsid w:val="00AB3484"/>
    <w:rsid w:val="00AB3614"/>
    <w:rsid w:val="00AB3650"/>
    <w:rsid w:val="00AB44BA"/>
    <w:rsid w:val="00AB45FB"/>
    <w:rsid w:val="00AB4978"/>
    <w:rsid w:val="00AB616E"/>
    <w:rsid w:val="00AB63FC"/>
    <w:rsid w:val="00AB652B"/>
    <w:rsid w:val="00AB75E1"/>
    <w:rsid w:val="00AB76D1"/>
    <w:rsid w:val="00AC0632"/>
    <w:rsid w:val="00AC0991"/>
    <w:rsid w:val="00AC0EFF"/>
    <w:rsid w:val="00AC35B0"/>
    <w:rsid w:val="00AC3E9F"/>
    <w:rsid w:val="00AC4738"/>
    <w:rsid w:val="00AC4D32"/>
    <w:rsid w:val="00AC5326"/>
    <w:rsid w:val="00AC6AD4"/>
    <w:rsid w:val="00AC701F"/>
    <w:rsid w:val="00AC70B3"/>
    <w:rsid w:val="00AC7480"/>
    <w:rsid w:val="00AC79A3"/>
    <w:rsid w:val="00AD0BE8"/>
    <w:rsid w:val="00AD0D8F"/>
    <w:rsid w:val="00AD1156"/>
    <w:rsid w:val="00AD28C3"/>
    <w:rsid w:val="00AD38ED"/>
    <w:rsid w:val="00AD3B44"/>
    <w:rsid w:val="00AD3D76"/>
    <w:rsid w:val="00AD3DAC"/>
    <w:rsid w:val="00AD3F61"/>
    <w:rsid w:val="00AD41E6"/>
    <w:rsid w:val="00AD44B8"/>
    <w:rsid w:val="00AD5161"/>
    <w:rsid w:val="00AD6523"/>
    <w:rsid w:val="00AD6C53"/>
    <w:rsid w:val="00AD7174"/>
    <w:rsid w:val="00AD7E71"/>
    <w:rsid w:val="00AE061C"/>
    <w:rsid w:val="00AE0FB5"/>
    <w:rsid w:val="00AE18CC"/>
    <w:rsid w:val="00AE25CB"/>
    <w:rsid w:val="00AE2A22"/>
    <w:rsid w:val="00AE2AE2"/>
    <w:rsid w:val="00AE4428"/>
    <w:rsid w:val="00AE45ED"/>
    <w:rsid w:val="00AE4AAE"/>
    <w:rsid w:val="00AE4E90"/>
    <w:rsid w:val="00AE659A"/>
    <w:rsid w:val="00AE6DFE"/>
    <w:rsid w:val="00AE74F3"/>
    <w:rsid w:val="00AE75D8"/>
    <w:rsid w:val="00AE7CB4"/>
    <w:rsid w:val="00AF0C8E"/>
    <w:rsid w:val="00AF16E8"/>
    <w:rsid w:val="00AF1871"/>
    <w:rsid w:val="00AF19A2"/>
    <w:rsid w:val="00AF1B2F"/>
    <w:rsid w:val="00AF22CA"/>
    <w:rsid w:val="00AF24B3"/>
    <w:rsid w:val="00AF27AC"/>
    <w:rsid w:val="00AF3807"/>
    <w:rsid w:val="00AF397E"/>
    <w:rsid w:val="00AF4042"/>
    <w:rsid w:val="00AF41FA"/>
    <w:rsid w:val="00AF4FF2"/>
    <w:rsid w:val="00AF50C7"/>
    <w:rsid w:val="00AF5147"/>
    <w:rsid w:val="00AF763C"/>
    <w:rsid w:val="00AF7661"/>
    <w:rsid w:val="00AF7947"/>
    <w:rsid w:val="00AF7C3B"/>
    <w:rsid w:val="00AF7CF1"/>
    <w:rsid w:val="00B00A8B"/>
    <w:rsid w:val="00B00C21"/>
    <w:rsid w:val="00B01C41"/>
    <w:rsid w:val="00B02453"/>
    <w:rsid w:val="00B03B87"/>
    <w:rsid w:val="00B0432C"/>
    <w:rsid w:val="00B05359"/>
    <w:rsid w:val="00B0559F"/>
    <w:rsid w:val="00B05E40"/>
    <w:rsid w:val="00B06440"/>
    <w:rsid w:val="00B10350"/>
    <w:rsid w:val="00B10C79"/>
    <w:rsid w:val="00B11287"/>
    <w:rsid w:val="00B12856"/>
    <w:rsid w:val="00B12B7B"/>
    <w:rsid w:val="00B13C90"/>
    <w:rsid w:val="00B142C7"/>
    <w:rsid w:val="00B14FC6"/>
    <w:rsid w:val="00B15798"/>
    <w:rsid w:val="00B1597B"/>
    <w:rsid w:val="00B15CC0"/>
    <w:rsid w:val="00B16B54"/>
    <w:rsid w:val="00B213BC"/>
    <w:rsid w:val="00B215EB"/>
    <w:rsid w:val="00B21EDB"/>
    <w:rsid w:val="00B2313C"/>
    <w:rsid w:val="00B2354F"/>
    <w:rsid w:val="00B238FE"/>
    <w:rsid w:val="00B2422A"/>
    <w:rsid w:val="00B244AE"/>
    <w:rsid w:val="00B25B5E"/>
    <w:rsid w:val="00B261A7"/>
    <w:rsid w:val="00B26900"/>
    <w:rsid w:val="00B27392"/>
    <w:rsid w:val="00B3114B"/>
    <w:rsid w:val="00B31165"/>
    <w:rsid w:val="00B311A3"/>
    <w:rsid w:val="00B3182C"/>
    <w:rsid w:val="00B32FFB"/>
    <w:rsid w:val="00B34706"/>
    <w:rsid w:val="00B34967"/>
    <w:rsid w:val="00B34A88"/>
    <w:rsid w:val="00B35542"/>
    <w:rsid w:val="00B35A5C"/>
    <w:rsid w:val="00B36A0B"/>
    <w:rsid w:val="00B408D7"/>
    <w:rsid w:val="00B41391"/>
    <w:rsid w:val="00B41B91"/>
    <w:rsid w:val="00B4216E"/>
    <w:rsid w:val="00B424B8"/>
    <w:rsid w:val="00B43087"/>
    <w:rsid w:val="00B44110"/>
    <w:rsid w:val="00B44BA6"/>
    <w:rsid w:val="00B45149"/>
    <w:rsid w:val="00B462BE"/>
    <w:rsid w:val="00B46538"/>
    <w:rsid w:val="00B465E5"/>
    <w:rsid w:val="00B508C6"/>
    <w:rsid w:val="00B53021"/>
    <w:rsid w:val="00B5337B"/>
    <w:rsid w:val="00B53737"/>
    <w:rsid w:val="00B53AED"/>
    <w:rsid w:val="00B53B6B"/>
    <w:rsid w:val="00B54CDE"/>
    <w:rsid w:val="00B56325"/>
    <w:rsid w:val="00B5669E"/>
    <w:rsid w:val="00B57500"/>
    <w:rsid w:val="00B60171"/>
    <w:rsid w:val="00B61BE0"/>
    <w:rsid w:val="00B61E4D"/>
    <w:rsid w:val="00B6202F"/>
    <w:rsid w:val="00B62349"/>
    <w:rsid w:val="00B63687"/>
    <w:rsid w:val="00B63ACA"/>
    <w:rsid w:val="00B63AD2"/>
    <w:rsid w:val="00B63EBC"/>
    <w:rsid w:val="00B63F86"/>
    <w:rsid w:val="00B64976"/>
    <w:rsid w:val="00B651FC"/>
    <w:rsid w:val="00B65D5E"/>
    <w:rsid w:val="00B664B9"/>
    <w:rsid w:val="00B678CB"/>
    <w:rsid w:val="00B67C2E"/>
    <w:rsid w:val="00B70875"/>
    <w:rsid w:val="00B7178E"/>
    <w:rsid w:val="00B74A97"/>
    <w:rsid w:val="00B758B1"/>
    <w:rsid w:val="00B75E6C"/>
    <w:rsid w:val="00B7667E"/>
    <w:rsid w:val="00B77D90"/>
    <w:rsid w:val="00B80117"/>
    <w:rsid w:val="00B804C9"/>
    <w:rsid w:val="00B81549"/>
    <w:rsid w:val="00B81567"/>
    <w:rsid w:val="00B81779"/>
    <w:rsid w:val="00B81E4F"/>
    <w:rsid w:val="00B82964"/>
    <w:rsid w:val="00B834A2"/>
    <w:rsid w:val="00B834DE"/>
    <w:rsid w:val="00B836CA"/>
    <w:rsid w:val="00B83E38"/>
    <w:rsid w:val="00B84047"/>
    <w:rsid w:val="00B84F1A"/>
    <w:rsid w:val="00B85550"/>
    <w:rsid w:val="00B85586"/>
    <w:rsid w:val="00B861BB"/>
    <w:rsid w:val="00B86BFA"/>
    <w:rsid w:val="00B87141"/>
    <w:rsid w:val="00B87D85"/>
    <w:rsid w:val="00B87DAB"/>
    <w:rsid w:val="00B9012E"/>
    <w:rsid w:val="00B90BF3"/>
    <w:rsid w:val="00B90C65"/>
    <w:rsid w:val="00B9261F"/>
    <w:rsid w:val="00B92719"/>
    <w:rsid w:val="00B94BA8"/>
    <w:rsid w:val="00B9521A"/>
    <w:rsid w:val="00B95DDE"/>
    <w:rsid w:val="00B96935"/>
    <w:rsid w:val="00B97B87"/>
    <w:rsid w:val="00B97CA8"/>
    <w:rsid w:val="00B97D19"/>
    <w:rsid w:val="00BA03C6"/>
    <w:rsid w:val="00BA05F9"/>
    <w:rsid w:val="00BA12DD"/>
    <w:rsid w:val="00BA143B"/>
    <w:rsid w:val="00BA1ACC"/>
    <w:rsid w:val="00BA20DF"/>
    <w:rsid w:val="00BA253B"/>
    <w:rsid w:val="00BA2959"/>
    <w:rsid w:val="00BA56D8"/>
    <w:rsid w:val="00BA59AC"/>
    <w:rsid w:val="00BA649A"/>
    <w:rsid w:val="00BA6588"/>
    <w:rsid w:val="00BA6BDA"/>
    <w:rsid w:val="00BA7EED"/>
    <w:rsid w:val="00BB0309"/>
    <w:rsid w:val="00BB1492"/>
    <w:rsid w:val="00BB17F5"/>
    <w:rsid w:val="00BB1CE7"/>
    <w:rsid w:val="00BB332F"/>
    <w:rsid w:val="00BB34B5"/>
    <w:rsid w:val="00BB3667"/>
    <w:rsid w:val="00BB5456"/>
    <w:rsid w:val="00BB5E00"/>
    <w:rsid w:val="00BB7B89"/>
    <w:rsid w:val="00BC05DF"/>
    <w:rsid w:val="00BC0764"/>
    <w:rsid w:val="00BC07FA"/>
    <w:rsid w:val="00BC1371"/>
    <w:rsid w:val="00BC2A7D"/>
    <w:rsid w:val="00BC2BB4"/>
    <w:rsid w:val="00BC2FB5"/>
    <w:rsid w:val="00BC41C8"/>
    <w:rsid w:val="00BC52D2"/>
    <w:rsid w:val="00BC53C4"/>
    <w:rsid w:val="00BC5B01"/>
    <w:rsid w:val="00BC5F22"/>
    <w:rsid w:val="00BC6D39"/>
    <w:rsid w:val="00BC72A7"/>
    <w:rsid w:val="00BC7460"/>
    <w:rsid w:val="00BC7461"/>
    <w:rsid w:val="00BD17FA"/>
    <w:rsid w:val="00BD1C35"/>
    <w:rsid w:val="00BD2484"/>
    <w:rsid w:val="00BD390E"/>
    <w:rsid w:val="00BD41C0"/>
    <w:rsid w:val="00BD4B57"/>
    <w:rsid w:val="00BD6C9C"/>
    <w:rsid w:val="00BE073C"/>
    <w:rsid w:val="00BE07B0"/>
    <w:rsid w:val="00BE0B51"/>
    <w:rsid w:val="00BE0F0E"/>
    <w:rsid w:val="00BE16BC"/>
    <w:rsid w:val="00BE24A8"/>
    <w:rsid w:val="00BE2AB9"/>
    <w:rsid w:val="00BE4E45"/>
    <w:rsid w:val="00BE5257"/>
    <w:rsid w:val="00BE5A48"/>
    <w:rsid w:val="00BE7395"/>
    <w:rsid w:val="00BE745F"/>
    <w:rsid w:val="00BE7A11"/>
    <w:rsid w:val="00BE7CC3"/>
    <w:rsid w:val="00BF0E8F"/>
    <w:rsid w:val="00BF11B4"/>
    <w:rsid w:val="00BF16EB"/>
    <w:rsid w:val="00BF2DE3"/>
    <w:rsid w:val="00BF2DEF"/>
    <w:rsid w:val="00BF3E86"/>
    <w:rsid w:val="00BF40BD"/>
    <w:rsid w:val="00BF5344"/>
    <w:rsid w:val="00BF590E"/>
    <w:rsid w:val="00BF5CFE"/>
    <w:rsid w:val="00BF61CD"/>
    <w:rsid w:val="00BF6CCF"/>
    <w:rsid w:val="00BF6F5F"/>
    <w:rsid w:val="00BF723D"/>
    <w:rsid w:val="00C0004F"/>
    <w:rsid w:val="00C00487"/>
    <w:rsid w:val="00C00991"/>
    <w:rsid w:val="00C01121"/>
    <w:rsid w:val="00C012EC"/>
    <w:rsid w:val="00C0182D"/>
    <w:rsid w:val="00C02822"/>
    <w:rsid w:val="00C029A6"/>
    <w:rsid w:val="00C06E87"/>
    <w:rsid w:val="00C07756"/>
    <w:rsid w:val="00C07CB7"/>
    <w:rsid w:val="00C07D66"/>
    <w:rsid w:val="00C07F5D"/>
    <w:rsid w:val="00C1030C"/>
    <w:rsid w:val="00C10763"/>
    <w:rsid w:val="00C1093E"/>
    <w:rsid w:val="00C11272"/>
    <w:rsid w:val="00C11283"/>
    <w:rsid w:val="00C115F0"/>
    <w:rsid w:val="00C120FF"/>
    <w:rsid w:val="00C13F9F"/>
    <w:rsid w:val="00C141A0"/>
    <w:rsid w:val="00C143D5"/>
    <w:rsid w:val="00C154EE"/>
    <w:rsid w:val="00C15D0E"/>
    <w:rsid w:val="00C15E86"/>
    <w:rsid w:val="00C16833"/>
    <w:rsid w:val="00C179B4"/>
    <w:rsid w:val="00C17FBD"/>
    <w:rsid w:val="00C20415"/>
    <w:rsid w:val="00C20506"/>
    <w:rsid w:val="00C2056D"/>
    <w:rsid w:val="00C212C6"/>
    <w:rsid w:val="00C21840"/>
    <w:rsid w:val="00C227DB"/>
    <w:rsid w:val="00C2331A"/>
    <w:rsid w:val="00C2494D"/>
    <w:rsid w:val="00C25F52"/>
    <w:rsid w:val="00C26D0F"/>
    <w:rsid w:val="00C26D30"/>
    <w:rsid w:val="00C27410"/>
    <w:rsid w:val="00C27F07"/>
    <w:rsid w:val="00C30130"/>
    <w:rsid w:val="00C318A4"/>
    <w:rsid w:val="00C34556"/>
    <w:rsid w:val="00C34AF9"/>
    <w:rsid w:val="00C34F33"/>
    <w:rsid w:val="00C35B7A"/>
    <w:rsid w:val="00C3669F"/>
    <w:rsid w:val="00C36BC2"/>
    <w:rsid w:val="00C3744A"/>
    <w:rsid w:val="00C37482"/>
    <w:rsid w:val="00C378AA"/>
    <w:rsid w:val="00C379FA"/>
    <w:rsid w:val="00C4026C"/>
    <w:rsid w:val="00C405FF"/>
    <w:rsid w:val="00C40C0A"/>
    <w:rsid w:val="00C41028"/>
    <w:rsid w:val="00C41207"/>
    <w:rsid w:val="00C42A82"/>
    <w:rsid w:val="00C42D92"/>
    <w:rsid w:val="00C439C1"/>
    <w:rsid w:val="00C444EC"/>
    <w:rsid w:val="00C446DD"/>
    <w:rsid w:val="00C44C7B"/>
    <w:rsid w:val="00C45B62"/>
    <w:rsid w:val="00C45D8A"/>
    <w:rsid w:val="00C45DAF"/>
    <w:rsid w:val="00C46257"/>
    <w:rsid w:val="00C479F4"/>
    <w:rsid w:val="00C47E46"/>
    <w:rsid w:val="00C508C8"/>
    <w:rsid w:val="00C50B04"/>
    <w:rsid w:val="00C50BBB"/>
    <w:rsid w:val="00C50CDB"/>
    <w:rsid w:val="00C52EA4"/>
    <w:rsid w:val="00C555FB"/>
    <w:rsid w:val="00C556A7"/>
    <w:rsid w:val="00C57A62"/>
    <w:rsid w:val="00C57E83"/>
    <w:rsid w:val="00C60018"/>
    <w:rsid w:val="00C600B5"/>
    <w:rsid w:val="00C61543"/>
    <w:rsid w:val="00C62C9C"/>
    <w:rsid w:val="00C62E5A"/>
    <w:rsid w:val="00C62F4E"/>
    <w:rsid w:val="00C62F56"/>
    <w:rsid w:val="00C6449D"/>
    <w:rsid w:val="00C64832"/>
    <w:rsid w:val="00C64AD3"/>
    <w:rsid w:val="00C665B6"/>
    <w:rsid w:val="00C66FC4"/>
    <w:rsid w:val="00C6700A"/>
    <w:rsid w:val="00C70606"/>
    <w:rsid w:val="00C71AB1"/>
    <w:rsid w:val="00C72FB9"/>
    <w:rsid w:val="00C7380E"/>
    <w:rsid w:val="00C73F14"/>
    <w:rsid w:val="00C75089"/>
    <w:rsid w:val="00C75156"/>
    <w:rsid w:val="00C7527A"/>
    <w:rsid w:val="00C7531E"/>
    <w:rsid w:val="00C76111"/>
    <w:rsid w:val="00C771A3"/>
    <w:rsid w:val="00C773C6"/>
    <w:rsid w:val="00C77780"/>
    <w:rsid w:val="00C77781"/>
    <w:rsid w:val="00C77C40"/>
    <w:rsid w:val="00C80491"/>
    <w:rsid w:val="00C80EFE"/>
    <w:rsid w:val="00C81C76"/>
    <w:rsid w:val="00C81E4A"/>
    <w:rsid w:val="00C82364"/>
    <w:rsid w:val="00C826E3"/>
    <w:rsid w:val="00C827F4"/>
    <w:rsid w:val="00C836CC"/>
    <w:rsid w:val="00C842F2"/>
    <w:rsid w:val="00C8499A"/>
    <w:rsid w:val="00C84C06"/>
    <w:rsid w:val="00C87821"/>
    <w:rsid w:val="00C8790B"/>
    <w:rsid w:val="00C87CF1"/>
    <w:rsid w:val="00C915F4"/>
    <w:rsid w:val="00C91826"/>
    <w:rsid w:val="00C94251"/>
    <w:rsid w:val="00C95E28"/>
    <w:rsid w:val="00C96839"/>
    <w:rsid w:val="00CA003D"/>
    <w:rsid w:val="00CA05E9"/>
    <w:rsid w:val="00CA1065"/>
    <w:rsid w:val="00CA1752"/>
    <w:rsid w:val="00CA25CA"/>
    <w:rsid w:val="00CA26BB"/>
    <w:rsid w:val="00CA3403"/>
    <w:rsid w:val="00CA391F"/>
    <w:rsid w:val="00CA52CD"/>
    <w:rsid w:val="00CA5DC7"/>
    <w:rsid w:val="00CA601E"/>
    <w:rsid w:val="00CA67DE"/>
    <w:rsid w:val="00CA7627"/>
    <w:rsid w:val="00CB06C6"/>
    <w:rsid w:val="00CB086A"/>
    <w:rsid w:val="00CB12A1"/>
    <w:rsid w:val="00CB1365"/>
    <w:rsid w:val="00CB1405"/>
    <w:rsid w:val="00CB2B8B"/>
    <w:rsid w:val="00CB2EB9"/>
    <w:rsid w:val="00CB3222"/>
    <w:rsid w:val="00CB3D78"/>
    <w:rsid w:val="00CB45FB"/>
    <w:rsid w:val="00CB5218"/>
    <w:rsid w:val="00CB5D65"/>
    <w:rsid w:val="00CB5EEB"/>
    <w:rsid w:val="00CB6772"/>
    <w:rsid w:val="00CC08DD"/>
    <w:rsid w:val="00CC09A3"/>
    <w:rsid w:val="00CC0A5A"/>
    <w:rsid w:val="00CC131F"/>
    <w:rsid w:val="00CC15B8"/>
    <w:rsid w:val="00CC1728"/>
    <w:rsid w:val="00CC1D01"/>
    <w:rsid w:val="00CC32B4"/>
    <w:rsid w:val="00CC340C"/>
    <w:rsid w:val="00CC39D8"/>
    <w:rsid w:val="00CC3D1D"/>
    <w:rsid w:val="00CC41F1"/>
    <w:rsid w:val="00CC56EE"/>
    <w:rsid w:val="00CC5C58"/>
    <w:rsid w:val="00CC67BA"/>
    <w:rsid w:val="00CC7219"/>
    <w:rsid w:val="00CC7490"/>
    <w:rsid w:val="00CC762B"/>
    <w:rsid w:val="00CC7729"/>
    <w:rsid w:val="00CD02DC"/>
    <w:rsid w:val="00CD1881"/>
    <w:rsid w:val="00CD1B00"/>
    <w:rsid w:val="00CD31B9"/>
    <w:rsid w:val="00CD3589"/>
    <w:rsid w:val="00CD3B3E"/>
    <w:rsid w:val="00CD3D8D"/>
    <w:rsid w:val="00CD43B0"/>
    <w:rsid w:val="00CD5B31"/>
    <w:rsid w:val="00CD5D80"/>
    <w:rsid w:val="00CD5E7E"/>
    <w:rsid w:val="00CD6856"/>
    <w:rsid w:val="00CD6E54"/>
    <w:rsid w:val="00CD795E"/>
    <w:rsid w:val="00CD7E5A"/>
    <w:rsid w:val="00CE0076"/>
    <w:rsid w:val="00CE1483"/>
    <w:rsid w:val="00CE1882"/>
    <w:rsid w:val="00CE1BBD"/>
    <w:rsid w:val="00CE218A"/>
    <w:rsid w:val="00CE2E78"/>
    <w:rsid w:val="00CE2EB6"/>
    <w:rsid w:val="00CE310B"/>
    <w:rsid w:val="00CE344B"/>
    <w:rsid w:val="00CE41B0"/>
    <w:rsid w:val="00CE61F4"/>
    <w:rsid w:val="00CE69C9"/>
    <w:rsid w:val="00CF0BAE"/>
    <w:rsid w:val="00CF1628"/>
    <w:rsid w:val="00CF1AC9"/>
    <w:rsid w:val="00CF1CA2"/>
    <w:rsid w:val="00CF25CA"/>
    <w:rsid w:val="00CF3B14"/>
    <w:rsid w:val="00CF422E"/>
    <w:rsid w:val="00CF4F41"/>
    <w:rsid w:val="00CF5204"/>
    <w:rsid w:val="00CF5541"/>
    <w:rsid w:val="00CF5CCE"/>
    <w:rsid w:val="00CF5FB0"/>
    <w:rsid w:val="00CF780A"/>
    <w:rsid w:val="00CF7B3E"/>
    <w:rsid w:val="00D02BD4"/>
    <w:rsid w:val="00D04851"/>
    <w:rsid w:val="00D048CC"/>
    <w:rsid w:val="00D0592A"/>
    <w:rsid w:val="00D05F42"/>
    <w:rsid w:val="00D06858"/>
    <w:rsid w:val="00D0698E"/>
    <w:rsid w:val="00D06D0C"/>
    <w:rsid w:val="00D11409"/>
    <w:rsid w:val="00D11576"/>
    <w:rsid w:val="00D116A0"/>
    <w:rsid w:val="00D119EC"/>
    <w:rsid w:val="00D11D09"/>
    <w:rsid w:val="00D11ED5"/>
    <w:rsid w:val="00D121B3"/>
    <w:rsid w:val="00D12302"/>
    <w:rsid w:val="00D14042"/>
    <w:rsid w:val="00D156EA"/>
    <w:rsid w:val="00D15986"/>
    <w:rsid w:val="00D16A81"/>
    <w:rsid w:val="00D16AB8"/>
    <w:rsid w:val="00D16DDA"/>
    <w:rsid w:val="00D174DA"/>
    <w:rsid w:val="00D207E6"/>
    <w:rsid w:val="00D20A4F"/>
    <w:rsid w:val="00D212F4"/>
    <w:rsid w:val="00D21992"/>
    <w:rsid w:val="00D22412"/>
    <w:rsid w:val="00D2262C"/>
    <w:rsid w:val="00D22823"/>
    <w:rsid w:val="00D231E7"/>
    <w:rsid w:val="00D23C27"/>
    <w:rsid w:val="00D23D56"/>
    <w:rsid w:val="00D2546A"/>
    <w:rsid w:val="00D26CCD"/>
    <w:rsid w:val="00D272E6"/>
    <w:rsid w:val="00D276A5"/>
    <w:rsid w:val="00D27A85"/>
    <w:rsid w:val="00D27CFF"/>
    <w:rsid w:val="00D3029B"/>
    <w:rsid w:val="00D30ACA"/>
    <w:rsid w:val="00D30B6D"/>
    <w:rsid w:val="00D31295"/>
    <w:rsid w:val="00D317A7"/>
    <w:rsid w:val="00D31806"/>
    <w:rsid w:val="00D32908"/>
    <w:rsid w:val="00D331B4"/>
    <w:rsid w:val="00D33313"/>
    <w:rsid w:val="00D355D7"/>
    <w:rsid w:val="00D356F1"/>
    <w:rsid w:val="00D35C64"/>
    <w:rsid w:val="00D35D05"/>
    <w:rsid w:val="00D366C2"/>
    <w:rsid w:val="00D37002"/>
    <w:rsid w:val="00D3748A"/>
    <w:rsid w:val="00D37920"/>
    <w:rsid w:val="00D408EE"/>
    <w:rsid w:val="00D423D4"/>
    <w:rsid w:val="00D42BBC"/>
    <w:rsid w:val="00D43C2A"/>
    <w:rsid w:val="00D44030"/>
    <w:rsid w:val="00D451A6"/>
    <w:rsid w:val="00D45B00"/>
    <w:rsid w:val="00D46E09"/>
    <w:rsid w:val="00D470E6"/>
    <w:rsid w:val="00D478C9"/>
    <w:rsid w:val="00D47C17"/>
    <w:rsid w:val="00D47DA2"/>
    <w:rsid w:val="00D50CC7"/>
    <w:rsid w:val="00D50EA1"/>
    <w:rsid w:val="00D51C77"/>
    <w:rsid w:val="00D523B5"/>
    <w:rsid w:val="00D53A26"/>
    <w:rsid w:val="00D53D91"/>
    <w:rsid w:val="00D53E63"/>
    <w:rsid w:val="00D5445A"/>
    <w:rsid w:val="00D546AA"/>
    <w:rsid w:val="00D56042"/>
    <w:rsid w:val="00D567F4"/>
    <w:rsid w:val="00D569A6"/>
    <w:rsid w:val="00D571D7"/>
    <w:rsid w:val="00D571DE"/>
    <w:rsid w:val="00D573F0"/>
    <w:rsid w:val="00D576B5"/>
    <w:rsid w:val="00D576EC"/>
    <w:rsid w:val="00D57DBB"/>
    <w:rsid w:val="00D6059E"/>
    <w:rsid w:val="00D60A0B"/>
    <w:rsid w:val="00D61CC2"/>
    <w:rsid w:val="00D624A2"/>
    <w:rsid w:val="00D6359F"/>
    <w:rsid w:val="00D64518"/>
    <w:rsid w:val="00D6565D"/>
    <w:rsid w:val="00D66C08"/>
    <w:rsid w:val="00D66EA7"/>
    <w:rsid w:val="00D672CC"/>
    <w:rsid w:val="00D67E59"/>
    <w:rsid w:val="00D67FE2"/>
    <w:rsid w:val="00D70AA4"/>
    <w:rsid w:val="00D70EA3"/>
    <w:rsid w:val="00D71128"/>
    <w:rsid w:val="00D711C0"/>
    <w:rsid w:val="00D712D7"/>
    <w:rsid w:val="00D714F6"/>
    <w:rsid w:val="00D716B7"/>
    <w:rsid w:val="00D736B2"/>
    <w:rsid w:val="00D73AA4"/>
    <w:rsid w:val="00D73BA1"/>
    <w:rsid w:val="00D75FBB"/>
    <w:rsid w:val="00D760DD"/>
    <w:rsid w:val="00D767BC"/>
    <w:rsid w:val="00D76F96"/>
    <w:rsid w:val="00D778D9"/>
    <w:rsid w:val="00D77B26"/>
    <w:rsid w:val="00D80329"/>
    <w:rsid w:val="00D8124F"/>
    <w:rsid w:val="00D815DF"/>
    <w:rsid w:val="00D81685"/>
    <w:rsid w:val="00D817CD"/>
    <w:rsid w:val="00D81A72"/>
    <w:rsid w:val="00D8235D"/>
    <w:rsid w:val="00D82710"/>
    <w:rsid w:val="00D82B0F"/>
    <w:rsid w:val="00D834C4"/>
    <w:rsid w:val="00D843A8"/>
    <w:rsid w:val="00D8463E"/>
    <w:rsid w:val="00D84E9B"/>
    <w:rsid w:val="00D85D17"/>
    <w:rsid w:val="00D8728D"/>
    <w:rsid w:val="00D87E97"/>
    <w:rsid w:val="00D91313"/>
    <w:rsid w:val="00D91720"/>
    <w:rsid w:val="00D918B2"/>
    <w:rsid w:val="00D9196A"/>
    <w:rsid w:val="00D9287A"/>
    <w:rsid w:val="00D9317A"/>
    <w:rsid w:val="00D93234"/>
    <w:rsid w:val="00D94D6F"/>
    <w:rsid w:val="00D95768"/>
    <w:rsid w:val="00D96452"/>
    <w:rsid w:val="00D96FC5"/>
    <w:rsid w:val="00D9737C"/>
    <w:rsid w:val="00D974BE"/>
    <w:rsid w:val="00D9765F"/>
    <w:rsid w:val="00D9781E"/>
    <w:rsid w:val="00D97C85"/>
    <w:rsid w:val="00D97D8C"/>
    <w:rsid w:val="00DA04F5"/>
    <w:rsid w:val="00DA0D71"/>
    <w:rsid w:val="00DA0DE4"/>
    <w:rsid w:val="00DA1916"/>
    <w:rsid w:val="00DA2652"/>
    <w:rsid w:val="00DA2EE8"/>
    <w:rsid w:val="00DA5098"/>
    <w:rsid w:val="00DA54BC"/>
    <w:rsid w:val="00DA54D8"/>
    <w:rsid w:val="00DA5CC8"/>
    <w:rsid w:val="00DA6FFB"/>
    <w:rsid w:val="00DA722D"/>
    <w:rsid w:val="00DA76D8"/>
    <w:rsid w:val="00DA7749"/>
    <w:rsid w:val="00DB0BF5"/>
    <w:rsid w:val="00DB0C8F"/>
    <w:rsid w:val="00DB0E57"/>
    <w:rsid w:val="00DB111A"/>
    <w:rsid w:val="00DB144F"/>
    <w:rsid w:val="00DB15DE"/>
    <w:rsid w:val="00DB1703"/>
    <w:rsid w:val="00DB1E33"/>
    <w:rsid w:val="00DB2061"/>
    <w:rsid w:val="00DB31C2"/>
    <w:rsid w:val="00DB3882"/>
    <w:rsid w:val="00DB3CF2"/>
    <w:rsid w:val="00DB4592"/>
    <w:rsid w:val="00DB45D0"/>
    <w:rsid w:val="00DB4CD5"/>
    <w:rsid w:val="00DB55BE"/>
    <w:rsid w:val="00DB6021"/>
    <w:rsid w:val="00DB632D"/>
    <w:rsid w:val="00DB64E7"/>
    <w:rsid w:val="00DB6F65"/>
    <w:rsid w:val="00DB711A"/>
    <w:rsid w:val="00DB7857"/>
    <w:rsid w:val="00DB7DB0"/>
    <w:rsid w:val="00DC078A"/>
    <w:rsid w:val="00DC08E9"/>
    <w:rsid w:val="00DC1EFA"/>
    <w:rsid w:val="00DC224E"/>
    <w:rsid w:val="00DC29B8"/>
    <w:rsid w:val="00DC3C7D"/>
    <w:rsid w:val="00DC4DEB"/>
    <w:rsid w:val="00DC542C"/>
    <w:rsid w:val="00DC63ED"/>
    <w:rsid w:val="00DC63F0"/>
    <w:rsid w:val="00DC6FFA"/>
    <w:rsid w:val="00DC7257"/>
    <w:rsid w:val="00DC747B"/>
    <w:rsid w:val="00DD0811"/>
    <w:rsid w:val="00DD0AC9"/>
    <w:rsid w:val="00DD1691"/>
    <w:rsid w:val="00DD1C97"/>
    <w:rsid w:val="00DD2579"/>
    <w:rsid w:val="00DD2B01"/>
    <w:rsid w:val="00DD310A"/>
    <w:rsid w:val="00DD3725"/>
    <w:rsid w:val="00DD385C"/>
    <w:rsid w:val="00DD3AEA"/>
    <w:rsid w:val="00DD4540"/>
    <w:rsid w:val="00DD5F81"/>
    <w:rsid w:val="00DD615E"/>
    <w:rsid w:val="00DD6C67"/>
    <w:rsid w:val="00DD743B"/>
    <w:rsid w:val="00DE1584"/>
    <w:rsid w:val="00DE1A5C"/>
    <w:rsid w:val="00DE1EB7"/>
    <w:rsid w:val="00DE1EFB"/>
    <w:rsid w:val="00DE1FF9"/>
    <w:rsid w:val="00DE2134"/>
    <w:rsid w:val="00DE251F"/>
    <w:rsid w:val="00DE266A"/>
    <w:rsid w:val="00DE2A72"/>
    <w:rsid w:val="00DE3858"/>
    <w:rsid w:val="00DE40E3"/>
    <w:rsid w:val="00DE48F7"/>
    <w:rsid w:val="00DE5367"/>
    <w:rsid w:val="00DE5530"/>
    <w:rsid w:val="00DE5B5C"/>
    <w:rsid w:val="00DE6667"/>
    <w:rsid w:val="00DE7896"/>
    <w:rsid w:val="00DE7AF0"/>
    <w:rsid w:val="00DF01BD"/>
    <w:rsid w:val="00DF02AD"/>
    <w:rsid w:val="00DF0391"/>
    <w:rsid w:val="00DF07BA"/>
    <w:rsid w:val="00DF0EBF"/>
    <w:rsid w:val="00DF13AA"/>
    <w:rsid w:val="00DF1C0A"/>
    <w:rsid w:val="00DF296E"/>
    <w:rsid w:val="00DF4599"/>
    <w:rsid w:val="00DF5623"/>
    <w:rsid w:val="00DF56AC"/>
    <w:rsid w:val="00DF59F7"/>
    <w:rsid w:val="00DF5D42"/>
    <w:rsid w:val="00DF6404"/>
    <w:rsid w:val="00DF6BCC"/>
    <w:rsid w:val="00DF73F4"/>
    <w:rsid w:val="00E00993"/>
    <w:rsid w:val="00E00BB2"/>
    <w:rsid w:val="00E014DB"/>
    <w:rsid w:val="00E02838"/>
    <w:rsid w:val="00E03354"/>
    <w:rsid w:val="00E035DE"/>
    <w:rsid w:val="00E036CC"/>
    <w:rsid w:val="00E043B9"/>
    <w:rsid w:val="00E046CF"/>
    <w:rsid w:val="00E04725"/>
    <w:rsid w:val="00E0486C"/>
    <w:rsid w:val="00E04A8F"/>
    <w:rsid w:val="00E06957"/>
    <w:rsid w:val="00E06CE5"/>
    <w:rsid w:val="00E06E48"/>
    <w:rsid w:val="00E1006C"/>
    <w:rsid w:val="00E106CE"/>
    <w:rsid w:val="00E1197E"/>
    <w:rsid w:val="00E11DA2"/>
    <w:rsid w:val="00E1237A"/>
    <w:rsid w:val="00E12403"/>
    <w:rsid w:val="00E13590"/>
    <w:rsid w:val="00E14F60"/>
    <w:rsid w:val="00E151E9"/>
    <w:rsid w:val="00E156A3"/>
    <w:rsid w:val="00E157EC"/>
    <w:rsid w:val="00E16112"/>
    <w:rsid w:val="00E164F0"/>
    <w:rsid w:val="00E171DA"/>
    <w:rsid w:val="00E205E4"/>
    <w:rsid w:val="00E21927"/>
    <w:rsid w:val="00E220BC"/>
    <w:rsid w:val="00E22434"/>
    <w:rsid w:val="00E224A8"/>
    <w:rsid w:val="00E2258C"/>
    <w:rsid w:val="00E22E90"/>
    <w:rsid w:val="00E23169"/>
    <w:rsid w:val="00E23AF8"/>
    <w:rsid w:val="00E23E63"/>
    <w:rsid w:val="00E23EBC"/>
    <w:rsid w:val="00E24F42"/>
    <w:rsid w:val="00E2654A"/>
    <w:rsid w:val="00E26E00"/>
    <w:rsid w:val="00E27EBD"/>
    <w:rsid w:val="00E3084C"/>
    <w:rsid w:val="00E31183"/>
    <w:rsid w:val="00E31935"/>
    <w:rsid w:val="00E320AE"/>
    <w:rsid w:val="00E32A7E"/>
    <w:rsid w:val="00E3384B"/>
    <w:rsid w:val="00E3467E"/>
    <w:rsid w:val="00E368A3"/>
    <w:rsid w:val="00E3713C"/>
    <w:rsid w:val="00E3736F"/>
    <w:rsid w:val="00E37AE1"/>
    <w:rsid w:val="00E37B58"/>
    <w:rsid w:val="00E37CFF"/>
    <w:rsid w:val="00E37D21"/>
    <w:rsid w:val="00E37F3C"/>
    <w:rsid w:val="00E37F5E"/>
    <w:rsid w:val="00E4015E"/>
    <w:rsid w:val="00E4122F"/>
    <w:rsid w:val="00E415A3"/>
    <w:rsid w:val="00E41A59"/>
    <w:rsid w:val="00E41C21"/>
    <w:rsid w:val="00E420FB"/>
    <w:rsid w:val="00E430B3"/>
    <w:rsid w:val="00E4387C"/>
    <w:rsid w:val="00E44148"/>
    <w:rsid w:val="00E44C76"/>
    <w:rsid w:val="00E4532A"/>
    <w:rsid w:val="00E45526"/>
    <w:rsid w:val="00E46313"/>
    <w:rsid w:val="00E46AB0"/>
    <w:rsid w:val="00E46C1A"/>
    <w:rsid w:val="00E46DC2"/>
    <w:rsid w:val="00E46E98"/>
    <w:rsid w:val="00E478A9"/>
    <w:rsid w:val="00E47D39"/>
    <w:rsid w:val="00E47DB6"/>
    <w:rsid w:val="00E501A1"/>
    <w:rsid w:val="00E51D62"/>
    <w:rsid w:val="00E51DEB"/>
    <w:rsid w:val="00E52988"/>
    <w:rsid w:val="00E53033"/>
    <w:rsid w:val="00E535B6"/>
    <w:rsid w:val="00E536F9"/>
    <w:rsid w:val="00E541A4"/>
    <w:rsid w:val="00E5506D"/>
    <w:rsid w:val="00E55177"/>
    <w:rsid w:val="00E551AB"/>
    <w:rsid w:val="00E551D7"/>
    <w:rsid w:val="00E55F17"/>
    <w:rsid w:val="00E5600A"/>
    <w:rsid w:val="00E565F5"/>
    <w:rsid w:val="00E56E79"/>
    <w:rsid w:val="00E606E3"/>
    <w:rsid w:val="00E607DF"/>
    <w:rsid w:val="00E608E4"/>
    <w:rsid w:val="00E62C0E"/>
    <w:rsid w:val="00E63268"/>
    <w:rsid w:val="00E635E6"/>
    <w:rsid w:val="00E6424D"/>
    <w:rsid w:val="00E65997"/>
    <w:rsid w:val="00E65AC4"/>
    <w:rsid w:val="00E664C0"/>
    <w:rsid w:val="00E6712E"/>
    <w:rsid w:val="00E671FD"/>
    <w:rsid w:val="00E672E4"/>
    <w:rsid w:val="00E67496"/>
    <w:rsid w:val="00E674D3"/>
    <w:rsid w:val="00E6776B"/>
    <w:rsid w:val="00E677F5"/>
    <w:rsid w:val="00E70559"/>
    <w:rsid w:val="00E70A52"/>
    <w:rsid w:val="00E71BDA"/>
    <w:rsid w:val="00E73DC4"/>
    <w:rsid w:val="00E746B4"/>
    <w:rsid w:val="00E746E8"/>
    <w:rsid w:val="00E74A16"/>
    <w:rsid w:val="00E74FFB"/>
    <w:rsid w:val="00E75209"/>
    <w:rsid w:val="00E7563B"/>
    <w:rsid w:val="00E7568F"/>
    <w:rsid w:val="00E771D3"/>
    <w:rsid w:val="00E77E4D"/>
    <w:rsid w:val="00E80003"/>
    <w:rsid w:val="00E8101B"/>
    <w:rsid w:val="00E819B3"/>
    <w:rsid w:val="00E822E8"/>
    <w:rsid w:val="00E83734"/>
    <w:rsid w:val="00E852B9"/>
    <w:rsid w:val="00E853F3"/>
    <w:rsid w:val="00E854CB"/>
    <w:rsid w:val="00E85542"/>
    <w:rsid w:val="00E859D4"/>
    <w:rsid w:val="00E85AC0"/>
    <w:rsid w:val="00E85CA7"/>
    <w:rsid w:val="00E87222"/>
    <w:rsid w:val="00E902C9"/>
    <w:rsid w:val="00E90343"/>
    <w:rsid w:val="00E919B4"/>
    <w:rsid w:val="00E923B9"/>
    <w:rsid w:val="00E92698"/>
    <w:rsid w:val="00E93414"/>
    <w:rsid w:val="00E93E69"/>
    <w:rsid w:val="00E940B2"/>
    <w:rsid w:val="00E949CA"/>
    <w:rsid w:val="00E94EB4"/>
    <w:rsid w:val="00E95772"/>
    <w:rsid w:val="00E95DBC"/>
    <w:rsid w:val="00E96067"/>
    <w:rsid w:val="00E9634D"/>
    <w:rsid w:val="00E96DB9"/>
    <w:rsid w:val="00EA0287"/>
    <w:rsid w:val="00EA0C3D"/>
    <w:rsid w:val="00EA10BE"/>
    <w:rsid w:val="00EA169E"/>
    <w:rsid w:val="00EA2236"/>
    <w:rsid w:val="00EA2507"/>
    <w:rsid w:val="00EA2BFA"/>
    <w:rsid w:val="00EA306B"/>
    <w:rsid w:val="00EA32E8"/>
    <w:rsid w:val="00EA363E"/>
    <w:rsid w:val="00EA4028"/>
    <w:rsid w:val="00EA5031"/>
    <w:rsid w:val="00EA51E7"/>
    <w:rsid w:val="00EA5FB1"/>
    <w:rsid w:val="00EA6A98"/>
    <w:rsid w:val="00EA746B"/>
    <w:rsid w:val="00EA791C"/>
    <w:rsid w:val="00EB14CF"/>
    <w:rsid w:val="00EB2FBE"/>
    <w:rsid w:val="00EB3131"/>
    <w:rsid w:val="00EB322C"/>
    <w:rsid w:val="00EB4B0F"/>
    <w:rsid w:val="00EB5D3B"/>
    <w:rsid w:val="00EB6150"/>
    <w:rsid w:val="00EB7980"/>
    <w:rsid w:val="00EB79A3"/>
    <w:rsid w:val="00EC03FD"/>
    <w:rsid w:val="00EC1EF2"/>
    <w:rsid w:val="00EC412A"/>
    <w:rsid w:val="00EC48D3"/>
    <w:rsid w:val="00EC65FD"/>
    <w:rsid w:val="00EC6603"/>
    <w:rsid w:val="00EC6628"/>
    <w:rsid w:val="00EC69BB"/>
    <w:rsid w:val="00EC7228"/>
    <w:rsid w:val="00EC7B4E"/>
    <w:rsid w:val="00ED0304"/>
    <w:rsid w:val="00ED0C10"/>
    <w:rsid w:val="00ED1961"/>
    <w:rsid w:val="00ED283D"/>
    <w:rsid w:val="00ED2E7E"/>
    <w:rsid w:val="00ED4771"/>
    <w:rsid w:val="00ED58AD"/>
    <w:rsid w:val="00ED5AAF"/>
    <w:rsid w:val="00ED6AFC"/>
    <w:rsid w:val="00ED71DD"/>
    <w:rsid w:val="00ED7F85"/>
    <w:rsid w:val="00EE0794"/>
    <w:rsid w:val="00EE0B9D"/>
    <w:rsid w:val="00EE0C14"/>
    <w:rsid w:val="00EE0EB4"/>
    <w:rsid w:val="00EE1058"/>
    <w:rsid w:val="00EE1CF2"/>
    <w:rsid w:val="00EE21B1"/>
    <w:rsid w:val="00EE2D2D"/>
    <w:rsid w:val="00EE4B43"/>
    <w:rsid w:val="00EE6531"/>
    <w:rsid w:val="00EE689D"/>
    <w:rsid w:val="00EE6F15"/>
    <w:rsid w:val="00EE7132"/>
    <w:rsid w:val="00EE7166"/>
    <w:rsid w:val="00EE7489"/>
    <w:rsid w:val="00EF0275"/>
    <w:rsid w:val="00EF03CD"/>
    <w:rsid w:val="00EF071F"/>
    <w:rsid w:val="00EF0A50"/>
    <w:rsid w:val="00EF109F"/>
    <w:rsid w:val="00EF1438"/>
    <w:rsid w:val="00EF165C"/>
    <w:rsid w:val="00EF1A4B"/>
    <w:rsid w:val="00EF2B3D"/>
    <w:rsid w:val="00EF2B71"/>
    <w:rsid w:val="00EF3D67"/>
    <w:rsid w:val="00EF4B21"/>
    <w:rsid w:val="00EF4C07"/>
    <w:rsid w:val="00EF596E"/>
    <w:rsid w:val="00EF6165"/>
    <w:rsid w:val="00EF65CB"/>
    <w:rsid w:val="00EF6D7C"/>
    <w:rsid w:val="00EF72BA"/>
    <w:rsid w:val="00EF7F2D"/>
    <w:rsid w:val="00F004FB"/>
    <w:rsid w:val="00F0183F"/>
    <w:rsid w:val="00F0201A"/>
    <w:rsid w:val="00F027F2"/>
    <w:rsid w:val="00F02AC9"/>
    <w:rsid w:val="00F03077"/>
    <w:rsid w:val="00F032A1"/>
    <w:rsid w:val="00F03759"/>
    <w:rsid w:val="00F03E95"/>
    <w:rsid w:val="00F04A18"/>
    <w:rsid w:val="00F04D44"/>
    <w:rsid w:val="00F06058"/>
    <w:rsid w:val="00F06ACC"/>
    <w:rsid w:val="00F07523"/>
    <w:rsid w:val="00F07580"/>
    <w:rsid w:val="00F1062F"/>
    <w:rsid w:val="00F115A7"/>
    <w:rsid w:val="00F11F5B"/>
    <w:rsid w:val="00F1205E"/>
    <w:rsid w:val="00F122CA"/>
    <w:rsid w:val="00F13804"/>
    <w:rsid w:val="00F13AC9"/>
    <w:rsid w:val="00F13BF5"/>
    <w:rsid w:val="00F1424F"/>
    <w:rsid w:val="00F14475"/>
    <w:rsid w:val="00F16532"/>
    <w:rsid w:val="00F17781"/>
    <w:rsid w:val="00F20E1B"/>
    <w:rsid w:val="00F226AC"/>
    <w:rsid w:val="00F227E4"/>
    <w:rsid w:val="00F23209"/>
    <w:rsid w:val="00F242DE"/>
    <w:rsid w:val="00F24354"/>
    <w:rsid w:val="00F244DE"/>
    <w:rsid w:val="00F2451B"/>
    <w:rsid w:val="00F24929"/>
    <w:rsid w:val="00F24CB3"/>
    <w:rsid w:val="00F253B9"/>
    <w:rsid w:val="00F25E38"/>
    <w:rsid w:val="00F26D49"/>
    <w:rsid w:val="00F30E68"/>
    <w:rsid w:val="00F31784"/>
    <w:rsid w:val="00F32239"/>
    <w:rsid w:val="00F32A3F"/>
    <w:rsid w:val="00F32B3C"/>
    <w:rsid w:val="00F34EEE"/>
    <w:rsid w:val="00F351A1"/>
    <w:rsid w:val="00F35524"/>
    <w:rsid w:val="00F36158"/>
    <w:rsid w:val="00F376C1"/>
    <w:rsid w:val="00F37794"/>
    <w:rsid w:val="00F37930"/>
    <w:rsid w:val="00F37DC2"/>
    <w:rsid w:val="00F401DB"/>
    <w:rsid w:val="00F4071A"/>
    <w:rsid w:val="00F40F67"/>
    <w:rsid w:val="00F41427"/>
    <w:rsid w:val="00F416F9"/>
    <w:rsid w:val="00F4216A"/>
    <w:rsid w:val="00F4352A"/>
    <w:rsid w:val="00F43791"/>
    <w:rsid w:val="00F44379"/>
    <w:rsid w:val="00F445C4"/>
    <w:rsid w:val="00F450CA"/>
    <w:rsid w:val="00F4624B"/>
    <w:rsid w:val="00F4698F"/>
    <w:rsid w:val="00F479D0"/>
    <w:rsid w:val="00F5003D"/>
    <w:rsid w:val="00F5022E"/>
    <w:rsid w:val="00F50327"/>
    <w:rsid w:val="00F51916"/>
    <w:rsid w:val="00F52F63"/>
    <w:rsid w:val="00F5327E"/>
    <w:rsid w:val="00F536AE"/>
    <w:rsid w:val="00F5383D"/>
    <w:rsid w:val="00F540AD"/>
    <w:rsid w:val="00F541DA"/>
    <w:rsid w:val="00F548F4"/>
    <w:rsid w:val="00F54DAC"/>
    <w:rsid w:val="00F54EB5"/>
    <w:rsid w:val="00F55768"/>
    <w:rsid w:val="00F561D8"/>
    <w:rsid w:val="00F56360"/>
    <w:rsid w:val="00F5715B"/>
    <w:rsid w:val="00F609A5"/>
    <w:rsid w:val="00F618A1"/>
    <w:rsid w:val="00F629C3"/>
    <w:rsid w:val="00F62F23"/>
    <w:rsid w:val="00F639D2"/>
    <w:rsid w:val="00F63A75"/>
    <w:rsid w:val="00F63AFA"/>
    <w:rsid w:val="00F648B1"/>
    <w:rsid w:val="00F65C3D"/>
    <w:rsid w:val="00F67199"/>
    <w:rsid w:val="00F70F52"/>
    <w:rsid w:val="00F7182B"/>
    <w:rsid w:val="00F7196D"/>
    <w:rsid w:val="00F71ADE"/>
    <w:rsid w:val="00F71CB9"/>
    <w:rsid w:val="00F723A5"/>
    <w:rsid w:val="00F72DB9"/>
    <w:rsid w:val="00F73C85"/>
    <w:rsid w:val="00F73E6B"/>
    <w:rsid w:val="00F74A91"/>
    <w:rsid w:val="00F7501B"/>
    <w:rsid w:val="00F75140"/>
    <w:rsid w:val="00F753C7"/>
    <w:rsid w:val="00F767A0"/>
    <w:rsid w:val="00F76A2D"/>
    <w:rsid w:val="00F76C60"/>
    <w:rsid w:val="00F77AC6"/>
    <w:rsid w:val="00F77E5B"/>
    <w:rsid w:val="00F80C14"/>
    <w:rsid w:val="00F8111F"/>
    <w:rsid w:val="00F81892"/>
    <w:rsid w:val="00F83CDF"/>
    <w:rsid w:val="00F8468A"/>
    <w:rsid w:val="00F84A49"/>
    <w:rsid w:val="00F84F2A"/>
    <w:rsid w:val="00F85026"/>
    <w:rsid w:val="00F90055"/>
    <w:rsid w:val="00F91B02"/>
    <w:rsid w:val="00F92E9A"/>
    <w:rsid w:val="00F93F99"/>
    <w:rsid w:val="00F9426D"/>
    <w:rsid w:val="00F947D7"/>
    <w:rsid w:val="00F94854"/>
    <w:rsid w:val="00F94DF0"/>
    <w:rsid w:val="00F9643D"/>
    <w:rsid w:val="00F96811"/>
    <w:rsid w:val="00FA057B"/>
    <w:rsid w:val="00FA095A"/>
    <w:rsid w:val="00FA1EBD"/>
    <w:rsid w:val="00FA22D8"/>
    <w:rsid w:val="00FA22E0"/>
    <w:rsid w:val="00FA32EB"/>
    <w:rsid w:val="00FA3D8F"/>
    <w:rsid w:val="00FA5351"/>
    <w:rsid w:val="00FA5DD8"/>
    <w:rsid w:val="00FA6D83"/>
    <w:rsid w:val="00FB1946"/>
    <w:rsid w:val="00FB20DB"/>
    <w:rsid w:val="00FB276B"/>
    <w:rsid w:val="00FB2F3F"/>
    <w:rsid w:val="00FB2FD0"/>
    <w:rsid w:val="00FB33A4"/>
    <w:rsid w:val="00FB4E5D"/>
    <w:rsid w:val="00FB5A52"/>
    <w:rsid w:val="00FB6A8E"/>
    <w:rsid w:val="00FB73E5"/>
    <w:rsid w:val="00FB7F16"/>
    <w:rsid w:val="00FB7FD4"/>
    <w:rsid w:val="00FC01AD"/>
    <w:rsid w:val="00FC031D"/>
    <w:rsid w:val="00FC0892"/>
    <w:rsid w:val="00FC09BC"/>
    <w:rsid w:val="00FC18D4"/>
    <w:rsid w:val="00FC2A58"/>
    <w:rsid w:val="00FC3084"/>
    <w:rsid w:val="00FC30B0"/>
    <w:rsid w:val="00FC5893"/>
    <w:rsid w:val="00FC600A"/>
    <w:rsid w:val="00FC69CB"/>
    <w:rsid w:val="00FC6FC5"/>
    <w:rsid w:val="00FC71E9"/>
    <w:rsid w:val="00FC7434"/>
    <w:rsid w:val="00FC74DD"/>
    <w:rsid w:val="00FC7C2A"/>
    <w:rsid w:val="00FC7FE1"/>
    <w:rsid w:val="00FD08A9"/>
    <w:rsid w:val="00FD21E6"/>
    <w:rsid w:val="00FD2DF5"/>
    <w:rsid w:val="00FD3406"/>
    <w:rsid w:val="00FD4922"/>
    <w:rsid w:val="00FD4975"/>
    <w:rsid w:val="00FD4A1D"/>
    <w:rsid w:val="00FD50B9"/>
    <w:rsid w:val="00FD58D4"/>
    <w:rsid w:val="00FD6257"/>
    <w:rsid w:val="00FD666F"/>
    <w:rsid w:val="00FD6758"/>
    <w:rsid w:val="00FE03B7"/>
    <w:rsid w:val="00FE118A"/>
    <w:rsid w:val="00FE1323"/>
    <w:rsid w:val="00FE14F3"/>
    <w:rsid w:val="00FE1ACF"/>
    <w:rsid w:val="00FE1DE2"/>
    <w:rsid w:val="00FE26E9"/>
    <w:rsid w:val="00FE3240"/>
    <w:rsid w:val="00FE3313"/>
    <w:rsid w:val="00FE4763"/>
    <w:rsid w:val="00FE4CF8"/>
    <w:rsid w:val="00FE50FC"/>
    <w:rsid w:val="00FE57BE"/>
    <w:rsid w:val="00FE6ED1"/>
    <w:rsid w:val="00FE7FB8"/>
    <w:rsid w:val="00FF0019"/>
    <w:rsid w:val="00FF03A3"/>
    <w:rsid w:val="00FF04B9"/>
    <w:rsid w:val="00FF052A"/>
    <w:rsid w:val="00FF15D9"/>
    <w:rsid w:val="00FF1B06"/>
    <w:rsid w:val="00FF1BC9"/>
    <w:rsid w:val="00FF2785"/>
    <w:rsid w:val="00FF3FC3"/>
    <w:rsid w:val="00FF4353"/>
    <w:rsid w:val="00FF4A1C"/>
    <w:rsid w:val="00FF4DEA"/>
    <w:rsid w:val="00FF51C5"/>
    <w:rsid w:val="00FF5385"/>
    <w:rsid w:val="00FF600A"/>
    <w:rsid w:val="00FF60A7"/>
    <w:rsid w:val="00FF62E7"/>
    <w:rsid w:val="00FF7D21"/>
    <w:rsid w:val="00FF7DEA"/>
    <w:rsid w:val="3184B6F9"/>
    <w:rsid w:val="51825749"/>
    <w:rsid w:val="54D59E10"/>
    <w:rsid w:val="5892FECB"/>
    <w:rsid w:val="6A329A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A965F"/>
  <w15:docId w15:val="{BE69A08C-DE8D-4C1D-90E3-BDC0DFDE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C0EF8"/>
    <w:rPr>
      <w:rFonts w:ascii="Arial" w:hAnsi="Arial"/>
    </w:rPr>
  </w:style>
  <w:style w:type="paragraph" w:styleId="Kop1">
    <w:name w:val="heading 1"/>
    <w:basedOn w:val="Standaard"/>
    <w:next w:val="Standaard"/>
    <w:qFormat/>
    <w:rsid w:val="00D0698E"/>
    <w:pPr>
      <w:keepNext/>
      <w:spacing w:before="240" w:after="60"/>
      <w:outlineLvl w:val="0"/>
    </w:pPr>
    <w:rPr>
      <w:rFonts w:cs="Arial"/>
      <w:b/>
      <w:bCs/>
      <w:kern w:val="32"/>
      <w:sz w:val="32"/>
      <w:szCs w:val="32"/>
    </w:rPr>
  </w:style>
  <w:style w:type="paragraph" w:styleId="Kop2">
    <w:name w:val="heading 2"/>
    <w:basedOn w:val="Standaard"/>
    <w:next w:val="Standaard"/>
    <w:qFormat/>
    <w:rsid w:val="00F85026"/>
    <w:pPr>
      <w:keepNext/>
      <w:spacing w:before="240" w:after="60"/>
      <w:outlineLvl w:val="1"/>
    </w:pPr>
    <w:rPr>
      <w:rFonts w:cs="Arial"/>
      <w:b/>
      <w:bCs/>
      <w:i/>
      <w:iCs/>
      <w:sz w:val="28"/>
      <w:szCs w:val="28"/>
    </w:rPr>
  </w:style>
  <w:style w:type="paragraph" w:styleId="Kop3">
    <w:name w:val="heading 3"/>
    <w:basedOn w:val="Standaard"/>
    <w:next w:val="Standaard"/>
    <w:link w:val="Kop3Char"/>
    <w:semiHidden/>
    <w:unhideWhenUsed/>
    <w:qFormat/>
    <w:rsid w:val="0060712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6">
    <w:name w:val="heading 6"/>
    <w:basedOn w:val="Standaard"/>
    <w:next w:val="Standaard"/>
    <w:qFormat/>
    <w:rsid w:val="00A31375"/>
    <w:pPr>
      <w:keepNext/>
      <w:overflowPunct w:val="0"/>
      <w:autoSpaceDE w:val="0"/>
      <w:autoSpaceDN w:val="0"/>
      <w:adjustRightInd w:val="0"/>
      <w:ind w:left="851" w:hanging="851"/>
      <w:textAlignment w:val="baseline"/>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5D4535"/>
    <w:rPr>
      <w:color w:val="0000FF"/>
      <w:u w:val="single"/>
    </w:rPr>
  </w:style>
  <w:style w:type="character" w:styleId="GevolgdeHyperlink">
    <w:name w:val="FollowedHyperlink"/>
    <w:rsid w:val="005D4535"/>
    <w:rPr>
      <w:color w:val="800080"/>
      <w:u w:val="single"/>
    </w:rPr>
  </w:style>
  <w:style w:type="paragraph" w:styleId="Ballontekst">
    <w:name w:val="Balloon Text"/>
    <w:basedOn w:val="Standaard"/>
    <w:semiHidden/>
    <w:rsid w:val="003D1AC8"/>
    <w:rPr>
      <w:rFonts w:ascii="Tahoma" w:hAnsi="Tahoma" w:cs="Tahoma"/>
      <w:sz w:val="16"/>
      <w:szCs w:val="16"/>
    </w:rPr>
  </w:style>
  <w:style w:type="character" w:styleId="Voetnootmarkering">
    <w:name w:val="footnote reference"/>
    <w:uiPriority w:val="99"/>
    <w:rsid w:val="00707CE2"/>
    <w:rPr>
      <w:vertAlign w:val="superscript"/>
    </w:rPr>
  </w:style>
  <w:style w:type="paragraph" w:styleId="Voetnoottekst">
    <w:name w:val="footnote text"/>
    <w:basedOn w:val="Standaard"/>
    <w:link w:val="VoetnoottekstChar"/>
    <w:rsid w:val="00707CE2"/>
    <w:pPr>
      <w:widowControl w:val="0"/>
    </w:pPr>
    <w:rPr>
      <w:rFonts w:ascii="Courier New" w:hAnsi="Courier New"/>
      <w:sz w:val="24"/>
      <w:lang w:val="nl"/>
    </w:rPr>
  </w:style>
  <w:style w:type="paragraph" w:styleId="Tekstopmerking">
    <w:name w:val="annotation text"/>
    <w:basedOn w:val="Standaard"/>
    <w:link w:val="TekstopmerkingChar"/>
    <w:uiPriority w:val="99"/>
    <w:semiHidden/>
    <w:rsid w:val="00707CE2"/>
    <w:rPr>
      <w:rFonts w:ascii="Times New Roman" w:hAnsi="Times New Roman"/>
    </w:rPr>
  </w:style>
  <w:style w:type="paragraph" w:styleId="Lijstnummering">
    <w:name w:val="List Number"/>
    <w:aliases w:val="List Bullet"/>
    <w:basedOn w:val="Standaard"/>
    <w:rsid w:val="00707CE2"/>
    <w:pPr>
      <w:keepNext/>
      <w:numPr>
        <w:numId w:val="1"/>
      </w:numPr>
      <w:spacing w:before="360"/>
    </w:pPr>
    <w:rPr>
      <w:rFonts w:ascii="Times New Roman" w:hAnsi="Times New Roman"/>
      <w:sz w:val="24"/>
      <w:szCs w:val="24"/>
    </w:rPr>
  </w:style>
  <w:style w:type="paragraph" w:styleId="Voettekst">
    <w:name w:val="footer"/>
    <w:basedOn w:val="Standaard"/>
    <w:link w:val="VoettekstChar"/>
    <w:uiPriority w:val="99"/>
    <w:rsid w:val="006B08AA"/>
    <w:pPr>
      <w:tabs>
        <w:tab w:val="center" w:pos="4536"/>
        <w:tab w:val="right" w:pos="9072"/>
      </w:tabs>
    </w:pPr>
  </w:style>
  <w:style w:type="character" w:styleId="Paginanummer">
    <w:name w:val="page number"/>
    <w:basedOn w:val="Standaardalinea-lettertype"/>
    <w:rsid w:val="006B08AA"/>
  </w:style>
  <w:style w:type="table" w:styleId="Tabelraster">
    <w:name w:val="Table Grid"/>
    <w:basedOn w:val="Standaardtabel"/>
    <w:rsid w:val="008E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rsid w:val="006A1051"/>
    <w:pPr>
      <w:numPr>
        <w:numId w:val="2"/>
      </w:numPr>
    </w:pPr>
    <w:rPr>
      <w:rFonts w:ascii="Times New Roman" w:hAnsi="Times New Roman"/>
      <w:sz w:val="22"/>
    </w:rPr>
  </w:style>
  <w:style w:type="paragraph" w:styleId="Koptekst">
    <w:name w:val="header"/>
    <w:basedOn w:val="Standaard"/>
    <w:link w:val="KoptekstChar"/>
    <w:uiPriority w:val="99"/>
    <w:rsid w:val="00135B49"/>
    <w:pPr>
      <w:tabs>
        <w:tab w:val="center" w:pos="4536"/>
        <w:tab w:val="right" w:pos="9072"/>
      </w:tabs>
    </w:pPr>
  </w:style>
  <w:style w:type="paragraph" w:styleId="Documentstructuur">
    <w:name w:val="Document Map"/>
    <w:basedOn w:val="Standaard"/>
    <w:semiHidden/>
    <w:rsid w:val="00DB0C8F"/>
    <w:pPr>
      <w:shd w:val="clear" w:color="auto" w:fill="000080"/>
    </w:pPr>
    <w:rPr>
      <w:rFonts w:ascii="Tahoma" w:hAnsi="Tahoma" w:cs="Tahoma"/>
    </w:rPr>
  </w:style>
  <w:style w:type="character" w:styleId="Verwijzingopmerking">
    <w:name w:val="annotation reference"/>
    <w:uiPriority w:val="99"/>
    <w:semiHidden/>
    <w:rsid w:val="00C01121"/>
    <w:rPr>
      <w:sz w:val="16"/>
      <w:szCs w:val="16"/>
    </w:rPr>
  </w:style>
  <w:style w:type="paragraph" w:styleId="Onderwerpvanopmerking">
    <w:name w:val="annotation subject"/>
    <w:basedOn w:val="Tekstopmerking"/>
    <w:next w:val="Tekstopmerking"/>
    <w:semiHidden/>
    <w:rsid w:val="00C01121"/>
    <w:rPr>
      <w:rFonts w:ascii="Arial" w:hAnsi="Arial"/>
      <w:b/>
      <w:bCs/>
    </w:rPr>
  </w:style>
  <w:style w:type="paragraph" w:customStyle="1" w:styleId="Default">
    <w:name w:val="Default"/>
    <w:rsid w:val="00080230"/>
    <w:pPr>
      <w:autoSpaceDE w:val="0"/>
      <w:autoSpaceDN w:val="0"/>
      <w:adjustRightInd w:val="0"/>
    </w:pPr>
    <w:rPr>
      <w:rFonts w:ascii="Palatino Linotype" w:hAnsi="Palatino Linotype" w:cs="Palatino Linotype"/>
      <w:color w:val="000000"/>
      <w:sz w:val="24"/>
      <w:szCs w:val="24"/>
    </w:rPr>
  </w:style>
  <w:style w:type="paragraph" w:styleId="Plattetekst">
    <w:name w:val="Body Text"/>
    <w:basedOn w:val="Standaard"/>
    <w:rsid w:val="0087646C"/>
    <w:pPr>
      <w:spacing w:after="120"/>
    </w:pPr>
    <w:rPr>
      <w:rFonts w:ascii="Verdana" w:hAnsi="Verdana"/>
      <w:sz w:val="18"/>
      <w:szCs w:val="22"/>
      <w:lang w:eastAsia="en-US"/>
    </w:rPr>
  </w:style>
  <w:style w:type="character" w:customStyle="1" w:styleId="VoettekstChar">
    <w:name w:val="Voettekst Char"/>
    <w:link w:val="Voettekst"/>
    <w:uiPriority w:val="99"/>
    <w:rsid w:val="00F13804"/>
    <w:rPr>
      <w:rFonts w:ascii="Arial" w:hAnsi="Arial"/>
    </w:rPr>
  </w:style>
  <w:style w:type="character" w:customStyle="1" w:styleId="KoptekstChar">
    <w:name w:val="Koptekst Char"/>
    <w:link w:val="Koptekst"/>
    <w:uiPriority w:val="99"/>
    <w:rsid w:val="00057167"/>
    <w:rPr>
      <w:rFonts w:ascii="Arial" w:hAnsi="Arial"/>
    </w:rPr>
  </w:style>
  <w:style w:type="paragraph" w:styleId="Lijstalinea">
    <w:name w:val="List Paragraph"/>
    <w:basedOn w:val="Standaard"/>
    <w:uiPriority w:val="34"/>
    <w:qFormat/>
    <w:rsid w:val="004A5B86"/>
    <w:pPr>
      <w:ind w:left="720"/>
      <w:contextualSpacing/>
    </w:pPr>
    <w:rPr>
      <w:rFonts w:ascii="Verdana" w:eastAsia="Calibri" w:hAnsi="Verdana"/>
      <w:sz w:val="18"/>
      <w:szCs w:val="22"/>
      <w:lang w:eastAsia="en-US"/>
    </w:rPr>
  </w:style>
  <w:style w:type="character" w:styleId="Nadruk">
    <w:name w:val="Emphasis"/>
    <w:uiPriority w:val="20"/>
    <w:qFormat/>
    <w:rsid w:val="004A5B86"/>
    <w:rPr>
      <w:i/>
      <w:iCs/>
    </w:rPr>
  </w:style>
  <w:style w:type="paragraph" w:customStyle="1" w:styleId="Agendapunt-Huisstijl">
    <w:name w:val="Agendapunt - Huisstijl"/>
    <w:basedOn w:val="Standaard"/>
    <w:uiPriority w:val="1"/>
    <w:qFormat/>
    <w:rsid w:val="00015D2B"/>
    <w:pPr>
      <w:numPr>
        <w:numId w:val="3"/>
      </w:numPr>
      <w:spacing w:before="240" w:after="240" w:line="240" w:lineRule="exact"/>
      <w:ind w:left="629" w:hanging="629"/>
    </w:pPr>
    <w:rPr>
      <w:rFonts w:ascii="Verdana" w:eastAsia="Calibri" w:hAnsi="Verdana"/>
      <w:sz w:val="18"/>
      <w:szCs w:val="22"/>
      <w:lang w:eastAsia="en-US"/>
    </w:rPr>
  </w:style>
  <w:style w:type="paragraph" w:styleId="Revisie">
    <w:name w:val="Revision"/>
    <w:hidden/>
    <w:uiPriority w:val="99"/>
    <w:semiHidden/>
    <w:rsid w:val="00CC32B4"/>
    <w:rPr>
      <w:rFonts w:ascii="Arial" w:hAnsi="Arial"/>
    </w:rPr>
  </w:style>
  <w:style w:type="character" w:customStyle="1" w:styleId="s1">
    <w:name w:val="s1"/>
    <w:basedOn w:val="Standaardalinea-lettertype"/>
    <w:rsid w:val="00CF0BAE"/>
    <w:rPr>
      <w:rFonts w:ascii=".SFUIText-Regular" w:hAnsi=".SFUIText-Regular" w:hint="default"/>
      <w:b w:val="0"/>
      <w:bCs w:val="0"/>
      <w:i w:val="0"/>
      <w:iCs w:val="0"/>
      <w:sz w:val="38"/>
      <w:szCs w:val="38"/>
    </w:rPr>
  </w:style>
  <w:style w:type="character" w:customStyle="1" w:styleId="VoetnoottekstChar">
    <w:name w:val="Voetnoottekst Char"/>
    <w:basedOn w:val="Standaardalinea-lettertype"/>
    <w:link w:val="Voetnoottekst"/>
    <w:rsid w:val="00BB5456"/>
    <w:rPr>
      <w:rFonts w:ascii="Courier New" w:hAnsi="Courier New"/>
      <w:sz w:val="24"/>
      <w:lang w:val="nl"/>
    </w:rPr>
  </w:style>
  <w:style w:type="paragraph" w:styleId="Normaalweb">
    <w:name w:val="Normal (Web)"/>
    <w:basedOn w:val="Standaard"/>
    <w:uiPriority w:val="99"/>
    <w:unhideWhenUsed/>
    <w:rsid w:val="008E342B"/>
    <w:pPr>
      <w:spacing w:before="100" w:beforeAutospacing="1" w:after="100" w:afterAutospacing="1"/>
    </w:pPr>
    <w:rPr>
      <w:rFonts w:ascii="Times New Roman" w:hAnsi="Times New Roman"/>
      <w:sz w:val="24"/>
      <w:szCs w:val="24"/>
    </w:rPr>
  </w:style>
  <w:style w:type="paragraph" w:customStyle="1" w:styleId="tussenkop">
    <w:name w:val="tussenkop"/>
    <w:basedOn w:val="Standaard"/>
    <w:rsid w:val="008E342B"/>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8E342B"/>
    <w:rPr>
      <w:b/>
      <w:bCs/>
    </w:rPr>
  </w:style>
  <w:style w:type="paragraph" w:customStyle="1" w:styleId="labeled">
    <w:name w:val="labeled"/>
    <w:basedOn w:val="Standaard"/>
    <w:rsid w:val="008E342B"/>
    <w:pPr>
      <w:spacing w:before="100" w:beforeAutospacing="1" w:after="100" w:afterAutospacing="1"/>
    </w:pPr>
    <w:rPr>
      <w:rFonts w:ascii="Times New Roman" w:hAnsi="Times New Roman"/>
      <w:sz w:val="24"/>
      <w:szCs w:val="24"/>
    </w:rPr>
  </w:style>
  <w:style w:type="character" w:customStyle="1" w:styleId="ol">
    <w:name w:val="ol"/>
    <w:basedOn w:val="Standaardalinea-lettertype"/>
    <w:rsid w:val="008E342B"/>
  </w:style>
  <w:style w:type="paragraph" w:customStyle="1" w:styleId="lid">
    <w:name w:val="lid"/>
    <w:basedOn w:val="Standaard"/>
    <w:rsid w:val="00906782"/>
    <w:pPr>
      <w:spacing w:before="100" w:beforeAutospacing="1" w:after="100" w:afterAutospacing="1"/>
    </w:pPr>
    <w:rPr>
      <w:rFonts w:ascii="Times New Roman" w:hAnsi="Times New Roman"/>
      <w:sz w:val="24"/>
      <w:szCs w:val="24"/>
    </w:rPr>
  </w:style>
  <w:style w:type="character" w:customStyle="1" w:styleId="lidnr">
    <w:name w:val="lidnr"/>
    <w:basedOn w:val="Standaardalinea-lettertype"/>
    <w:rsid w:val="00906782"/>
  </w:style>
  <w:style w:type="character" w:customStyle="1" w:styleId="TekstopmerkingChar">
    <w:name w:val="Tekst opmerking Char"/>
    <w:basedOn w:val="Standaardalinea-lettertype"/>
    <w:link w:val="Tekstopmerking"/>
    <w:uiPriority w:val="99"/>
    <w:semiHidden/>
    <w:rsid w:val="00536A7B"/>
  </w:style>
  <w:style w:type="character" w:customStyle="1" w:styleId="Kop3Char">
    <w:name w:val="Kop 3 Char"/>
    <w:basedOn w:val="Standaardalinea-lettertype"/>
    <w:link w:val="Kop3"/>
    <w:semiHidden/>
    <w:rsid w:val="0060712C"/>
    <w:rPr>
      <w:rFonts w:asciiTheme="majorHAnsi" w:eastAsiaTheme="majorEastAsia" w:hAnsiTheme="majorHAnsi" w:cstheme="majorBidi"/>
      <w:color w:val="243F60" w:themeColor="accent1" w:themeShade="7F"/>
      <w:sz w:val="24"/>
      <w:szCs w:val="24"/>
    </w:rPr>
  </w:style>
  <w:style w:type="character" w:styleId="Onopgelostemelding">
    <w:name w:val="Unresolved Mention"/>
    <w:basedOn w:val="Standaardalinea-lettertype"/>
    <w:uiPriority w:val="99"/>
    <w:semiHidden/>
    <w:unhideWhenUsed/>
    <w:rsid w:val="00B61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4589">
      <w:bodyDiv w:val="1"/>
      <w:marLeft w:val="0"/>
      <w:marRight w:val="0"/>
      <w:marTop w:val="0"/>
      <w:marBottom w:val="0"/>
      <w:divBdr>
        <w:top w:val="none" w:sz="0" w:space="0" w:color="auto"/>
        <w:left w:val="none" w:sz="0" w:space="0" w:color="auto"/>
        <w:bottom w:val="none" w:sz="0" w:space="0" w:color="auto"/>
        <w:right w:val="none" w:sz="0" w:space="0" w:color="auto"/>
      </w:divBdr>
    </w:div>
    <w:div w:id="100079055">
      <w:bodyDiv w:val="1"/>
      <w:marLeft w:val="0"/>
      <w:marRight w:val="0"/>
      <w:marTop w:val="0"/>
      <w:marBottom w:val="0"/>
      <w:divBdr>
        <w:top w:val="none" w:sz="0" w:space="0" w:color="auto"/>
        <w:left w:val="none" w:sz="0" w:space="0" w:color="auto"/>
        <w:bottom w:val="none" w:sz="0" w:space="0" w:color="auto"/>
        <w:right w:val="none" w:sz="0" w:space="0" w:color="auto"/>
      </w:divBdr>
    </w:div>
    <w:div w:id="123888559">
      <w:bodyDiv w:val="1"/>
      <w:marLeft w:val="0"/>
      <w:marRight w:val="0"/>
      <w:marTop w:val="0"/>
      <w:marBottom w:val="0"/>
      <w:divBdr>
        <w:top w:val="none" w:sz="0" w:space="0" w:color="auto"/>
        <w:left w:val="none" w:sz="0" w:space="0" w:color="auto"/>
        <w:bottom w:val="none" w:sz="0" w:space="0" w:color="auto"/>
        <w:right w:val="none" w:sz="0" w:space="0" w:color="auto"/>
      </w:divBdr>
    </w:div>
    <w:div w:id="126318005">
      <w:bodyDiv w:val="1"/>
      <w:marLeft w:val="0"/>
      <w:marRight w:val="0"/>
      <w:marTop w:val="0"/>
      <w:marBottom w:val="0"/>
      <w:divBdr>
        <w:top w:val="none" w:sz="0" w:space="0" w:color="auto"/>
        <w:left w:val="none" w:sz="0" w:space="0" w:color="auto"/>
        <w:bottom w:val="none" w:sz="0" w:space="0" w:color="auto"/>
        <w:right w:val="none" w:sz="0" w:space="0" w:color="auto"/>
      </w:divBdr>
    </w:div>
    <w:div w:id="133569981">
      <w:bodyDiv w:val="1"/>
      <w:marLeft w:val="0"/>
      <w:marRight w:val="0"/>
      <w:marTop w:val="0"/>
      <w:marBottom w:val="0"/>
      <w:divBdr>
        <w:top w:val="none" w:sz="0" w:space="0" w:color="auto"/>
        <w:left w:val="none" w:sz="0" w:space="0" w:color="auto"/>
        <w:bottom w:val="none" w:sz="0" w:space="0" w:color="auto"/>
        <w:right w:val="none" w:sz="0" w:space="0" w:color="auto"/>
      </w:divBdr>
    </w:div>
    <w:div w:id="149294925">
      <w:bodyDiv w:val="1"/>
      <w:marLeft w:val="0"/>
      <w:marRight w:val="0"/>
      <w:marTop w:val="0"/>
      <w:marBottom w:val="0"/>
      <w:divBdr>
        <w:top w:val="none" w:sz="0" w:space="0" w:color="auto"/>
        <w:left w:val="none" w:sz="0" w:space="0" w:color="auto"/>
        <w:bottom w:val="none" w:sz="0" w:space="0" w:color="auto"/>
        <w:right w:val="none" w:sz="0" w:space="0" w:color="auto"/>
      </w:divBdr>
      <w:divsChild>
        <w:div w:id="1257326797">
          <w:marLeft w:val="0"/>
          <w:marRight w:val="0"/>
          <w:marTop w:val="0"/>
          <w:marBottom w:val="300"/>
          <w:divBdr>
            <w:top w:val="none" w:sz="0" w:space="0" w:color="auto"/>
            <w:left w:val="none" w:sz="0" w:space="0" w:color="auto"/>
            <w:bottom w:val="none" w:sz="0" w:space="0" w:color="auto"/>
            <w:right w:val="none" w:sz="0" w:space="0" w:color="auto"/>
          </w:divBdr>
        </w:div>
      </w:divsChild>
    </w:div>
    <w:div w:id="158545121">
      <w:bodyDiv w:val="1"/>
      <w:marLeft w:val="0"/>
      <w:marRight w:val="0"/>
      <w:marTop w:val="0"/>
      <w:marBottom w:val="0"/>
      <w:divBdr>
        <w:top w:val="none" w:sz="0" w:space="0" w:color="auto"/>
        <w:left w:val="none" w:sz="0" w:space="0" w:color="auto"/>
        <w:bottom w:val="none" w:sz="0" w:space="0" w:color="auto"/>
        <w:right w:val="none" w:sz="0" w:space="0" w:color="auto"/>
      </w:divBdr>
    </w:div>
    <w:div w:id="159660804">
      <w:bodyDiv w:val="1"/>
      <w:marLeft w:val="0"/>
      <w:marRight w:val="0"/>
      <w:marTop w:val="0"/>
      <w:marBottom w:val="0"/>
      <w:divBdr>
        <w:top w:val="none" w:sz="0" w:space="0" w:color="auto"/>
        <w:left w:val="none" w:sz="0" w:space="0" w:color="auto"/>
        <w:bottom w:val="none" w:sz="0" w:space="0" w:color="auto"/>
        <w:right w:val="none" w:sz="0" w:space="0" w:color="auto"/>
      </w:divBdr>
    </w:div>
    <w:div w:id="165704944">
      <w:bodyDiv w:val="1"/>
      <w:marLeft w:val="0"/>
      <w:marRight w:val="0"/>
      <w:marTop w:val="0"/>
      <w:marBottom w:val="0"/>
      <w:divBdr>
        <w:top w:val="none" w:sz="0" w:space="0" w:color="auto"/>
        <w:left w:val="none" w:sz="0" w:space="0" w:color="auto"/>
        <w:bottom w:val="none" w:sz="0" w:space="0" w:color="auto"/>
        <w:right w:val="none" w:sz="0" w:space="0" w:color="auto"/>
      </w:divBdr>
    </w:div>
    <w:div w:id="183254892">
      <w:bodyDiv w:val="1"/>
      <w:marLeft w:val="0"/>
      <w:marRight w:val="0"/>
      <w:marTop w:val="0"/>
      <w:marBottom w:val="0"/>
      <w:divBdr>
        <w:top w:val="none" w:sz="0" w:space="0" w:color="auto"/>
        <w:left w:val="none" w:sz="0" w:space="0" w:color="auto"/>
        <w:bottom w:val="none" w:sz="0" w:space="0" w:color="auto"/>
        <w:right w:val="none" w:sz="0" w:space="0" w:color="auto"/>
      </w:divBdr>
    </w:div>
    <w:div w:id="221062030">
      <w:bodyDiv w:val="1"/>
      <w:marLeft w:val="0"/>
      <w:marRight w:val="0"/>
      <w:marTop w:val="0"/>
      <w:marBottom w:val="0"/>
      <w:divBdr>
        <w:top w:val="none" w:sz="0" w:space="0" w:color="auto"/>
        <w:left w:val="none" w:sz="0" w:space="0" w:color="auto"/>
        <w:bottom w:val="none" w:sz="0" w:space="0" w:color="auto"/>
        <w:right w:val="none" w:sz="0" w:space="0" w:color="auto"/>
      </w:divBdr>
    </w:div>
    <w:div w:id="230889313">
      <w:bodyDiv w:val="1"/>
      <w:marLeft w:val="0"/>
      <w:marRight w:val="0"/>
      <w:marTop w:val="0"/>
      <w:marBottom w:val="0"/>
      <w:divBdr>
        <w:top w:val="none" w:sz="0" w:space="0" w:color="auto"/>
        <w:left w:val="none" w:sz="0" w:space="0" w:color="auto"/>
        <w:bottom w:val="none" w:sz="0" w:space="0" w:color="auto"/>
        <w:right w:val="none" w:sz="0" w:space="0" w:color="auto"/>
      </w:divBdr>
    </w:div>
    <w:div w:id="244459682">
      <w:bodyDiv w:val="1"/>
      <w:marLeft w:val="0"/>
      <w:marRight w:val="0"/>
      <w:marTop w:val="0"/>
      <w:marBottom w:val="0"/>
      <w:divBdr>
        <w:top w:val="none" w:sz="0" w:space="0" w:color="auto"/>
        <w:left w:val="none" w:sz="0" w:space="0" w:color="auto"/>
        <w:bottom w:val="none" w:sz="0" w:space="0" w:color="auto"/>
        <w:right w:val="none" w:sz="0" w:space="0" w:color="auto"/>
      </w:divBdr>
    </w:div>
    <w:div w:id="290088192">
      <w:bodyDiv w:val="1"/>
      <w:marLeft w:val="0"/>
      <w:marRight w:val="0"/>
      <w:marTop w:val="0"/>
      <w:marBottom w:val="0"/>
      <w:divBdr>
        <w:top w:val="none" w:sz="0" w:space="0" w:color="auto"/>
        <w:left w:val="none" w:sz="0" w:space="0" w:color="auto"/>
        <w:bottom w:val="none" w:sz="0" w:space="0" w:color="auto"/>
        <w:right w:val="none" w:sz="0" w:space="0" w:color="auto"/>
      </w:divBdr>
    </w:div>
    <w:div w:id="303005348">
      <w:bodyDiv w:val="1"/>
      <w:marLeft w:val="0"/>
      <w:marRight w:val="0"/>
      <w:marTop w:val="0"/>
      <w:marBottom w:val="0"/>
      <w:divBdr>
        <w:top w:val="none" w:sz="0" w:space="0" w:color="auto"/>
        <w:left w:val="none" w:sz="0" w:space="0" w:color="auto"/>
        <w:bottom w:val="none" w:sz="0" w:space="0" w:color="auto"/>
        <w:right w:val="none" w:sz="0" w:space="0" w:color="auto"/>
      </w:divBdr>
    </w:div>
    <w:div w:id="324866548">
      <w:bodyDiv w:val="1"/>
      <w:marLeft w:val="0"/>
      <w:marRight w:val="0"/>
      <w:marTop w:val="0"/>
      <w:marBottom w:val="0"/>
      <w:divBdr>
        <w:top w:val="none" w:sz="0" w:space="0" w:color="auto"/>
        <w:left w:val="none" w:sz="0" w:space="0" w:color="auto"/>
        <w:bottom w:val="none" w:sz="0" w:space="0" w:color="auto"/>
        <w:right w:val="none" w:sz="0" w:space="0" w:color="auto"/>
      </w:divBdr>
    </w:div>
    <w:div w:id="350225450">
      <w:bodyDiv w:val="1"/>
      <w:marLeft w:val="0"/>
      <w:marRight w:val="0"/>
      <w:marTop w:val="0"/>
      <w:marBottom w:val="0"/>
      <w:divBdr>
        <w:top w:val="none" w:sz="0" w:space="0" w:color="auto"/>
        <w:left w:val="none" w:sz="0" w:space="0" w:color="auto"/>
        <w:bottom w:val="none" w:sz="0" w:space="0" w:color="auto"/>
        <w:right w:val="none" w:sz="0" w:space="0" w:color="auto"/>
      </w:divBdr>
    </w:div>
    <w:div w:id="358237380">
      <w:bodyDiv w:val="1"/>
      <w:marLeft w:val="0"/>
      <w:marRight w:val="0"/>
      <w:marTop w:val="0"/>
      <w:marBottom w:val="0"/>
      <w:divBdr>
        <w:top w:val="none" w:sz="0" w:space="0" w:color="auto"/>
        <w:left w:val="none" w:sz="0" w:space="0" w:color="auto"/>
        <w:bottom w:val="none" w:sz="0" w:space="0" w:color="auto"/>
        <w:right w:val="none" w:sz="0" w:space="0" w:color="auto"/>
      </w:divBdr>
    </w:div>
    <w:div w:id="364721875">
      <w:bodyDiv w:val="1"/>
      <w:marLeft w:val="0"/>
      <w:marRight w:val="0"/>
      <w:marTop w:val="0"/>
      <w:marBottom w:val="0"/>
      <w:divBdr>
        <w:top w:val="none" w:sz="0" w:space="0" w:color="auto"/>
        <w:left w:val="none" w:sz="0" w:space="0" w:color="auto"/>
        <w:bottom w:val="none" w:sz="0" w:space="0" w:color="auto"/>
        <w:right w:val="none" w:sz="0" w:space="0" w:color="auto"/>
      </w:divBdr>
    </w:div>
    <w:div w:id="421612023">
      <w:bodyDiv w:val="1"/>
      <w:marLeft w:val="0"/>
      <w:marRight w:val="0"/>
      <w:marTop w:val="0"/>
      <w:marBottom w:val="0"/>
      <w:divBdr>
        <w:top w:val="none" w:sz="0" w:space="0" w:color="auto"/>
        <w:left w:val="none" w:sz="0" w:space="0" w:color="auto"/>
        <w:bottom w:val="none" w:sz="0" w:space="0" w:color="auto"/>
        <w:right w:val="none" w:sz="0" w:space="0" w:color="auto"/>
      </w:divBdr>
    </w:div>
    <w:div w:id="430317359">
      <w:bodyDiv w:val="1"/>
      <w:marLeft w:val="0"/>
      <w:marRight w:val="0"/>
      <w:marTop w:val="0"/>
      <w:marBottom w:val="0"/>
      <w:divBdr>
        <w:top w:val="none" w:sz="0" w:space="0" w:color="auto"/>
        <w:left w:val="none" w:sz="0" w:space="0" w:color="auto"/>
        <w:bottom w:val="none" w:sz="0" w:space="0" w:color="auto"/>
        <w:right w:val="none" w:sz="0" w:space="0" w:color="auto"/>
      </w:divBdr>
    </w:div>
    <w:div w:id="442261509">
      <w:bodyDiv w:val="1"/>
      <w:marLeft w:val="0"/>
      <w:marRight w:val="0"/>
      <w:marTop w:val="0"/>
      <w:marBottom w:val="0"/>
      <w:divBdr>
        <w:top w:val="none" w:sz="0" w:space="0" w:color="auto"/>
        <w:left w:val="none" w:sz="0" w:space="0" w:color="auto"/>
        <w:bottom w:val="none" w:sz="0" w:space="0" w:color="auto"/>
        <w:right w:val="none" w:sz="0" w:space="0" w:color="auto"/>
      </w:divBdr>
    </w:div>
    <w:div w:id="467168013">
      <w:bodyDiv w:val="1"/>
      <w:marLeft w:val="0"/>
      <w:marRight w:val="0"/>
      <w:marTop w:val="0"/>
      <w:marBottom w:val="0"/>
      <w:divBdr>
        <w:top w:val="none" w:sz="0" w:space="0" w:color="auto"/>
        <w:left w:val="none" w:sz="0" w:space="0" w:color="auto"/>
        <w:bottom w:val="none" w:sz="0" w:space="0" w:color="auto"/>
        <w:right w:val="none" w:sz="0" w:space="0" w:color="auto"/>
      </w:divBdr>
    </w:div>
    <w:div w:id="486748966">
      <w:bodyDiv w:val="1"/>
      <w:marLeft w:val="0"/>
      <w:marRight w:val="0"/>
      <w:marTop w:val="0"/>
      <w:marBottom w:val="0"/>
      <w:divBdr>
        <w:top w:val="none" w:sz="0" w:space="0" w:color="auto"/>
        <w:left w:val="none" w:sz="0" w:space="0" w:color="auto"/>
        <w:bottom w:val="none" w:sz="0" w:space="0" w:color="auto"/>
        <w:right w:val="none" w:sz="0" w:space="0" w:color="auto"/>
      </w:divBdr>
    </w:div>
    <w:div w:id="492768260">
      <w:bodyDiv w:val="1"/>
      <w:marLeft w:val="0"/>
      <w:marRight w:val="0"/>
      <w:marTop w:val="0"/>
      <w:marBottom w:val="0"/>
      <w:divBdr>
        <w:top w:val="none" w:sz="0" w:space="0" w:color="auto"/>
        <w:left w:val="none" w:sz="0" w:space="0" w:color="auto"/>
        <w:bottom w:val="none" w:sz="0" w:space="0" w:color="auto"/>
        <w:right w:val="none" w:sz="0" w:space="0" w:color="auto"/>
      </w:divBdr>
    </w:div>
    <w:div w:id="547955908">
      <w:bodyDiv w:val="1"/>
      <w:marLeft w:val="0"/>
      <w:marRight w:val="0"/>
      <w:marTop w:val="0"/>
      <w:marBottom w:val="0"/>
      <w:divBdr>
        <w:top w:val="none" w:sz="0" w:space="0" w:color="auto"/>
        <w:left w:val="none" w:sz="0" w:space="0" w:color="auto"/>
        <w:bottom w:val="none" w:sz="0" w:space="0" w:color="auto"/>
        <w:right w:val="none" w:sz="0" w:space="0" w:color="auto"/>
      </w:divBdr>
    </w:div>
    <w:div w:id="554314077">
      <w:bodyDiv w:val="1"/>
      <w:marLeft w:val="0"/>
      <w:marRight w:val="0"/>
      <w:marTop w:val="0"/>
      <w:marBottom w:val="0"/>
      <w:divBdr>
        <w:top w:val="none" w:sz="0" w:space="0" w:color="auto"/>
        <w:left w:val="none" w:sz="0" w:space="0" w:color="auto"/>
        <w:bottom w:val="none" w:sz="0" w:space="0" w:color="auto"/>
        <w:right w:val="none" w:sz="0" w:space="0" w:color="auto"/>
      </w:divBdr>
    </w:div>
    <w:div w:id="577439985">
      <w:bodyDiv w:val="1"/>
      <w:marLeft w:val="0"/>
      <w:marRight w:val="0"/>
      <w:marTop w:val="0"/>
      <w:marBottom w:val="0"/>
      <w:divBdr>
        <w:top w:val="none" w:sz="0" w:space="0" w:color="auto"/>
        <w:left w:val="none" w:sz="0" w:space="0" w:color="auto"/>
        <w:bottom w:val="none" w:sz="0" w:space="0" w:color="auto"/>
        <w:right w:val="none" w:sz="0" w:space="0" w:color="auto"/>
      </w:divBdr>
    </w:div>
    <w:div w:id="608122035">
      <w:bodyDiv w:val="1"/>
      <w:marLeft w:val="0"/>
      <w:marRight w:val="0"/>
      <w:marTop w:val="0"/>
      <w:marBottom w:val="0"/>
      <w:divBdr>
        <w:top w:val="none" w:sz="0" w:space="0" w:color="auto"/>
        <w:left w:val="none" w:sz="0" w:space="0" w:color="auto"/>
        <w:bottom w:val="none" w:sz="0" w:space="0" w:color="auto"/>
        <w:right w:val="none" w:sz="0" w:space="0" w:color="auto"/>
      </w:divBdr>
    </w:div>
    <w:div w:id="642005635">
      <w:bodyDiv w:val="1"/>
      <w:marLeft w:val="0"/>
      <w:marRight w:val="0"/>
      <w:marTop w:val="0"/>
      <w:marBottom w:val="0"/>
      <w:divBdr>
        <w:top w:val="none" w:sz="0" w:space="0" w:color="auto"/>
        <w:left w:val="none" w:sz="0" w:space="0" w:color="auto"/>
        <w:bottom w:val="none" w:sz="0" w:space="0" w:color="auto"/>
        <w:right w:val="none" w:sz="0" w:space="0" w:color="auto"/>
      </w:divBdr>
    </w:div>
    <w:div w:id="647054743">
      <w:bodyDiv w:val="1"/>
      <w:marLeft w:val="0"/>
      <w:marRight w:val="0"/>
      <w:marTop w:val="0"/>
      <w:marBottom w:val="0"/>
      <w:divBdr>
        <w:top w:val="none" w:sz="0" w:space="0" w:color="auto"/>
        <w:left w:val="none" w:sz="0" w:space="0" w:color="auto"/>
        <w:bottom w:val="none" w:sz="0" w:space="0" w:color="auto"/>
        <w:right w:val="none" w:sz="0" w:space="0" w:color="auto"/>
      </w:divBdr>
    </w:div>
    <w:div w:id="662782192">
      <w:bodyDiv w:val="1"/>
      <w:marLeft w:val="0"/>
      <w:marRight w:val="0"/>
      <w:marTop w:val="0"/>
      <w:marBottom w:val="0"/>
      <w:divBdr>
        <w:top w:val="none" w:sz="0" w:space="0" w:color="auto"/>
        <w:left w:val="none" w:sz="0" w:space="0" w:color="auto"/>
        <w:bottom w:val="none" w:sz="0" w:space="0" w:color="auto"/>
        <w:right w:val="none" w:sz="0" w:space="0" w:color="auto"/>
      </w:divBdr>
    </w:div>
    <w:div w:id="680009015">
      <w:bodyDiv w:val="1"/>
      <w:marLeft w:val="0"/>
      <w:marRight w:val="0"/>
      <w:marTop w:val="0"/>
      <w:marBottom w:val="0"/>
      <w:divBdr>
        <w:top w:val="none" w:sz="0" w:space="0" w:color="auto"/>
        <w:left w:val="none" w:sz="0" w:space="0" w:color="auto"/>
        <w:bottom w:val="none" w:sz="0" w:space="0" w:color="auto"/>
        <w:right w:val="none" w:sz="0" w:space="0" w:color="auto"/>
      </w:divBdr>
    </w:div>
    <w:div w:id="730692112">
      <w:bodyDiv w:val="1"/>
      <w:marLeft w:val="0"/>
      <w:marRight w:val="0"/>
      <w:marTop w:val="0"/>
      <w:marBottom w:val="0"/>
      <w:divBdr>
        <w:top w:val="none" w:sz="0" w:space="0" w:color="auto"/>
        <w:left w:val="none" w:sz="0" w:space="0" w:color="auto"/>
        <w:bottom w:val="none" w:sz="0" w:space="0" w:color="auto"/>
        <w:right w:val="none" w:sz="0" w:space="0" w:color="auto"/>
      </w:divBdr>
    </w:div>
    <w:div w:id="734468629">
      <w:bodyDiv w:val="1"/>
      <w:marLeft w:val="0"/>
      <w:marRight w:val="0"/>
      <w:marTop w:val="0"/>
      <w:marBottom w:val="0"/>
      <w:divBdr>
        <w:top w:val="none" w:sz="0" w:space="0" w:color="auto"/>
        <w:left w:val="none" w:sz="0" w:space="0" w:color="auto"/>
        <w:bottom w:val="none" w:sz="0" w:space="0" w:color="auto"/>
        <w:right w:val="none" w:sz="0" w:space="0" w:color="auto"/>
      </w:divBdr>
    </w:div>
    <w:div w:id="738599900">
      <w:bodyDiv w:val="1"/>
      <w:marLeft w:val="0"/>
      <w:marRight w:val="0"/>
      <w:marTop w:val="0"/>
      <w:marBottom w:val="0"/>
      <w:divBdr>
        <w:top w:val="none" w:sz="0" w:space="0" w:color="auto"/>
        <w:left w:val="none" w:sz="0" w:space="0" w:color="auto"/>
        <w:bottom w:val="none" w:sz="0" w:space="0" w:color="auto"/>
        <w:right w:val="none" w:sz="0" w:space="0" w:color="auto"/>
      </w:divBdr>
    </w:div>
    <w:div w:id="764305841">
      <w:bodyDiv w:val="1"/>
      <w:marLeft w:val="0"/>
      <w:marRight w:val="0"/>
      <w:marTop w:val="0"/>
      <w:marBottom w:val="0"/>
      <w:divBdr>
        <w:top w:val="none" w:sz="0" w:space="0" w:color="auto"/>
        <w:left w:val="none" w:sz="0" w:space="0" w:color="auto"/>
        <w:bottom w:val="none" w:sz="0" w:space="0" w:color="auto"/>
        <w:right w:val="none" w:sz="0" w:space="0" w:color="auto"/>
      </w:divBdr>
    </w:div>
    <w:div w:id="766194695">
      <w:bodyDiv w:val="1"/>
      <w:marLeft w:val="0"/>
      <w:marRight w:val="0"/>
      <w:marTop w:val="0"/>
      <w:marBottom w:val="0"/>
      <w:divBdr>
        <w:top w:val="none" w:sz="0" w:space="0" w:color="auto"/>
        <w:left w:val="none" w:sz="0" w:space="0" w:color="auto"/>
        <w:bottom w:val="none" w:sz="0" w:space="0" w:color="auto"/>
        <w:right w:val="none" w:sz="0" w:space="0" w:color="auto"/>
      </w:divBdr>
    </w:div>
    <w:div w:id="771437680">
      <w:bodyDiv w:val="1"/>
      <w:marLeft w:val="0"/>
      <w:marRight w:val="0"/>
      <w:marTop w:val="0"/>
      <w:marBottom w:val="0"/>
      <w:divBdr>
        <w:top w:val="none" w:sz="0" w:space="0" w:color="auto"/>
        <w:left w:val="none" w:sz="0" w:space="0" w:color="auto"/>
        <w:bottom w:val="none" w:sz="0" w:space="0" w:color="auto"/>
        <w:right w:val="none" w:sz="0" w:space="0" w:color="auto"/>
      </w:divBdr>
    </w:div>
    <w:div w:id="780799513">
      <w:bodyDiv w:val="1"/>
      <w:marLeft w:val="0"/>
      <w:marRight w:val="0"/>
      <w:marTop w:val="0"/>
      <w:marBottom w:val="0"/>
      <w:divBdr>
        <w:top w:val="none" w:sz="0" w:space="0" w:color="auto"/>
        <w:left w:val="none" w:sz="0" w:space="0" w:color="auto"/>
        <w:bottom w:val="none" w:sz="0" w:space="0" w:color="auto"/>
        <w:right w:val="none" w:sz="0" w:space="0" w:color="auto"/>
      </w:divBdr>
    </w:div>
    <w:div w:id="792669522">
      <w:bodyDiv w:val="1"/>
      <w:marLeft w:val="0"/>
      <w:marRight w:val="0"/>
      <w:marTop w:val="0"/>
      <w:marBottom w:val="0"/>
      <w:divBdr>
        <w:top w:val="none" w:sz="0" w:space="0" w:color="auto"/>
        <w:left w:val="none" w:sz="0" w:space="0" w:color="auto"/>
        <w:bottom w:val="none" w:sz="0" w:space="0" w:color="auto"/>
        <w:right w:val="none" w:sz="0" w:space="0" w:color="auto"/>
      </w:divBdr>
    </w:div>
    <w:div w:id="795835275">
      <w:bodyDiv w:val="1"/>
      <w:marLeft w:val="0"/>
      <w:marRight w:val="0"/>
      <w:marTop w:val="0"/>
      <w:marBottom w:val="0"/>
      <w:divBdr>
        <w:top w:val="none" w:sz="0" w:space="0" w:color="auto"/>
        <w:left w:val="none" w:sz="0" w:space="0" w:color="auto"/>
        <w:bottom w:val="none" w:sz="0" w:space="0" w:color="auto"/>
        <w:right w:val="none" w:sz="0" w:space="0" w:color="auto"/>
      </w:divBdr>
    </w:div>
    <w:div w:id="798376432">
      <w:bodyDiv w:val="1"/>
      <w:marLeft w:val="0"/>
      <w:marRight w:val="0"/>
      <w:marTop w:val="0"/>
      <w:marBottom w:val="0"/>
      <w:divBdr>
        <w:top w:val="none" w:sz="0" w:space="0" w:color="auto"/>
        <w:left w:val="none" w:sz="0" w:space="0" w:color="auto"/>
        <w:bottom w:val="none" w:sz="0" w:space="0" w:color="auto"/>
        <w:right w:val="none" w:sz="0" w:space="0" w:color="auto"/>
      </w:divBdr>
    </w:div>
    <w:div w:id="802776105">
      <w:bodyDiv w:val="1"/>
      <w:marLeft w:val="0"/>
      <w:marRight w:val="0"/>
      <w:marTop w:val="0"/>
      <w:marBottom w:val="0"/>
      <w:divBdr>
        <w:top w:val="none" w:sz="0" w:space="0" w:color="auto"/>
        <w:left w:val="none" w:sz="0" w:space="0" w:color="auto"/>
        <w:bottom w:val="none" w:sz="0" w:space="0" w:color="auto"/>
        <w:right w:val="none" w:sz="0" w:space="0" w:color="auto"/>
      </w:divBdr>
    </w:div>
    <w:div w:id="810512719">
      <w:bodyDiv w:val="1"/>
      <w:marLeft w:val="0"/>
      <w:marRight w:val="0"/>
      <w:marTop w:val="0"/>
      <w:marBottom w:val="0"/>
      <w:divBdr>
        <w:top w:val="none" w:sz="0" w:space="0" w:color="auto"/>
        <w:left w:val="none" w:sz="0" w:space="0" w:color="auto"/>
        <w:bottom w:val="none" w:sz="0" w:space="0" w:color="auto"/>
        <w:right w:val="none" w:sz="0" w:space="0" w:color="auto"/>
      </w:divBdr>
    </w:div>
    <w:div w:id="810635893">
      <w:bodyDiv w:val="1"/>
      <w:marLeft w:val="0"/>
      <w:marRight w:val="0"/>
      <w:marTop w:val="0"/>
      <w:marBottom w:val="0"/>
      <w:divBdr>
        <w:top w:val="none" w:sz="0" w:space="0" w:color="auto"/>
        <w:left w:val="none" w:sz="0" w:space="0" w:color="auto"/>
        <w:bottom w:val="none" w:sz="0" w:space="0" w:color="auto"/>
        <w:right w:val="none" w:sz="0" w:space="0" w:color="auto"/>
      </w:divBdr>
    </w:div>
    <w:div w:id="864371894">
      <w:bodyDiv w:val="1"/>
      <w:marLeft w:val="0"/>
      <w:marRight w:val="0"/>
      <w:marTop w:val="0"/>
      <w:marBottom w:val="0"/>
      <w:divBdr>
        <w:top w:val="none" w:sz="0" w:space="0" w:color="auto"/>
        <w:left w:val="none" w:sz="0" w:space="0" w:color="auto"/>
        <w:bottom w:val="none" w:sz="0" w:space="0" w:color="auto"/>
        <w:right w:val="none" w:sz="0" w:space="0" w:color="auto"/>
      </w:divBdr>
    </w:div>
    <w:div w:id="877204318">
      <w:bodyDiv w:val="1"/>
      <w:marLeft w:val="0"/>
      <w:marRight w:val="0"/>
      <w:marTop w:val="0"/>
      <w:marBottom w:val="0"/>
      <w:divBdr>
        <w:top w:val="none" w:sz="0" w:space="0" w:color="auto"/>
        <w:left w:val="none" w:sz="0" w:space="0" w:color="auto"/>
        <w:bottom w:val="none" w:sz="0" w:space="0" w:color="auto"/>
        <w:right w:val="none" w:sz="0" w:space="0" w:color="auto"/>
      </w:divBdr>
    </w:div>
    <w:div w:id="914245169">
      <w:bodyDiv w:val="1"/>
      <w:marLeft w:val="0"/>
      <w:marRight w:val="0"/>
      <w:marTop w:val="0"/>
      <w:marBottom w:val="0"/>
      <w:divBdr>
        <w:top w:val="none" w:sz="0" w:space="0" w:color="auto"/>
        <w:left w:val="none" w:sz="0" w:space="0" w:color="auto"/>
        <w:bottom w:val="none" w:sz="0" w:space="0" w:color="auto"/>
        <w:right w:val="none" w:sz="0" w:space="0" w:color="auto"/>
      </w:divBdr>
    </w:div>
    <w:div w:id="940186518">
      <w:bodyDiv w:val="1"/>
      <w:marLeft w:val="0"/>
      <w:marRight w:val="0"/>
      <w:marTop w:val="0"/>
      <w:marBottom w:val="0"/>
      <w:divBdr>
        <w:top w:val="none" w:sz="0" w:space="0" w:color="auto"/>
        <w:left w:val="none" w:sz="0" w:space="0" w:color="auto"/>
        <w:bottom w:val="none" w:sz="0" w:space="0" w:color="auto"/>
        <w:right w:val="none" w:sz="0" w:space="0" w:color="auto"/>
      </w:divBdr>
    </w:div>
    <w:div w:id="960571333">
      <w:bodyDiv w:val="1"/>
      <w:marLeft w:val="0"/>
      <w:marRight w:val="0"/>
      <w:marTop w:val="0"/>
      <w:marBottom w:val="0"/>
      <w:divBdr>
        <w:top w:val="none" w:sz="0" w:space="0" w:color="auto"/>
        <w:left w:val="none" w:sz="0" w:space="0" w:color="auto"/>
        <w:bottom w:val="none" w:sz="0" w:space="0" w:color="auto"/>
        <w:right w:val="none" w:sz="0" w:space="0" w:color="auto"/>
      </w:divBdr>
    </w:div>
    <w:div w:id="978727501">
      <w:bodyDiv w:val="1"/>
      <w:marLeft w:val="0"/>
      <w:marRight w:val="0"/>
      <w:marTop w:val="0"/>
      <w:marBottom w:val="0"/>
      <w:divBdr>
        <w:top w:val="none" w:sz="0" w:space="0" w:color="auto"/>
        <w:left w:val="none" w:sz="0" w:space="0" w:color="auto"/>
        <w:bottom w:val="none" w:sz="0" w:space="0" w:color="auto"/>
        <w:right w:val="none" w:sz="0" w:space="0" w:color="auto"/>
      </w:divBdr>
    </w:div>
    <w:div w:id="984898162">
      <w:bodyDiv w:val="1"/>
      <w:marLeft w:val="0"/>
      <w:marRight w:val="0"/>
      <w:marTop w:val="0"/>
      <w:marBottom w:val="0"/>
      <w:divBdr>
        <w:top w:val="none" w:sz="0" w:space="0" w:color="auto"/>
        <w:left w:val="none" w:sz="0" w:space="0" w:color="auto"/>
        <w:bottom w:val="none" w:sz="0" w:space="0" w:color="auto"/>
        <w:right w:val="none" w:sz="0" w:space="0" w:color="auto"/>
      </w:divBdr>
    </w:div>
    <w:div w:id="1003169052">
      <w:bodyDiv w:val="1"/>
      <w:marLeft w:val="0"/>
      <w:marRight w:val="0"/>
      <w:marTop w:val="0"/>
      <w:marBottom w:val="0"/>
      <w:divBdr>
        <w:top w:val="none" w:sz="0" w:space="0" w:color="auto"/>
        <w:left w:val="none" w:sz="0" w:space="0" w:color="auto"/>
        <w:bottom w:val="none" w:sz="0" w:space="0" w:color="auto"/>
        <w:right w:val="none" w:sz="0" w:space="0" w:color="auto"/>
      </w:divBdr>
    </w:div>
    <w:div w:id="1003582875">
      <w:bodyDiv w:val="1"/>
      <w:marLeft w:val="0"/>
      <w:marRight w:val="0"/>
      <w:marTop w:val="0"/>
      <w:marBottom w:val="0"/>
      <w:divBdr>
        <w:top w:val="none" w:sz="0" w:space="0" w:color="auto"/>
        <w:left w:val="none" w:sz="0" w:space="0" w:color="auto"/>
        <w:bottom w:val="none" w:sz="0" w:space="0" w:color="auto"/>
        <w:right w:val="none" w:sz="0" w:space="0" w:color="auto"/>
      </w:divBdr>
    </w:div>
    <w:div w:id="1030716621">
      <w:bodyDiv w:val="1"/>
      <w:marLeft w:val="0"/>
      <w:marRight w:val="0"/>
      <w:marTop w:val="0"/>
      <w:marBottom w:val="0"/>
      <w:divBdr>
        <w:top w:val="none" w:sz="0" w:space="0" w:color="auto"/>
        <w:left w:val="none" w:sz="0" w:space="0" w:color="auto"/>
        <w:bottom w:val="none" w:sz="0" w:space="0" w:color="auto"/>
        <w:right w:val="none" w:sz="0" w:space="0" w:color="auto"/>
      </w:divBdr>
    </w:div>
    <w:div w:id="1050374027">
      <w:bodyDiv w:val="1"/>
      <w:marLeft w:val="0"/>
      <w:marRight w:val="0"/>
      <w:marTop w:val="0"/>
      <w:marBottom w:val="0"/>
      <w:divBdr>
        <w:top w:val="none" w:sz="0" w:space="0" w:color="auto"/>
        <w:left w:val="none" w:sz="0" w:space="0" w:color="auto"/>
        <w:bottom w:val="none" w:sz="0" w:space="0" w:color="auto"/>
        <w:right w:val="none" w:sz="0" w:space="0" w:color="auto"/>
      </w:divBdr>
    </w:div>
    <w:div w:id="1053114797">
      <w:bodyDiv w:val="1"/>
      <w:marLeft w:val="0"/>
      <w:marRight w:val="0"/>
      <w:marTop w:val="0"/>
      <w:marBottom w:val="0"/>
      <w:divBdr>
        <w:top w:val="none" w:sz="0" w:space="0" w:color="auto"/>
        <w:left w:val="none" w:sz="0" w:space="0" w:color="auto"/>
        <w:bottom w:val="none" w:sz="0" w:space="0" w:color="auto"/>
        <w:right w:val="none" w:sz="0" w:space="0" w:color="auto"/>
      </w:divBdr>
    </w:div>
    <w:div w:id="1061251872">
      <w:bodyDiv w:val="1"/>
      <w:marLeft w:val="0"/>
      <w:marRight w:val="0"/>
      <w:marTop w:val="0"/>
      <w:marBottom w:val="0"/>
      <w:divBdr>
        <w:top w:val="none" w:sz="0" w:space="0" w:color="auto"/>
        <w:left w:val="none" w:sz="0" w:space="0" w:color="auto"/>
        <w:bottom w:val="none" w:sz="0" w:space="0" w:color="auto"/>
        <w:right w:val="none" w:sz="0" w:space="0" w:color="auto"/>
      </w:divBdr>
    </w:div>
    <w:div w:id="1069763816">
      <w:bodyDiv w:val="1"/>
      <w:marLeft w:val="0"/>
      <w:marRight w:val="0"/>
      <w:marTop w:val="0"/>
      <w:marBottom w:val="0"/>
      <w:divBdr>
        <w:top w:val="none" w:sz="0" w:space="0" w:color="auto"/>
        <w:left w:val="none" w:sz="0" w:space="0" w:color="auto"/>
        <w:bottom w:val="none" w:sz="0" w:space="0" w:color="auto"/>
        <w:right w:val="none" w:sz="0" w:space="0" w:color="auto"/>
      </w:divBdr>
    </w:div>
    <w:div w:id="1080520445">
      <w:bodyDiv w:val="1"/>
      <w:marLeft w:val="0"/>
      <w:marRight w:val="0"/>
      <w:marTop w:val="0"/>
      <w:marBottom w:val="0"/>
      <w:divBdr>
        <w:top w:val="none" w:sz="0" w:space="0" w:color="auto"/>
        <w:left w:val="none" w:sz="0" w:space="0" w:color="auto"/>
        <w:bottom w:val="none" w:sz="0" w:space="0" w:color="auto"/>
        <w:right w:val="none" w:sz="0" w:space="0" w:color="auto"/>
      </w:divBdr>
    </w:div>
    <w:div w:id="1093430455">
      <w:bodyDiv w:val="1"/>
      <w:marLeft w:val="0"/>
      <w:marRight w:val="0"/>
      <w:marTop w:val="0"/>
      <w:marBottom w:val="0"/>
      <w:divBdr>
        <w:top w:val="none" w:sz="0" w:space="0" w:color="auto"/>
        <w:left w:val="none" w:sz="0" w:space="0" w:color="auto"/>
        <w:bottom w:val="none" w:sz="0" w:space="0" w:color="auto"/>
        <w:right w:val="none" w:sz="0" w:space="0" w:color="auto"/>
      </w:divBdr>
    </w:div>
    <w:div w:id="1109666180">
      <w:bodyDiv w:val="1"/>
      <w:marLeft w:val="0"/>
      <w:marRight w:val="0"/>
      <w:marTop w:val="0"/>
      <w:marBottom w:val="0"/>
      <w:divBdr>
        <w:top w:val="none" w:sz="0" w:space="0" w:color="auto"/>
        <w:left w:val="none" w:sz="0" w:space="0" w:color="auto"/>
        <w:bottom w:val="none" w:sz="0" w:space="0" w:color="auto"/>
        <w:right w:val="none" w:sz="0" w:space="0" w:color="auto"/>
      </w:divBdr>
    </w:div>
    <w:div w:id="1118648760">
      <w:bodyDiv w:val="1"/>
      <w:marLeft w:val="0"/>
      <w:marRight w:val="0"/>
      <w:marTop w:val="0"/>
      <w:marBottom w:val="0"/>
      <w:divBdr>
        <w:top w:val="none" w:sz="0" w:space="0" w:color="auto"/>
        <w:left w:val="none" w:sz="0" w:space="0" w:color="auto"/>
        <w:bottom w:val="none" w:sz="0" w:space="0" w:color="auto"/>
        <w:right w:val="none" w:sz="0" w:space="0" w:color="auto"/>
      </w:divBdr>
      <w:divsChild>
        <w:div w:id="686176952">
          <w:marLeft w:val="0"/>
          <w:marRight w:val="0"/>
          <w:marTop w:val="0"/>
          <w:marBottom w:val="0"/>
          <w:divBdr>
            <w:top w:val="none" w:sz="0" w:space="0" w:color="auto"/>
            <w:left w:val="none" w:sz="0" w:space="0" w:color="auto"/>
            <w:bottom w:val="none" w:sz="0" w:space="0" w:color="auto"/>
            <w:right w:val="none" w:sz="0" w:space="0" w:color="auto"/>
          </w:divBdr>
          <w:divsChild>
            <w:div w:id="101896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1425">
      <w:bodyDiv w:val="1"/>
      <w:marLeft w:val="0"/>
      <w:marRight w:val="0"/>
      <w:marTop w:val="0"/>
      <w:marBottom w:val="0"/>
      <w:divBdr>
        <w:top w:val="none" w:sz="0" w:space="0" w:color="auto"/>
        <w:left w:val="none" w:sz="0" w:space="0" w:color="auto"/>
        <w:bottom w:val="none" w:sz="0" w:space="0" w:color="auto"/>
        <w:right w:val="none" w:sz="0" w:space="0" w:color="auto"/>
      </w:divBdr>
    </w:div>
    <w:div w:id="1145929368">
      <w:bodyDiv w:val="1"/>
      <w:marLeft w:val="0"/>
      <w:marRight w:val="0"/>
      <w:marTop w:val="0"/>
      <w:marBottom w:val="0"/>
      <w:divBdr>
        <w:top w:val="none" w:sz="0" w:space="0" w:color="auto"/>
        <w:left w:val="none" w:sz="0" w:space="0" w:color="auto"/>
        <w:bottom w:val="none" w:sz="0" w:space="0" w:color="auto"/>
        <w:right w:val="none" w:sz="0" w:space="0" w:color="auto"/>
      </w:divBdr>
    </w:div>
    <w:div w:id="1181352637">
      <w:bodyDiv w:val="1"/>
      <w:marLeft w:val="0"/>
      <w:marRight w:val="0"/>
      <w:marTop w:val="0"/>
      <w:marBottom w:val="0"/>
      <w:divBdr>
        <w:top w:val="none" w:sz="0" w:space="0" w:color="auto"/>
        <w:left w:val="none" w:sz="0" w:space="0" w:color="auto"/>
        <w:bottom w:val="none" w:sz="0" w:space="0" w:color="auto"/>
        <w:right w:val="none" w:sz="0" w:space="0" w:color="auto"/>
      </w:divBdr>
      <w:divsChild>
        <w:div w:id="728040834">
          <w:marLeft w:val="0"/>
          <w:marRight w:val="0"/>
          <w:marTop w:val="0"/>
          <w:marBottom w:val="0"/>
          <w:divBdr>
            <w:top w:val="none" w:sz="0" w:space="0" w:color="auto"/>
            <w:left w:val="none" w:sz="0" w:space="0" w:color="auto"/>
            <w:bottom w:val="none" w:sz="0" w:space="0" w:color="auto"/>
            <w:right w:val="none" w:sz="0" w:space="0" w:color="auto"/>
          </w:divBdr>
        </w:div>
      </w:divsChild>
    </w:div>
    <w:div w:id="1203635603">
      <w:bodyDiv w:val="1"/>
      <w:marLeft w:val="0"/>
      <w:marRight w:val="0"/>
      <w:marTop w:val="0"/>
      <w:marBottom w:val="0"/>
      <w:divBdr>
        <w:top w:val="none" w:sz="0" w:space="0" w:color="auto"/>
        <w:left w:val="none" w:sz="0" w:space="0" w:color="auto"/>
        <w:bottom w:val="none" w:sz="0" w:space="0" w:color="auto"/>
        <w:right w:val="none" w:sz="0" w:space="0" w:color="auto"/>
      </w:divBdr>
    </w:div>
    <w:div w:id="1208253176">
      <w:bodyDiv w:val="1"/>
      <w:marLeft w:val="0"/>
      <w:marRight w:val="0"/>
      <w:marTop w:val="0"/>
      <w:marBottom w:val="0"/>
      <w:divBdr>
        <w:top w:val="none" w:sz="0" w:space="0" w:color="auto"/>
        <w:left w:val="none" w:sz="0" w:space="0" w:color="auto"/>
        <w:bottom w:val="none" w:sz="0" w:space="0" w:color="auto"/>
        <w:right w:val="none" w:sz="0" w:space="0" w:color="auto"/>
      </w:divBdr>
    </w:div>
    <w:div w:id="1212615753">
      <w:bodyDiv w:val="1"/>
      <w:marLeft w:val="0"/>
      <w:marRight w:val="0"/>
      <w:marTop w:val="0"/>
      <w:marBottom w:val="0"/>
      <w:divBdr>
        <w:top w:val="none" w:sz="0" w:space="0" w:color="auto"/>
        <w:left w:val="none" w:sz="0" w:space="0" w:color="auto"/>
        <w:bottom w:val="none" w:sz="0" w:space="0" w:color="auto"/>
        <w:right w:val="none" w:sz="0" w:space="0" w:color="auto"/>
      </w:divBdr>
    </w:div>
    <w:div w:id="1213469961">
      <w:bodyDiv w:val="1"/>
      <w:marLeft w:val="0"/>
      <w:marRight w:val="0"/>
      <w:marTop w:val="0"/>
      <w:marBottom w:val="0"/>
      <w:divBdr>
        <w:top w:val="none" w:sz="0" w:space="0" w:color="auto"/>
        <w:left w:val="none" w:sz="0" w:space="0" w:color="auto"/>
        <w:bottom w:val="none" w:sz="0" w:space="0" w:color="auto"/>
        <w:right w:val="none" w:sz="0" w:space="0" w:color="auto"/>
      </w:divBdr>
    </w:div>
    <w:div w:id="1216698375">
      <w:bodyDiv w:val="1"/>
      <w:marLeft w:val="0"/>
      <w:marRight w:val="0"/>
      <w:marTop w:val="0"/>
      <w:marBottom w:val="0"/>
      <w:divBdr>
        <w:top w:val="none" w:sz="0" w:space="0" w:color="auto"/>
        <w:left w:val="none" w:sz="0" w:space="0" w:color="auto"/>
        <w:bottom w:val="none" w:sz="0" w:space="0" w:color="auto"/>
        <w:right w:val="none" w:sz="0" w:space="0" w:color="auto"/>
      </w:divBdr>
    </w:div>
    <w:div w:id="1232354359">
      <w:bodyDiv w:val="1"/>
      <w:marLeft w:val="0"/>
      <w:marRight w:val="0"/>
      <w:marTop w:val="0"/>
      <w:marBottom w:val="0"/>
      <w:divBdr>
        <w:top w:val="none" w:sz="0" w:space="0" w:color="auto"/>
        <w:left w:val="none" w:sz="0" w:space="0" w:color="auto"/>
        <w:bottom w:val="none" w:sz="0" w:space="0" w:color="auto"/>
        <w:right w:val="none" w:sz="0" w:space="0" w:color="auto"/>
      </w:divBdr>
    </w:div>
    <w:div w:id="1236623734">
      <w:bodyDiv w:val="1"/>
      <w:marLeft w:val="0"/>
      <w:marRight w:val="0"/>
      <w:marTop w:val="0"/>
      <w:marBottom w:val="0"/>
      <w:divBdr>
        <w:top w:val="none" w:sz="0" w:space="0" w:color="auto"/>
        <w:left w:val="none" w:sz="0" w:space="0" w:color="auto"/>
        <w:bottom w:val="none" w:sz="0" w:space="0" w:color="auto"/>
        <w:right w:val="none" w:sz="0" w:space="0" w:color="auto"/>
      </w:divBdr>
    </w:div>
    <w:div w:id="1238323045">
      <w:bodyDiv w:val="1"/>
      <w:marLeft w:val="0"/>
      <w:marRight w:val="0"/>
      <w:marTop w:val="0"/>
      <w:marBottom w:val="0"/>
      <w:divBdr>
        <w:top w:val="none" w:sz="0" w:space="0" w:color="auto"/>
        <w:left w:val="none" w:sz="0" w:space="0" w:color="auto"/>
        <w:bottom w:val="none" w:sz="0" w:space="0" w:color="auto"/>
        <w:right w:val="none" w:sz="0" w:space="0" w:color="auto"/>
      </w:divBdr>
    </w:div>
    <w:div w:id="1241251896">
      <w:bodyDiv w:val="1"/>
      <w:marLeft w:val="0"/>
      <w:marRight w:val="0"/>
      <w:marTop w:val="0"/>
      <w:marBottom w:val="0"/>
      <w:divBdr>
        <w:top w:val="none" w:sz="0" w:space="0" w:color="auto"/>
        <w:left w:val="none" w:sz="0" w:space="0" w:color="auto"/>
        <w:bottom w:val="none" w:sz="0" w:space="0" w:color="auto"/>
        <w:right w:val="none" w:sz="0" w:space="0" w:color="auto"/>
      </w:divBdr>
    </w:div>
    <w:div w:id="1273242608">
      <w:bodyDiv w:val="1"/>
      <w:marLeft w:val="0"/>
      <w:marRight w:val="0"/>
      <w:marTop w:val="0"/>
      <w:marBottom w:val="0"/>
      <w:divBdr>
        <w:top w:val="none" w:sz="0" w:space="0" w:color="auto"/>
        <w:left w:val="none" w:sz="0" w:space="0" w:color="auto"/>
        <w:bottom w:val="none" w:sz="0" w:space="0" w:color="auto"/>
        <w:right w:val="none" w:sz="0" w:space="0" w:color="auto"/>
      </w:divBdr>
    </w:div>
    <w:div w:id="1306200532">
      <w:bodyDiv w:val="1"/>
      <w:marLeft w:val="0"/>
      <w:marRight w:val="0"/>
      <w:marTop w:val="0"/>
      <w:marBottom w:val="0"/>
      <w:divBdr>
        <w:top w:val="none" w:sz="0" w:space="0" w:color="auto"/>
        <w:left w:val="none" w:sz="0" w:space="0" w:color="auto"/>
        <w:bottom w:val="none" w:sz="0" w:space="0" w:color="auto"/>
        <w:right w:val="none" w:sz="0" w:space="0" w:color="auto"/>
      </w:divBdr>
    </w:div>
    <w:div w:id="1317490207">
      <w:bodyDiv w:val="1"/>
      <w:marLeft w:val="0"/>
      <w:marRight w:val="0"/>
      <w:marTop w:val="0"/>
      <w:marBottom w:val="0"/>
      <w:divBdr>
        <w:top w:val="none" w:sz="0" w:space="0" w:color="auto"/>
        <w:left w:val="none" w:sz="0" w:space="0" w:color="auto"/>
        <w:bottom w:val="none" w:sz="0" w:space="0" w:color="auto"/>
        <w:right w:val="none" w:sz="0" w:space="0" w:color="auto"/>
      </w:divBdr>
    </w:div>
    <w:div w:id="1339386692">
      <w:bodyDiv w:val="1"/>
      <w:marLeft w:val="0"/>
      <w:marRight w:val="0"/>
      <w:marTop w:val="0"/>
      <w:marBottom w:val="0"/>
      <w:divBdr>
        <w:top w:val="none" w:sz="0" w:space="0" w:color="auto"/>
        <w:left w:val="none" w:sz="0" w:space="0" w:color="auto"/>
        <w:bottom w:val="none" w:sz="0" w:space="0" w:color="auto"/>
        <w:right w:val="none" w:sz="0" w:space="0" w:color="auto"/>
      </w:divBdr>
    </w:div>
    <w:div w:id="1339774139">
      <w:bodyDiv w:val="1"/>
      <w:marLeft w:val="0"/>
      <w:marRight w:val="0"/>
      <w:marTop w:val="0"/>
      <w:marBottom w:val="0"/>
      <w:divBdr>
        <w:top w:val="none" w:sz="0" w:space="0" w:color="auto"/>
        <w:left w:val="none" w:sz="0" w:space="0" w:color="auto"/>
        <w:bottom w:val="none" w:sz="0" w:space="0" w:color="auto"/>
        <w:right w:val="none" w:sz="0" w:space="0" w:color="auto"/>
      </w:divBdr>
    </w:div>
    <w:div w:id="1362702206">
      <w:bodyDiv w:val="1"/>
      <w:marLeft w:val="0"/>
      <w:marRight w:val="0"/>
      <w:marTop w:val="0"/>
      <w:marBottom w:val="0"/>
      <w:divBdr>
        <w:top w:val="none" w:sz="0" w:space="0" w:color="auto"/>
        <w:left w:val="none" w:sz="0" w:space="0" w:color="auto"/>
        <w:bottom w:val="none" w:sz="0" w:space="0" w:color="auto"/>
        <w:right w:val="none" w:sz="0" w:space="0" w:color="auto"/>
      </w:divBdr>
    </w:div>
    <w:div w:id="1379890762">
      <w:bodyDiv w:val="1"/>
      <w:marLeft w:val="0"/>
      <w:marRight w:val="0"/>
      <w:marTop w:val="0"/>
      <w:marBottom w:val="0"/>
      <w:divBdr>
        <w:top w:val="none" w:sz="0" w:space="0" w:color="auto"/>
        <w:left w:val="none" w:sz="0" w:space="0" w:color="auto"/>
        <w:bottom w:val="none" w:sz="0" w:space="0" w:color="auto"/>
        <w:right w:val="none" w:sz="0" w:space="0" w:color="auto"/>
      </w:divBdr>
    </w:div>
    <w:div w:id="1392540523">
      <w:bodyDiv w:val="1"/>
      <w:marLeft w:val="0"/>
      <w:marRight w:val="0"/>
      <w:marTop w:val="0"/>
      <w:marBottom w:val="0"/>
      <w:divBdr>
        <w:top w:val="none" w:sz="0" w:space="0" w:color="auto"/>
        <w:left w:val="none" w:sz="0" w:space="0" w:color="auto"/>
        <w:bottom w:val="none" w:sz="0" w:space="0" w:color="auto"/>
        <w:right w:val="none" w:sz="0" w:space="0" w:color="auto"/>
      </w:divBdr>
    </w:div>
    <w:div w:id="1406151486">
      <w:bodyDiv w:val="1"/>
      <w:marLeft w:val="0"/>
      <w:marRight w:val="0"/>
      <w:marTop w:val="0"/>
      <w:marBottom w:val="0"/>
      <w:divBdr>
        <w:top w:val="none" w:sz="0" w:space="0" w:color="auto"/>
        <w:left w:val="none" w:sz="0" w:space="0" w:color="auto"/>
        <w:bottom w:val="none" w:sz="0" w:space="0" w:color="auto"/>
        <w:right w:val="none" w:sz="0" w:space="0" w:color="auto"/>
      </w:divBdr>
    </w:div>
    <w:div w:id="1444811327">
      <w:bodyDiv w:val="1"/>
      <w:marLeft w:val="0"/>
      <w:marRight w:val="0"/>
      <w:marTop w:val="0"/>
      <w:marBottom w:val="0"/>
      <w:divBdr>
        <w:top w:val="none" w:sz="0" w:space="0" w:color="auto"/>
        <w:left w:val="none" w:sz="0" w:space="0" w:color="auto"/>
        <w:bottom w:val="none" w:sz="0" w:space="0" w:color="auto"/>
        <w:right w:val="none" w:sz="0" w:space="0" w:color="auto"/>
      </w:divBdr>
    </w:div>
    <w:div w:id="1450008224">
      <w:bodyDiv w:val="1"/>
      <w:marLeft w:val="0"/>
      <w:marRight w:val="0"/>
      <w:marTop w:val="0"/>
      <w:marBottom w:val="0"/>
      <w:divBdr>
        <w:top w:val="none" w:sz="0" w:space="0" w:color="auto"/>
        <w:left w:val="none" w:sz="0" w:space="0" w:color="auto"/>
        <w:bottom w:val="none" w:sz="0" w:space="0" w:color="auto"/>
        <w:right w:val="none" w:sz="0" w:space="0" w:color="auto"/>
      </w:divBdr>
    </w:div>
    <w:div w:id="1460106336">
      <w:bodyDiv w:val="1"/>
      <w:marLeft w:val="0"/>
      <w:marRight w:val="0"/>
      <w:marTop w:val="0"/>
      <w:marBottom w:val="0"/>
      <w:divBdr>
        <w:top w:val="none" w:sz="0" w:space="0" w:color="auto"/>
        <w:left w:val="none" w:sz="0" w:space="0" w:color="auto"/>
        <w:bottom w:val="none" w:sz="0" w:space="0" w:color="auto"/>
        <w:right w:val="none" w:sz="0" w:space="0" w:color="auto"/>
      </w:divBdr>
    </w:div>
    <w:div w:id="1484199461">
      <w:bodyDiv w:val="1"/>
      <w:marLeft w:val="0"/>
      <w:marRight w:val="0"/>
      <w:marTop w:val="0"/>
      <w:marBottom w:val="0"/>
      <w:divBdr>
        <w:top w:val="none" w:sz="0" w:space="0" w:color="auto"/>
        <w:left w:val="none" w:sz="0" w:space="0" w:color="auto"/>
        <w:bottom w:val="none" w:sz="0" w:space="0" w:color="auto"/>
        <w:right w:val="none" w:sz="0" w:space="0" w:color="auto"/>
      </w:divBdr>
    </w:div>
    <w:div w:id="1490709398">
      <w:bodyDiv w:val="1"/>
      <w:marLeft w:val="0"/>
      <w:marRight w:val="0"/>
      <w:marTop w:val="0"/>
      <w:marBottom w:val="0"/>
      <w:divBdr>
        <w:top w:val="none" w:sz="0" w:space="0" w:color="auto"/>
        <w:left w:val="none" w:sz="0" w:space="0" w:color="auto"/>
        <w:bottom w:val="none" w:sz="0" w:space="0" w:color="auto"/>
        <w:right w:val="none" w:sz="0" w:space="0" w:color="auto"/>
      </w:divBdr>
    </w:div>
    <w:div w:id="1553926623">
      <w:bodyDiv w:val="1"/>
      <w:marLeft w:val="0"/>
      <w:marRight w:val="0"/>
      <w:marTop w:val="0"/>
      <w:marBottom w:val="0"/>
      <w:divBdr>
        <w:top w:val="none" w:sz="0" w:space="0" w:color="auto"/>
        <w:left w:val="none" w:sz="0" w:space="0" w:color="auto"/>
        <w:bottom w:val="none" w:sz="0" w:space="0" w:color="auto"/>
        <w:right w:val="none" w:sz="0" w:space="0" w:color="auto"/>
      </w:divBdr>
    </w:div>
    <w:div w:id="1565599343">
      <w:bodyDiv w:val="1"/>
      <w:marLeft w:val="0"/>
      <w:marRight w:val="0"/>
      <w:marTop w:val="0"/>
      <w:marBottom w:val="0"/>
      <w:divBdr>
        <w:top w:val="none" w:sz="0" w:space="0" w:color="auto"/>
        <w:left w:val="none" w:sz="0" w:space="0" w:color="auto"/>
        <w:bottom w:val="none" w:sz="0" w:space="0" w:color="auto"/>
        <w:right w:val="none" w:sz="0" w:space="0" w:color="auto"/>
      </w:divBdr>
    </w:div>
    <w:div w:id="1566260513">
      <w:bodyDiv w:val="1"/>
      <w:marLeft w:val="0"/>
      <w:marRight w:val="0"/>
      <w:marTop w:val="0"/>
      <w:marBottom w:val="0"/>
      <w:divBdr>
        <w:top w:val="none" w:sz="0" w:space="0" w:color="auto"/>
        <w:left w:val="none" w:sz="0" w:space="0" w:color="auto"/>
        <w:bottom w:val="none" w:sz="0" w:space="0" w:color="auto"/>
        <w:right w:val="none" w:sz="0" w:space="0" w:color="auto"/>
      </w:divBdr>
    </w:div>
    <w:div w:id="1616521092">
      <w:bodyDiv w:val="1"/>
      <w:marLeft w:val="0"/>
      <w:marRight w:val="0"/>
      <w:marTop w:val="0"/>
      <w:marBottom w:val="0"/>
      <w:divBdr>
        <w:top w:val="none" w:sz="0" w:space="0" w:color="auto"/>
        <w:left w:val="none" w:sz="0" w:space="0" w:color="auto"/>
        <w:bottom w:val="none" w:sz="0" w:space="0" w:color="auto"/>
        <w:right w:val="none" w:sz="0" w:space="0" w:color="auto"/>
      </w:divBdr>
    </w:div>
    <w:div w:id="1653679101">
      <w:bodyDiv w:val="1"/>
      <w:marLeft w:val="0"/>
      <w:marRight w:val="0"/>
      <w:marTop w:val="0"/>
      <w:marBottom w:val="0"/>
      <w:divBdr>
        <w:top w:val="none" w:sz="0" w:space="0" w:color="auto"/>
        <w:left w:val="none" w:sz="0" w:space="0" w:color="auto"/>
        <w:bottom w:val="none" w:sz="0" w:space="0" w:color="auto"/>
        <w:right w:val="none" w:sz="0" w:space="0" w:color="auto"/>
      </w:divBdr>
    </w:div>
    <w:div w:id="1674913113">
      <w:bodyDiv w:val="1"/>
      <w:marLeft w:val="0"/>
      <w:marRight w:val="0"/>
      <w:marTop w:val="0"/>
      <w:marBottom w:val="0"/>
      <w:divBdr>
        <w:top w:val="none" w:sz="0" w:space="0" w:color="auto"/>
        <w:left w:val="none" w:sz="0" w:space="0" w:color="auto"/>
        <w:bottom w:val="none" w:sz="0" w:space="0" w:color="auto"/>
        <w:right w:val="none" w:sz="0" w:space="0" w:color="auto"/>
      </w:divBdr>
    </w:div>
    <w:div w:id="1679306122">
      <w:bodyDiv w:val="1"/>
      <w:marLeft w:val="0"/>
      <w:marRight w:val="0"/>
      <w:marTop w:val="0"/>
      <w:marBottom w:val="0"/>
      <w:divBdr>
        <w:top w:val="none" w:sz="0" w:space="0" w:color="auto"/>
        <w:left w:val="none" w:sz="0" w:space="0" w:color="auto"/>
        <w:bottom w:val="none" w:sz="0" w:space="0" w:color="auto"/>
        <w:right w:val="none" w:sz="0" w:space="0" w:color="auto"/>
      </w:divBdr>
    </w:div>
    <w:div w:id="1682512660">
      <w:bodyDiv w:val="1"/>
      <w:marLeft w:val="0"/>
      <w:marRight w:val="0"/>
      <w:marTop w:val="0"/>
      <w:marBottom w:val="0"/>
      <w:divBdr>
        <w:top w:val="none" w:sz="0" w:space="0" w:color="auto"/>
        <w:left w:val="none" w:sz="0" w:space="0" w:color="auto"/>
        <w:bottom w:val="none" w:sz="0" w:space="0" w:color="auto"/>
        <w:right w:val="none" w:sz="0" w:space="0" w:color="auto"/>
      </w:divBdr>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712416033">
      <w:bodyDiv w:val="1"/>
      <w:marLeft w:val="0"/>
      <w:marRight w:val="0"/>
      <w:marTop w:val="0"/>
      <w:marBottom w:val="0"/>
      <w:divBdr>
        <w:top w:val="none" w:sz="0" w:space="0" w:color="auto"/>
        <w:left w:val="none" w:sz="0" w:space="0" w:color="auto"/>
        <w:bottom w:val="none" w:sz="0" w:space="0" w:color="auto"/>
        <w:right w:val="none" w:sz="0" w:space="0" w:color="auto"/>
      </w:divBdr>
    </w:div>
    <w:div w:id="1714305405">
      <w:bodyDiv w:val="1"/>
      <w:marLeft w:val="0"/>
      <w:marRight w:val="0"/>
      <w:marTop w:val="0"/>
      <w:marBottom w:val="0"/>
      <w:divBdr>
        <w:top w:val="none" w:sz="0" w:space="0" w:color="auto"/>
        <w:left w:val="none" w:sz="0" w:space="0" w:color="auto"/>
        <w:bottom w:val="none" w:sz="0" w:space="0" w:color="auto"/>
        <w:right w:val="none" w:sz="0" w:space="0" w:color="auto"/>
      </w:divBdr>
    </w:div>
    <w:div w:id="1767269301">
      <w:bodyDiv w:val="1"/>
      <w:marLeft w:val="0"/>
      <w:marRight w:val="0"/>
      <w:marTop w:val="0"/>
      <w:marBottom w:val="0"/>
      <w:divBdr>
        <w:top w:val="none" w:sz="0" w:space="0" w:color="auto"/>
        <w:left w:val="none" w:sz="0" w:space="0" w:color="auto"/>
        <w:bottom w:val="none" w:sz="0" w:space="0" w:color="auto"/>
        <w:right w:val="none" w:sz="0" w:space="0" w:color="auto"/>
      </w:divBdr>
    </w:div>
    <w:div w:id="1772582713">
      <w:bodyDiv w:val="1"/>
      <w:marLeft w:val="0"/>
      <w:marRight w:val="0"/>
      <w:marTop w:val="0"/>
      <w:marBottom w:val="0"/>
      <w:divBdr>
        <w:top w:val="none" w:sz="0" w:space="0" w:color="auto"/>
        <w:left w:val="none" w:sz="0" w:space="0" w:color="auto"/>
        <w:bottom w:val="none" w:sz="0" w:space="0" w:color="auto"/>
        <w:right w:val="none" w:sz="0" w:space="0" w:color="auto"/>
      </w:divBdr>
    </w:div>
    <w:div w:id="1783185037">
      <w:bodyDiv w:val="1"/>
      <w:marLeft w:val="0"/>
      <w:marRight w:val="0"/>
      <w:marTop w:val="0"/>
      <w:marBottom w:val="0"/>
      <w:divBdr>
        <w:top w:val="none" w:sz="0" w:space="0" w:color="auto"/>
        <w:left w:val="none" w:sz="0" w:space="0" w:color="auto"/>
        <w:bottom w:val="none" w:sz="0" w:space="0" w:color="auto"/>
        <w:right w:val="none" w:sz="0" w:space="0" w:color="auto"/>
      </w:divBdr>
    </w:div>
    <w:div w:id="1813474729">
      <w:bodyDiv w:val="1"/>
      <w:marLeft w:val="0"/>
      <w:marRight w:val="0"/>
      <w:marTop w:val="0"/>
      <w:marBottom w:val="0"/>
      <w:divBdr>
        <w:top w:val="none" w:sz="0" w:space="0" w:color="auto"/>
        <w:left w:val="none" w:sz="0" w:space="0" w:color="auto"/>
        <w:bottom w:val="none" w:sz="0" w:space="0" w:color="auto"/>
        <w:right w:val="none" w:sz="0" w:space="0" w:color="auto"/>
      </w:divBdr>
    </w:div>
    <w:div w:id="1842626518">
      <w:bodyDiv w:val="1"/>
      <w:marLeft w:val="0"/>
      <w:marRight w:val="0"/>
      <w:marTop w:val="0"/>
      <w:marBottom w:val="0"/>
      <w:divBdr>
        <w:top w:val="none" w:sz="0" w:space="0" w:color="auto"/>
        <w:left w:val="none" w:sz="0" w:space="0" w:color="auto"/>
        <w:bottom w:val="none" w:sz="0" w:space="0" w:color="auto"/>
        <w:right w:val="none" w:sz="0" w:space="0" w:color="auto"/>
      </w:divBdr>
    </w:div>
    <w:div w:id="1843623606">
      <w:bodyDiv w:val="1"/>
      <w:marLeft w:val="0"/>
      <w:marRight w:val="0"/>
      <w:marTop w:val="0"/>
      <w:marBottom w:val="0"/>
      <w:divBdr>
        <w:top w:val="none" w:sz="0" w:space="0" w:color="auto"/>
        <w:left w:val="none" w:sz="0" w:space="0" w:color="auto"/>
        <w:bottom w:val="none" w:sz="0" w:space="0" w:color="auto"/>
        <w:right w:val="none" w:sz="0" w:space="0" w:color="auto"/>
      </w:divBdr>
    </w:div>
    <w:div w:id="1861889867">
      <w:bodyDiv w:val="1"/>
      <w:marLeft w:val="0"/>
      <w:marRight w:val="0"/>
      <w:marTop w:val="0"/>
      <w:marBottom w:val="0"/>
      <w:divBdr>
        <w:top w:val="none" w:sz="0" w:space="0" w:color="auto"/>
        <w:left w:val="none" w:sz="0" w:space="0" w:color="auto"/>
        <w:bottom w:val="none" w:sz="0" w:space="0" w:color="auto"/>
        <w:right w:val="none" w:sz="0" w:space="0" w:color="auto"/>
      </w:divBdr>
    </w:div>
    <w:div w:id="1906062856">
      <w:bodyDiv w:val="1"/>
      <w:marLeft w:val="0"/>
      <w:marRight w:val="0"/>
      <w:marTop w:val="0"/>
      <w:marBottom w:val="0"/>
      <w:divBdr>
        <w:top w:val="none" w:sz="0" w:space="0" w:color="auto"/>
        <w:left w:val="none" w:sz="0" w:space="0" w:color="auto"/>
        <w:bottom w:val="none" w:sz="0" w:space="0" w:color="auto"/>
        <w:right w:val="none" w:sz="0" w:space="0" w:color="auto"/>
      </w:divBdr>
    </w:div>
    <w:div w:id="1943149326">
      <w:bodyDiv w:val="1"/>
      <w:marLeft w:val="0"/>
      <w:marRight w:val="0"/>
      <w:marTop w:val="0"/>
      <w:marBottom w:val="0"/>
      <w:divBdr>
        <w:top w:val="none" w:sz="0" w:space="0" w:color="auto"/>
        <w:left w:val="none" w:sz="0" w:space="0" w:color="auto"/>
        <w:bottom w:val="none" w:sz="0" w:space="0" w:color="auto"/>
        <w:right w:val="none" w:sz="0" w:space="0" w:color="auto"/>
      </w:divBdr>
    </w:div>
    <w:div w:id="1944147934">
      <w:bodyDiv w:val="1"/>
      <w:marLeft w:val="0"/>
      <w:marRight w:val="0"/>
      <w:marTop w:val="0"/>
      <w:marBottom w:val="0"/>
      <w:divBdr>
        <w:top w:val="none" w:sz="0" w:space="0" w:color="auto"/>
        <w:left w:val="none" w:sz="0" w:space="0" w:color="auto"/>
        <w:bottom w:val="none" w:sz="0" w:space="0" w:color="auto"/>
        <w:right w:val="none" w:sz="0" w:space="0" w:color="auto"/>
      </w:divBdr>
      <w:divsChild>
        <w:div w:id="1177039335">
          <w:marLeft w:val="0"/>
          <w:marRight w:val="0"/>
          <w:marTop w:val="0"/>
          <w:marBottom w:val="300"/>
          <w:divBdr>
            <w:top w:val="none" w:sz="0" w:space="0" w:color="auto"/>
            <w:left w:val="none" w:sz="0" w:space="0" w:color="auto"/>
            <w:bottom w:val="none" w:sz="0" w:space="0" w:color="auto"/>
            <w:right w:val="none" w:sz="0" w:space="0" w:color="auto"/>
          </w:divBdr>
        </w:div>
      </w:divsChild>
    </w:div>
    <w:div w:id="1948804019">
      <w:bodyDiv w:val="1"/>
      <w:marLeft w:val="0"/>
      <w:marRight w:val="0"/>
      <w:marTop w:val="0"/>
      <w:marBottom w:val="0"/>
      <w:divBdr>
        <w:top w:val="none" w:sz="0" w:space="0" w:color="auto"/>
        <w:left w:val="none" w:sz="0" w:space="0" w:color="auto"/>
        <w:bottom w:val="none" w:sz="0" w:space="0" w:color="auto"/>
        <w:right w:val="none" w:sz="0" w:space="0" w:color="auto"/>
      </w:divBdr>
    </w:div>
    <w:div w:id="1957441994">
      <w:bodyDiv w:val="1"/>
      <w:marLeft w:val="0"/>
      <w:marRight w:val="0"/>
      <w:marTop w:val="0"/>
      <w:marBottom w:val="0"/>
      <w:divBdr>
        <w:top w:val="none" w:sz="0" w:space="0" w:color="auto"/>
        <w:left w:val="none" w:sz="0" w:space="0" w:color="auto"/>
        <w:bottom w:val="none" w:sz="0" w:space="0" w:color="auto"/>
        <w:right w:val="none" w:sz="0" w:space="0" w:color="auto"/>
      </w:divBdr>
    </w:div>
    <w:div w:id="1969891519">
      <w:bodyDiv w:val="1"/>
      <w:marLeft w:val="0"/>
      <w:marRight w:val="0"/>
      <w:marTop w:val="0"/>
      <w:marBottom w:val="0"/>
      <w:divBdr>
        <w:top w:val="none" w:sz="0" w:space="0" w:color="auto"/>
        <w:left w:val="none" w:sz="0" w:space="0" w:color="auto"/>
        <w:bottom w:val="none" w:sz="0" w:space="0" w:color="auto"/>
        <w:right w:val="none" w:sz="0" w:space="0" w:color="auto"/>
      </w:divBdr>
    </w:div>
    <w:div w:id="2007240318">
      <w:bodyDiv w:val="1"/>
      <w:marLeft w:val="0"/>
      <w:marRight w:val="0"/>
      <w:marTop w:val="0"/>
      <w:marBottom w:val="0"/>
      <w:divBdr>
        <w:top w:val="none" w:sz="0" w:space="0" w:color="auto"/>
        <w:left w:val="none" w:sz="0" w:space="0" w:color="auto"/>
        <w:bottom w:val="none" w:sz="0" w:space="0" w:color="auto"/>
        <w:right w:val="none" w:sz="0" w:space="0" w:color="auto"/>
      </w:divBdr>
    </w:div>
    <w:div w:id="2039426778">
      <w:bodyDiv w:val="1"/>
      <w:marLeft w:val="0"/>
      <w:marRight w:val="0"/>
      <w:marTop w:val="0"/>
      <w:marBottom w:val="0"/>
      <w:divBdr>
        <w:top w:val="none" w:sz="0" w:space="0" w:color="auto"/>
        <w:left w:val="none" w:sz="0" w:space="0" w:color="auto"/>
        <w:bottom w:val="none" w:sz="0" w:space="0" w:color="auto"/>
        <w:right w:val="none" w:sz="0" w:space="0" w:color="auto"/>
      </w:divBdr>
    </w:div>
    <w:div w:id="2046100176">
      <w:bodyDiv w:val="1"/>
      <w:marLeft w:val="0"/>
      <w:marRight w:val="0"/>
      <w:marTop w:val="0"/>
      <w:marBottom w:val="0"/>
      <w:divBdr>
        <w:top w:val="none" w:sz="0" w:space="0" w:color="auto"/>
        <w:left w:val="none" w:sz="0" w:space="0" w:color="auto"/>
        <w:bottom w:val="none" w:sz="0" w:space="0" w:color="auto"/>
        <w:right w:val="none" w:sz="0" w:space="0" w:color="auto"/>
      </w:divBdr>
    </w:div>
    <w:div w:id="2057007398">
      <w:bodyDiv w:val="1"/>
      <w:marLeft w:val="0"/>
      <w:marRight w:val="0"/>
      <w:marTop w:val="0"/>
      <w:marBottom w:val="0"/>
      <w:divBdr>
        <w:top w:val="none" w:sz="0" w:space="0" w:color="auto"/>
        <w:left w:val="none" w:sz="0" w:space="0" w:color="auto"/>
        <w:bottom w:val="none" w:sz="0" w:space="0" w:color="auto"/>
        <w:right w:val="none" w:sz="0" w:space="0" w:color="auto"/>
      </w:divBdr>
    </w:div>
    <w:div w:id="2062359006">
      <w:bodyDiv w:val="1"/>
      <w:marLeft w:val="0"/>
      <w:marRight w:val="0"/>
      <w:marTop w:val="0"/>
      <w:marBottom w:val="0"/>
      <w:divBdr>
        <w:top w:val="none" w:sz="0" w:space="0" w:color="auto"/>
        <w:left w:val="none" w:sz="0" w:space="0" w:color="auto"/>
        <w:bottom w:val="none" w:sz="0" w:space="0" w:color="auto"/>
        <w:right w:val="none" w:sz="0" w:space="0" w:color="auto"/>
      </w:divBdr>
    </w:div>
    <w:div w:id="2121215421">
      <w:bodyDiv w:val="1"/>
      <w:marLeft w:val="0"/>
      <w:marRight w:val="0"/>
      <w:marTop w:val="0"/>
      <w:marBottom w:val="0"/>
      <w:divBdr>
        <w:top w:val="none" w:sz="0" w:space="0" w:color="auto"/>
        <w:left w:val="none" w:sz="0" w:space="0" w:color="auto"/>
        <w:bottom w:val="none" w:sz="0" w:space="0" w:color="auto"/>
        <w:right w:val="none" w:sz="0" w:space="0" w:color="auto"/>
      </w:divBdr>
    </w:div>
    <w:div w:id="212580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etten.overheid.nl/jci1.3:c:BWBR0039429&amp;hoofdstuk=4&amp;paragraaf=2&amp;artikel=4.4&amp;z=2021-02-13&amp;g=2021-02-13" TargetMode="External" Id="rId13" /><Relationship Type="http://schemas.openxmlformats.org/officeDocument/2006/relationships/hyperlink" Target="https://wetten.overheid.nl/jci1.3:c:BWBR0001840&amp;hoofdstuk=3&amp;paragraaf=1&amp;artikel=50&amp;z=2018-12-21&amp;g=2018-12-21" TargetMode="External" Id="rId18" /><Relationship Type="http://schemas.openxmlformats.org/officeDocument/2006/relationships/theme" Target="theme/theme1.xml" Id="rId26" /><Relationship Type="http://schemas.openxmlformats.org/officeDocument/2006/relationships/hyperlink" Target="https://wetten.overheid.nl/jci1.3:c:BWBR0001840&amp;hoofdstuk=3&amp;paragraaf=1&amp;artikel=50&amp;z=2018-12-21&amp;g=2018-12-21" TargetMode="External" Id="rId21" /><Relationship Type="http://schemas.openxmlformats.org/officeDocument/2006/relationships/styles" Target="styles.xml" Id="rId7" /><Relationship Type="http://schemas.openxmlformats.org/officeDocument/2006/relationships/hyperlink" Target="https://wetten.overheid.nl/jci1.3:c:BWBR0039429&amp;hoofdstuk=4&amp;paragraaf=2&amp;artikel=4.4&amp;z=2021-02-13&amp;g=2021-02-13" TargetMode="External" Id="rId12" /><Relationship Type="http://schemas.openxmlformats.org/officeDocument/2006/relationships/hyperlink" Target="https://wetten.overheid.nl/jci1.3:c:BWBR0001840&amp;hoofdstuk=3&amp;paragraaf=1&amp;artikel=50&amp;z=2018-12-21&amp;g=2018-12-21" TargetMode="External" Id="rId17" /><Relationship Type="http://schemas.openxmlformats.org/officeDocument/2006/relationships/fontTable" Target="fontTable.xml" Id="rId25" /><Relationship Type="http://schemas.openxmlformats.org/officeDocument/2006/relationships/hyperlink" Target="https://wetten.overheid.nl/BWBR0002691/2023-01-01" TargetMode="External" Id="rId16" /><Relationship Type="http://schemas.openxmlformats.org/officeDocument/2006/relationships/hyperlink" Target="https://wetten.overheid.nl/jci1.3:c:BWBR0001840&amp;hoofdstuk=3&amp;paragraaf=1&amp;artikel=50&amp;z=2018-12-21&amp;g=2018-12-21"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24" /><Relationship Type="http://schemas.openxmlformats.org/officeDocument/2006/relationships/hyperlink" Target="https://wetten.overheid.nl/BWBR0004939/2023-01-01"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hyperlink" Target="https://wetten.overheid.nl/jci1.3:c:BWBR0001840&amp;hoofdstuk=3&amp;paragraaf=1&amp;artikel=50&amp;z=2018-12-21&amp;g=2018-12-21" TargetMode="External" Id="rId19" /><Relationship Type="http://schemas.openxmlformats.org/officeDocument/2006/relationships/webSettings" Target="webSettings.xml" Id="rId9" /><Relationship Type="http://schemas.openxmlformats.org/officeDocument/2006/relationships/hyperlink" Target="https://wetten.overheid.nl/jci1.3:c:BWBR0039429&amp;hoofdstuk=2&amp;paragraaf=1&amp;artikel=2.1&amp;z=2020-01-01&amp;g=2020-01-01" TargetMode="External" Id="rId14" /><Relationship Type="http://schemas.openxmlformats.org/officeDocument/2006/relationships/footer" Target="footer1.xm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3609</ap:Words>
  <ap:Characters>19851</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Aanmaken verwijzingen</vt:lpstr>
    </vt:vector>
  </ap:TitlesOfParts>
  <ap:LinksUpToDate>false</ap:LinksUpToDate>
  <ap:CharactersWithSpaces>23414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2025-02-26T08:27:00.0000000Z</lastPrinted>
  <dcterms:created xsi:type="dcterms:W3CDTF">2025-02-25T20:22:00.0000000Z</dcterms:created>
  <dcterms:modified xsi:type="dcterms:W3CDTF">2025-03-26T13:37:00.0000000Z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1.4</vt:lpwstr>
  </property>
  <property fmtid="{D5CDD505-2E9C-101B-9397-08002B2CF9AE}" pid="3" name="_entryid">
    <vt:lpwstr>00000000A0ABD29129DC11D194FE0000F87702F8010700010000000000000000020000006E060C044646303130303030303030303030303030303030303030303138393844314534413746383030303030303032313037303030303030343043303636453746373400000000</vt:lpwstr>
  </property>
  <property fmtid="{D5CDD505-2E9C-101B-9397-08002B2CF9AE}" pid="4" name="_storeid">
    <vt:lpwstr>0000000038A1BB1005E5101AA1BB08002B2A56C20000574D455052562E444C4C0000000000000000A0ABD29129DC11D194FE0000F87702F801010000000000000000000000000000000000000000000000000000000000000000000000000000000000000000000000000000000000000000000000000000000000000000000</vt:lpwstr>
  </property>
  <property fmtid="{D5CDD505-2E9C-101B-9397-08002B2CF9AE}" pid="5" name="ContentTypeId">
    <vt:lpwstr>0x0101000F242F6B9240FC4CB5A686C68C782191</vt:lpwstr>
  </property>
  <property fmtid="{D5CDD505-2E9C-101B-9397-08002B2CF9AE}" pid="6" name="_dlc_DocIdItemGuid">
    <vt:lpwstr>019f0aa7-5d19-4c1d-8b99-998d9d729e92</vt:lpwstr>
  </property>
</Properties>
</file>