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Pr="00C54690" w:rsidR="00654018" w:rsidP="00654018" w:rsidRDefault="00654018">
      <w:r w:rsidRPr="00C54690">
        <w:t xml:space="preserve">Vandaag presenteert de Algemene Rekenkamer haar Verslag van werkzaamheden </w:t>
      </w:r>
      <w:r>
        <w:br/>
      </w:r>
      <w:r w:rsidRPr="00C54690">
        <w:t>over</w:t>
      </w:r>
      <w:r>
        <w:t xml:space="preserve"> </w:t>
      </w:r>
      <w:r w:rsidRPr="00C54690">
        <w:t>202</w:t>
      </w:r>
      <w:r>
        <w:t>4</w:t>
      </w:r>
      <w:r w:rsidRPr="00C54690">
        <w:t xml:space="preserve">. U ontvangt hierbij een exemplaar. Dit </w:t>
      </w:r>
      <w:r>
        <w:t>v</w:t>
      </w:r>
      <w:r w:rsidRPr="00C54690">
        <w:t xml:space="preserve">erslag is ook te vinden op </w:t>
      </w:r>
      <w:hyperlink w:history="1" r:id="rId7">
        <w:r w:rsidRPr="00F75C1B">
          <w:t>www.rekenkamer.nl</w:t>
        </w:r>
      </w:hyperlink>
      <w:r w:rsidRPr="00F75C1B">
        <w:t>.</w:t>
      </w:r>
    </w:p>
    <w:p w:rsidRPr="00C54690" w:rsidR="00654018" w:rsidP="00654018" w:rsidRDefault="00654018"/>
    <w:p w:rsidRPr="00C54690" w:rsidR="00654018" w:rsidP="00654018" w:rsidRDefault="00654018">
      <w:r w:rsidRPr="00C54690">
        <w:t>In dit Verslag van werkzaamheden 202</w:t>
      </w:r>
      <w:r>
        <w:t>4</w:t>
      </w:r>
      <w:r w:rsidRPr="00C54690">
        <w:t xml:space="preserve"> presenteren wij een overzicht van onze publicaties en lichten enkele publicaties en andere activiteiten toe. Met dit verslag laten we zien </w:t>
      </w:r>
      <w:r>
        <w:t xml:space="preserve">hoe </w:t>
      </w:r>
      <w:r w:rsidRPr="00C54690">
        <w:t>we in 202</w:t>
      </w:r>
      <w:r>
        <w:t>4</w:t>
      </w:r>
      <w:r w:rsidRPr="00C54690">
        <w:t xml:space="preserve"> de uitgaven </w:t>
      </w:r>
      <w:r>
        <w:t xml:space="preserve">en ontvangsten </w:t>
      </w:r>
      <w:r w:rsidRPr="00C54690">
        <w:t xml:space="preserve">van het Rijk hebben </w:t>
      </w:r>
      <w:r>
        <w:t>ge</w:t>
      </w:r>
      <w:r w:rsidRPr="00C54690">
        <w:rPr>
          <w:rFonts w:eastAsiaTheme="minorEastAsia" w:cstheme="minorBidi"/>
          <w:color w:val="000000" w:themeColor="text1"/>
          <w:kern w:val="24"/>
        </w:rPr>
        <w:t>controleer</w:t>
      </w:r>
      <w:r>
        <w:rPr>
          <w:rFonts w:eastAsiaTheme="minorEastAsia" w:cstheme="minorBidi"/>
          <w:color w:val="000000" w:themeColor="text1"/>
          <w:kern w:val="24"/>
        </w:rPr>
        <w:t>d</w:t>
      </w:r>
      <w:r w:rsidRPr="00C54690">
        <w:rPr>
          <w:rFonts w:eastAsiaTheme="minorEastAsia" w:cstheme="minorBidi"/>
          <w:color w:val="000000" w:themeColor="text1"/>
          <w:kern w:val="24"/>
        </w:rPr>
        <w:t xml:space="preserve"> </w:t>
      </w:r>
      <w:r>
        <w:rPr>
          <w:rFonts w:eastAsiaTheme="minorEastAsia" w:cstheme="minorBidi"/>
          <w:color w:val="000000" w:themeColor="text1"/>
          <w:kern w:val="24"/>
        </w:rPr>
        <w:br/>
      </w:r>
      <w:r w:rsidRPr="00C54690">
        <w:rPr>
          <w:rFonts w:eastAsiaTheme="minorEastAsia" w:cstheme="minorBidi"/>
          <w:color w:val="000000" w:themeColor="text1"/>
          <w:kern w:val="24"/>
        </w:rPr>
        <w:t>en hoe we hebben onderzocht of het Rijk geld uitg</w:t>
      </w:r>
      <w:r>
        <w:rPr>
          <w:rFonts w:eastAsiaTheme="minorEastAsia" w:cstheme="minorBidi"/>
          <w:color w:val="000000" w:themeColor="text1"/>
          <w:kern w:val="24"/>
        </w:rPr>
        <w:t>af</w:t>
      </w:r>
      <w:r w:rsidRPr="00C54690">
        <w:rPr>
          <w:rFonts w:eastAsiaTheme="minorEastAsia" w:cstheme="minorBidi"/>
          <w:color w:val="000000" w:themeColor="text1"/>
          <w:kern w:val="24"/>
        </w:rPr>
        <w:t xml:space="preserve"> zoals de</w:t>
      </w:r>
      <w:r>
        <w:rPr>
          <w:rFonts w:eastAsiaTheme="minorEastAsia" w:cstheme="minorBidi"/>
          <w:color w:val="000000" w:themeColor="text1"/>
          <w:kern w:val="24"/>
        </w:rPr>
        <w:t xml:space="preserve"> </w:t>
      </w:r>
      <w:r w:rsidRPr="00C54690">
        <w:rPr>
          <w:rFonts w:eastAsiaTheme="minorEastAsia" w:cstheme="minorBidi"/>
          <w:color w:val="000000" w:themeColor="text1"/>
          <w:kern w:val="24"/>
        </w:rPr>
        <w:t xml:space="preserve">bedoeling was. Hiertoe </w:t>
      </w:r>
      <w:r>
        <w:rPr>
          <w:rFonts w:eastAsiaTheme="minorEastAsia" w:cstheme="minorBidi"/>
          <w:color w:val="000000" w:themeColor="text1"/>
          <w:kern w:val="24"/>
        </w:rPr>
        <w:t xml:space="preserve">verzorgden </w:t>
      </w:r>
      <w:r w:rsidRPr="00C54690">
        <w:rPr>
          <w:rFonts w:eastAsiaTheme="minorEastAsia" w:cstheme="minorBidi"/>
          <w:color w:val="000000" w:themeColor="text1"/>
          <w:kern w:val="24"/>
        </w:rPr>
        <w:t xml:space="preserve">we </w:t>
      </w:r>
      <w:r>
        <w:rPr>
          <w:rFonts w:eastAsiaTheme="minorEastAsia" w:cstheme="minorBidi"/>
          <w:color w:val="000000" w:themeColor="text1"/>
          <w:kern w:val="24"/>
        </w:rPr>
        <w:t>70</w:t>
      </w:r>
      <w:r w:rsidRPr="00C54690">
        <w:rPr>
          <w:rFonts w:eastAsiaTheme="minorEastAsia" w:cstheme="minorBidi"/>
          <w:color w:val="000000" w:themeColor="text1"/>
          <w:kern w:val="24"/>
        </w:rPr>
        <w:t xml:space="preserve"> publicaties, waarvan </w:t>
      </w:r>
      <w:r>
        <w:rPr>
          <w:rFonts w:eastAsiaTheme="minorEastAsia" w:cstheme="minorBidi"/>
          <w:color w:val="000000" w:themeColor="text1"/>
          <w:kern w:val="24"/>
        </w:rPr>
        <w:t>40</w:t>
      </w:r>
      <w:r w:rsidRPr="00C54690">
        <w:rPr>
          <w:rFonts w:eastAsiaTheme="minorEastAsia" w:cstheme="minorBidi"/>
          <w:color w:val="000000" w:themeColor="text1"/>
          <w:kern w:val="24"/>
        </w:rPr>
        <w:t xml:space="preserve"> onderzoeksrapporten. </w:t>
      </w:r>
    </w:p>
    <w:p w:rsidR="00654018" w:rsidP="00654018" w:rsidRDefault="00654018">
      <w:r w:rsidRPr="00C54690">
        <w:t xml:space="preserve"> </w:t>
      </w:r>
    </w:p>
    <w:p w:rsidR="00654018" w:rsidP="00654018" w:rsidRDefault="00654018">
      <w:r>
        <w:t xml:space="preserve">Hiermee voldoen wij aan onze wettelijke verplichting om uiterlijk op 1 april een verslag van werkzaamheden over het voorgaande jaar aan te bieden aan de Koning en de </w:t>
      </w:r>
      <w:r>
        <w:br/>
        <w:t>Staten-Generaal.</w:t>
      </w:r>
    </w:p>
    <w:p w:rsidR="00654018" w:rsidP="00654018" w:rsidRDefault="00654018"/>
    <w:p w:rsidR="00654018" w:rsidP="00654018" w:rsidRDefault="00654018">
      <w:r>
        <w:t>Algemene Rekenkamer</w:t>
      </w:r>
    </w:p>
    <w:p w:rsidR="00654018" w:rsidP="00654018" w:rsidRDefault="00654018"/>
    <w:p w:rsidR="00654018" w:rsidP="00654018" w:rsidRDefault="00654018"/>
    <w:p w:rsidR="00654018" w:rsidP="00654018" w:rsidRDefault="00654018"/>
    <w:p w:rsidR="00654018" w:rsidP="00654018" w:rsidRDefault="00654018">
      <w:r>
        <w:t xml:space="preserve">Pieter </w:t>
      </w:r>
      <w:proofErr w:type="spellStart"/>
      <w:r>
        <w:t>Duisenberg</w:t>
      </w:r>
      <w:proofErr w:type="spellEnd"/>
      <w:r>
        <w:t>,</w:t>
      </w:r>
      <w:r>
        <w:tab/>
      </w:r>
      <w:r>
        <w:tab/>
      </w:r>
      <w:r>
        <w:tab/>
        <w:t>Cornelis van der Werf,</w:t>
      </w:r>
    </w:p>
    <w:p w:rsidR="00A430FF" w:rsidP="00591816" w:rsidRDefault="00654018">
      <w:r>
        <w:t>president</w:t>
      </w:r>
      <w:r>
        <w:tab/>
      </w:r>
      <w:r>
        <w:tab/>
      </w:r>
      <w:r>
        <w:tab/>
      </w:r>
      <w:r>
        <w:tab/>
        <w:t>secretaris</w:t>
      </w:r>
      <w:bookmarkStart w:name="_GoBack" w:id="0"/>
      <w:bookmarkEnd w:id="0"/>
    </w:p>
    <w:sectPr w:rsidR="00A430FF">
      <w:headerReference w:type="default" r:id="rId8"/>
      <w:footerReference w:type="default" r:id="rId9"/>
      <w:headerReference w:type="first" r:id="rId10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:rsidTr="00654018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0" w:type="dxa"/>
                              </w:tcPr>
                              <w:p w:rsidR="00A430FF" w:rsidRDefault="00654018">
                                <w:r>
                                  <w:t>27 maart 2025</w:t>
                                </w:r>
                              </w:p>
                            </w:tc>
                          </w:tr>
                          <w:tr w:rsidR="00654018" w:rsidTr="00654018">
                            <w:tc>
                              <w:tcPr>
                                <w:tcW w:w="2370" w:type="dxa"/>
                              </w:tcPr>
                              <w:p w:rsidR="00654018" w:rsidRDefault="00654018" w:rsidP="00654018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654018" w:rsidRDefault="00654018" w:rsidP="00654018"/>
                            </w:tc>
                            <w:tc>
                              <w:tcPr>
                                <w:tcW w:w="7970" w:type="dxa"/>
                              </w:tcPr>
                              <w:p w:rsidR="00654018" w:rsidRDefault="00654018" w:rsidP="00654018">
                                <w:r>
                                  <w:t>Verslag van werkzaamheden 2024 Algemene Rekenkamer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:rsidTr="00654018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0" w:type="dxa"/>
                        </w:tcPr>
                        <w:p w:rsidR="00A430FF" w:rsidRDefault="00654018">
                          <w:r>
                            <w:t>27 maart 2025</w:t>
                          </w:r>
                        </w:p>
                      </w:tc>
                    </w:tr>
                    <w:tr w:rsidR="00654018" w:rsidTr="00654018">
                      <w:tc>
                        <w:tcPr>
                          <w:tcW w:w="2370" w:type="dxa"/>
                        </w:tcPr>
                        <w:p w:rsidR="00654018" w:rsidRDefault="00654018" w:rsidP="00654018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654018" w:rsidRDefault="00654018" w:rsidP="00654018"/>
                      </w:tc>
                      <w:tc>
                        <w:tcPr>
                          <w:tcW w:w="7970" w:type="dxa"/>
                        </w:tcPr>
                        <w:p w:rsidR="00654018" w:rsidRDefault="00654018" w:rsidP="00654018">
                          <w:r>
                            <w:t>Verslag van werkzaamheden 2024 Algemene Rekenkamer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40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40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40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40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654018">
                                <w:r>
                                  <w:t xml:space="preserve">25001747 </w:t>
                                </w:r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654018">
                          <w:r>
                            <w:t xml:space="preserve">25001747 </w:t>
                          </w:r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A20F1"/>
    <w:rsid w:val="000E4451"/>
    <w:rsid w:val="003456FF"/>
    <w:rsid w:val="00591816"/>
    <w:rsid w:val="00654018"/>
    <w:rsid w:val="00824F24"/>
    <w:rsid w:val="00A430FF"/>
    <w:rsid w:val="00B54ECF"/>
    <w:rsid w:val="00BC4FEB"/>
    <w:rsid w:val="00D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DA9E72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kenkamer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2025-03-24T09:15:00.0000000Z</dcterms:modified>
  <dc:description>------------------------</dc:description>
  <dc:subject/>
  <keywords/>
  <version/>
  <category/>
</coreProperties>
</file>