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2A52" w:rsidP="00192A52" w:rsidRDefault="00192A52" w14:paraId="1FFC1E38" w14:textId="6450DD2E">
      <w:pPr>
        <w:pStyle w:val="Standaardregelafstandtenminste"/>
      </w:pPr>
      <w:r>
        <w:t>AH 1773</w:t>
      </w:r>
    </w:p>
    <w:p w:rsidRPr="00192A52" w:rsidR="00192A52" w:rsidP="00192A52" w:rsidRDefault="00192A52" w14:paraId="6153D6E7" w14:textId="77777777">
      <w:pPr>
        <w:rPr>
          <w:lang w:eastAsia="nl-NL"/>
        </w:rPr>
      </w:pPr>
    </w:p>
    <w:p w:rsidR="00192A52" w:rsidP="00192A52" w:rsidRDefault="00192A52" w14:paraId="3E21E49B" w14:textId="19F74C30">
      <w:pPr>
        <w:rPr>
          <w:lang w:eastAsia="nl-NL"/>
        </w:rPr>
      </w:pPr>
      <w:r>
        <w:rPr>
          <w:lang w:eastAsia="nl-NL"/>
        </w:rPr>
        <w:t>2025Z04859</w:t>
      </w:r>
    </w:p>
    <w:p w:rsidR="00192A52" w:rsidP="00192A52" w:rsidRDefault="00192A52" w14:paraId="12F23B5E" w14:textId="4FB008E6">
      <w:pPr>
        <w:rPr>
          <w:sz w:val="24"/>
        </w:rPr>
      </w:pPr>
      <w:r w:rsidRPr="0099366E">
        <w:rPr>
          <w:sz w:val="24"/>
        </w:rPr>
        <w:t>Antwoord van staatssecretaris</w:t>
      </w:r>
      <w:r>
        <w:rPr>
          <w:sz w:val="24"/>
        </w:rPr>
        <w:t xml:space="preserve"> Van Oostenbruggen (Financiën) (ontvangen 28 maart 2025)</w:t>
      </w:r>
    </w:p>
    <w:p w:rsidRPr="00192A52" w:rsidR="00192A52" w:rsidP="00192A52" w:rsidRDefault="00192A52" w14:paraId="35567927" w14:textId="7301F311">
      <w:pPr>
        <w:rPr>
          <w:sz w:val="24"/>
        </w:rPr>
      </w:pPr>
    </w:p>
    <w:p w:rsidR="00192A52" w:rsidP="00192A52" w:rsidRDefault="00192A52" w14:paraId="26201D11" w14:textId="77777777">
      <w:pPr>
        <w:pStyle w:val="Standaardregelafstandtenminste"/>
        <w:rPr>
          <w:b/>
          <w:bCs/>
        </w:rPr>
      </w:pPr>
      <w:r>
        <w:rPr>
          <w:b/>
          <w:bCs/>
        </w:rPr>
        <w:t>Vraag 1</w:t>
      </w:r>
    </w:p>
    <w:p w:rsidRPr="00CF42D5" w:rsidR="00192A52" w:rsidP="00192A52" w:rsidRDefault="00192A52" w14:paraId="3907DD08" w14:textId="77777777">
      <w:pPr>
        <w:pStyle w:val="Standaardregelafstandtenminste"/>
      </w:pPr>
      <w:r w:rsidRPr="00CF42D5">
        <w:t>Herinnert u zich dat bij de behandeling van het Belastingplan 2024 het amendement van het lid</w:t>
      </w:r>
    </w:p>
    <w:p w:rsidR="00192A52" w:rsidP="00192A52" w:rsidRDefault="00192A52" w14:paraId="7DB75D29" w14:textId="77777777">
      <w:pPr>
        <w:pStyle w:val="Standaardregelafstandtenminste"/>
      </w:pPr>
      <w:r w:rsidRPr="00CF42D5">
        <w:t>Omtzigt over het versoberen van de zgn. 30%-regeling is aangenomen, waarmee de expatregeling is</w:t>
      </w:r>
      <w:r>
        <w:t xml:space="preserve"> </w:t>
      </w:r>
      <w:r w:rsidRPr="00CF42D5">
        <w:t>versoberd van een 30%-regeling (5 jaar lang) naar een 30%/20%/10%-regeling?</w:t>
      </w:r>
    </w:p>
    <w:p w:rsidR="00192A52" w:rsidP="00192A52" w:rsidRDefault="00192A52" w14:paraId="7E7DE540" w14:textId="77777777">
      <w:pPr>
        <w:rPr>
          <w:b/>
          <w:bCs/>
        </w:rPr>
      </w:pPr>
    </w:p>
    <w:p w:rsidRPr="009D7114" w:rsidR="00192A52" w:rsidP="00192A52" w:rsidRDefault="00192A52" w14:paraId="3ED0D617" w14:textId="77777777">
      <w:pPr>
        <w:rPr>
          <w:b/>
          <w:bCs/>
        </w:rPr>
      </w:pPr>
      <w:r w:rsidRPr="009D7114">
        <w:rPr>
          <w:b/>
          <w:bCs/>
        </w:rPr>
        <w:t>Antwoord op vraag 1</w:t>
      </w:r>
    </w:p>
    <w:p w:rsidRPr="009D7114" w:rsidR="00192A52" w:rsidP="00192A52" w:rsidRDefault="00192A52" w14:paraId="6CB20459" w14:textId="77777777">
      <w:r>
        <w:t>Ja.</w:t>
      </w:r>
    </w:p>
    <w:p w:rsidR="00192A52" w:rsidP="00192A52" w:rsidRDefault="00192A52" w14:paraId="045DBBED" w14:textId="77777777">
      <w:pPr>
        <w:pStyle w:val="Standaardregelafstandtenminste"/>
      </w:pPr>
    </w:p>
    <w:p w:rsidRPr="009D7114" w:rsidR="00192A52" w:rsidP="00192A52" w:rsidRDefault="00192A52" w14:paraId="1AFF34AA" w14:textId="77777777">
      <w:pPr>
        <w:pStyle w:val="Standaardregelafstandtenminste"/>
        <w:rPr>
          <w:b/>
          <w:bCs/>
        </w:rPr>
      </w:pPr>
      <w:r w:rsidRPr="009D7114">
        <w:rPr>
          <w:b/>
          <w:bCs/>
        </w:rPr>
        <w:t>Vraag 2</w:t>
      </w:r>
    </w:p>
    <w:p w:rsidR="00192A52" w:rsidP="00192A52" w:rsidRDefault="00192A52" w14:paraId="4B940EC3" w14:textId="77777777">
      <w:r w:rsidRPr="00CF42D5">
        <w:t>Herinnert u zich dat dit amendement structureel een opbrengst zou hebben van 194 miljoen euro per</w:t>
      </w:r>
      <w:r>
        <w:t xml:space="preserve"> </w:t>
      </w:r>
      <w:r w:rsidRPr="00CF42D5">
        <w:t>jaar?</w:t>
      </w:r>
    </w:p>
    <w:p w:rsidR="00192A52" w:rsidP="00192A52" w:rsidRDefault="00192A52" w14:paraId="0A0720BD" w14:textId="77777777"/>
    <w:p w:rsidRPr="00D8022E" w:rsidR="00192A52" w:rsidP="00192A52" w:rsidRDefault="00192A52" w14:paraId="4E7FBA97" w14:textId="77777777">
      <w:pPr>
        <w:rPr>
          <w:b/>
          <w:bCs/>
        </w:rPr>
      </w:pPr>
      <w:r w:rsidRPr="00D8022E">
        <w:rPr>
          <w:b/>
          <w:bCs/>
        </w:rPr>
        <w:t>Antwoord op vraag 2</w:t>
      </w:r>
    </w:p>
    <w:p w:rsidRPr="006D7F90" w:rsidR="00192A52" w:rsidP="00192A52" w:rsidRDefault="00192A52" w14:paraId="15261B15" w14:textId="77777777">
      <w:r>
        <w:t>Ja.</w:t>
      </w:r>
    </w:p>
    <w:p w:rsidR="00192A52" w:rsidP="00192A52" w:rsidRDefault="00192A52" w14:paraId="71E9C181" w14:textId="77777777">
      <w:pPr>
        <w:pStyle w:val="Standaardregelafstandtenminste"/>
        <w:rPr>
          <w:b/>
          <w:bCs/>
        </w:rPr>
      </w:pPr>
    </w:p>
    <w:p w:rsidRPr="001669BF" w:rsidR="00192A52" w:rsidP="00192A52" w:rsidRDefault="00192A52" w14:paraId="2FB159A4" w14:textId="77777777">
      <w:pPr>
        <w:pStyle w:val="Standaardregelafstandtenminste"/>
        <w:rPr>
          <w:b/>
          <w:bCs/>
        </w:rPr>
      </w:pPr>
      <w:r w:rsidRPr="001669BF">
        <w:rPr>
          <w:b/>
          <w:bCs/>
        </w:rPr>
        <w:t>Vraag 3</w:t>
      </w:r>
    </w:p>
    <w:p w:rsidR="00192A52" w:rsidP="00192A52" w:rsidRDefault="00192A52" w14:paraId="41C8B215" w14:textId="77777777">
      <w:pPr>
        <w:pStyle w:val="Standaardregelafstandtenminste"/>
      </w:pPr>
      <w:r w:rsidRPr="00CF42D5">
        <w:t>Op welke manier heeft het ministerie destijds het bedrag van 194 miljoen euro berekend en klopt het</w:t>
      </w:r>
      <w:r>
        <w:t xml:space="preserve"> </w:t>
      </w:r>
      <w:r w:rsidRPr="00CF42D5">
        <w:t>dat er geen gedragseffecten in dit bedrag zijn opgenomen?</w:t>
      </w:r>
    </w:p>
    <w:p w:rsidR="00192A52" w:rsidP="00192A52" w:rsidRDefault="00192A52" w14:paraId="4B64B0BC" w14:textId="77777777">
      <w:pPr>
        <w:pStyle w:val="Standaardregelafstandtenminste"/>
        <w:rPr>
          <w:b/>
          <w:bCs/>
        </w:rPr>
      </w:pPr>
    </w:p>
    <w:p w:rsidRPr="001669BF" w:rsidR="00192A52" w:rsidP="00192A52" w:rsidRDefault="00192A52" w14:paraId="70DD05B8" w14:textId="77777777">
      <w:pPr>
        <w:pStyle w:val="Standaardregelafstandtenminste"/>
        <w:rPr>
          <w:b/>
          <w:bCs/>
        </w:rPr>
      </w:pPr>
      <w:r w:rsidRPr="001669BF">
        <w:rPr>
          <w:b/>
          <w:bCs/>
        </w:rPr>
        <w:t>Antwoord op vraag 3</w:t>
      </w:r>
    </w:p>
    <w:p w:rsidRPr="00E76FC0" w:rsidR="00192A52" w:rsidP="00192A52" w:rsidRDefault="00192A52" w14:paraId="6A31537C" w14:textId="77777777">
      <w:r>
        <w:t xml:space="preserve">Het klopt niet dat er geen gedragseffecten zijn gehanteerd. Er is uitgegaan van een gedragseffect van 10%. De berekeningswijze wordt verder toegelicht in het antwoord op vraag vier. </w:t>
      </w:r>
    </w:p>
    <w:p w:rsidR="00192A52" w:rsidP="00192A52" w:rsidRDefault="00192A52" w14:paraId="015CAEC4" w14:textId="77777777">
      <w:pPr>
        <w:pStyle w:val="Standaardregelafstandtenminste"/>
      </w:pPr>
    </w:p>
    <w:p w:rsidRPr="009E1FF8" w:rsidR="00192A52" w:rsidP="00192A52" w:rsidRDefault="00192A52" w14:paraId="5BA94C33" w14:textId="77777777">
      <w:pPr>
        <w:rPr>
          <w:b/>
          <w:bCs/>
        </w:rPr>
      </w:pPr>
      <w:r w:rsidRPr="009E1FF8">
        <w:rPr>
          <w:b/>
          <w:bCs/>
        </w:rPr>
        <w:t>Vraag 4</w:t>
      </w:r>
    </w:p>
    <w:p w:rsidR="00192A52" w:rsidP="00192A52" w:rsidRDefault="00192A52" w14:paraId="08DD26CF" w14:textId="77777777">
      <w:pPr>
        <w:pStyle w:val="Standaardregelafstandtenminste"/>
      </w:pPr>
      <w:r w:rsidRPr="00CF42D5">
        <w:t>Kunt u de berekening aan de Kamer doen toekomen</w:t>
      </w:r>
      <w:r>
        <w:t>?</w:t>
      </w:r>
    </w:p>
    <w:p w:rsidR="00192A52" w:rsidP="00192A52" w:rsidRDefault="00192A52" w14:paraId="27268FD1" w14:textId="77777777"/>
    <w:p w:rsidR="00192A52" w:rsidP="00192A52" w:rsidRDefault="00192A52" w14:paraId="0D681CBF" w14:textId="77777777">
      <w:pPr>
        <w:pStyle w:val="Standaardregelafstandtenminste"/>
        <w:rPr>
          <w:b/>
          <w:bCs/>
        </w:rPr>
      </w:pPr>
      <w:r w:rsidRPr="007B6A35">
        <w:rPr>
          <w:b/>
          <w:bCs/>
        </w:rPr>
        <w:t>Antwoord op vraag 4</w:t>
      </w:r>
    </w:p>
    <w:p w:rsidRPr="009E1FF8" w:rsidR="00192A52" w:rsidP="00192A52" w:rsidRDefault="00192A52" w14:paraId="6E237A5D" w14:textId="77777777">
      <w:r>
        <w:t>De kosten van de 30%-regeling bedroegen in 2022 op basis van werkelijke gegevens over dat jaar 1051 miljoen. De kosten zijn vervolgens doorgerekend met diezelfde gegevens ervanuit gaande dat het amendement van toepassing zou zijn en kwamen uit op 839 miljoen. Met jaarlijkse stijgingen van 5% in 2023 en 2024 kwam dit uit op respectievelijk 1159 miljoen en 925 miljoen. De aftopping van de WNT-norm van de oorspronkelijke regel was geraamd op 88 miljoen. Deze is naar rato meegenomen voor de nieuwe maatregel, dus op 70 miljoen. Daarmee kwam de totale raming van de oorspronkelijke kosten uit op 1071 miljoen, en van de kosten inclusief amendement op 855 miljoen. Een verschil van 216 miljoen. Hierop is gedragseffect van 10% toegepast, waarmee de opbrengst van de aanpassing uitkwam op 194 miljoen.</w:t>
      </w:r>
    </w:p>
    <w:p w:rsidR="00192A52" w:rsidP="00192A52" w:rsidRDefault="00192A52" w14:paraId="621A3DB7" w14:textId="77777777">
      <w:pPr>
        <w:pStyle w:val="Standaardregelafstandtenminste"/>
      </w:pPr>
    </w:p>
    <w:p w:rsidRPr="006D7F90" w:rsidR="00192A52" w:rsidP="00192A52" w:rsidRDefault="00192A52" w14:paraId="23BE801B" w14:textId="77777777">
      <w:pPr>
        <w:pStyle w:val="Standaardregelafstandtenminste"/>
        <w:rPr>
          <w:b/>
          <w:bCs/>
        </w:rPr>
      </w:pPr>
      <w:r w:rsidRPr="006D7F90">
        <w:rPr>
          <w:b/>
          <w:bCs/>
        </w:rPr>
        <w:lastRenderedPageBreak/>
        <w:t>Vraag 5</w:t>
      </w:r>
    </w:p>
    <w:p w:rsidRPr="00CF42D5" w:rsidR="00192A52" w:rsidP="00192A52" w:rsidRDefault="00192A52" w14:paraId="5E45517E" w14:textId="77777777">
      <w:pPr>
        <w:pStyle w:val="Standaardregelafstandtenminste"/>
      </w:pPr>
      <w:r w:rsidRPr="00CF42D5">
        <w:t>Wat zou de opbrengst van het amendement geweest zijn als er wel gedragseffecten meegenomen</w:t>
      </w:r>
    </w:p>
    <w:p w:rsidR="00192A52" w:rsidP="00192A52" w:rsidRDefault="00192A52" w14:paraId="245425C4" w14:textId="77777777">
      <w:pPr>
        <w:pStyle w:val="Standaardregelafstandtenminste"/>
      </w:pPr>
      <w:r w:rsidRPr="00CF42D5">
        <w:t>zouden zijn?</w:t>
      </w:r>
    </w:p>
    <w:p w:rsidRPr="00CF42D5" w:rsidR="00192A52" w:rsidP="00192A52" w:rsidRDefault="00192A52" w14:paraId="4B39A59F" w14:textId="77777777"/>
    <w:p w:rsidRPr="006D7F90" w:rsidR="00192A52" w:rsidP="00192A52" w:rsidRDefault="00192A52" w14:paraId="7D93A14B" w14:textId="77777777">
      <w:pPr>
        <w:pStyle w:val="Standaardregelafstandtenminste"/>
        <w:rPr>
          <w:b/>
          <w:bCs/>
        </w:rPr>
      </w:pPr>
      <w:r w:rsidRPr="006D7F90">
        <w:rPr>
          <w:b/>
          <w:bCs/>
        </w:rPr>
        <w:t>Antwoord op vraag 5</w:t>
      </w:r>
    </w:p>
    <w:p w:rsidR="00192A52" w:rsidP="00192A52" w:rsidRDefault="00192A52" w14:paraId="239FC6F7" w14:textId="77777777">
      <w:r>
        <w:t>Zoals bij vraag 3 is geantwoord, zijn gedragseffecten al meegenomen</w:t>
      </w:r>
      <w:r w:rsidRPr="006C083A">
        <w:t xml:space="preserve"> </w:t>
      </w:r>
      <w:r>
        <w:t>bij de berekening van de opbrengst van het amendement. De opbrengst blijft dus hetzelfde.</w:t>
      </w:r>
    </w:p>
    <w:p w:rsidR="00192A52" w:rsidP="00192A52" w:rsidRDefault="00192A52" w14:paraId="43A0AA00" w14:textId="77777777"/>
    <w:p w:rsidRPr="001526B4" w:rsidR="00192A52" w:rsidP="00192A52" w:rsidRDefault="00192A52" w14:paraId="05A6ABA7" w14:textId="77777777">
      <w:pPr>
        <w:pStyle w:val="Standaardregelafstandtenminste"/>
        <w:rPr>
          <w:b/>
          <w:bCs/>
        </w:rPr>
      </w:pPr>
      <w:r w:rsidRPr="001526B4">
        <w:rPr>
          <w:b/>
          <w:bCs/>
        </w:rPr>
        <w:t>Vraag 6</w:t>
      </w:r>
    </w:p>
    <w:p w:rsidRPr="00CF42D5" w:rsidR="00192A52" w:rsidP="00192A52" w:rsidRDefault="00192A52" w14:paraId="6613DD7D" w14:textId="77777777">
      <w:pPr>
        <w:pStyle w:val="Standaardregelafstandtenminste"/>
      </w:pPr>
      <w:r w:rsidRPr="00CF42D5">
        <w:t>Heeft u kennis genomen van het feit dat het SEO onderzoek over de 30%-regeling (waarop de</w:t>
      </w:r>
    </w:p>
    <w:p w:rsidRPr="00CF42D5" w:rsidR="00192A52" w:rsidP="00192A52" w:rsidRDefault="00192A52" w14:paraId="2324EA9D" w14:textId="77777777">
      <w:pPr>
        <w:pStyle w:val="Standaardregelafstandtenminste"/>
      </w:pPr>
      <w:r w:rsidRPr="00CF42D5">
        <w:t>regering de tweede nota van wijziging van het Belastingplan 2025 baseert), schat dat het</w:t>
      </w:r>
    </w:p>
    <w:p w:rsidR="00192A52" w:rsidP="00192A52" w:rsidRDefault="00192A52" w14:paraId="5A495995" w14:textId="77777777">
      <w:pPr>
        <w:pStyle w:val="Standaardregelafstandtenminste"/>
      </w:pPr>
      <w:r w:rsidRPr="00CF42D5">
        <w:t>aangenomen amendement leidt tot een afname van het aantal expats met 10-15% (gedragseffect)?</w:t>
      </w:r>
    </w:p>
    <w:p w:rsidRPr="00CF42D5" w:rsidR="00192A52" w:rsidP="00192A52" w:rsidRDefault="00192A52" w14:paraId="4AFE8D15" w14:textId="77777777"/>
    <w:p w:rsidRPr="001526B4" w:rsidR="00192A52" w:rsidP="00192A52" w:rsidRDefault="00192A52" w14:paraId="2277444F" w14:textId="77777777">
      <w:pPr>
        <w:pStyle w:val="Standaardregelafstandtenminste"/>
        <w:rPr>
          <w:b/>
          <w:bCs/>
        </w:rPr>
      </w:pPr>
      <w:r w:rsidRPr="001526B4">
        <w:rPr>
          <w:b/>
          <w:bCs/>
        </w:rPr>
        <w:t>Antwoord op vraag 6</w:t>
      </w:r>
    </w:p>
    <w:p w:rsidRPr="001526B4" w:rsidR="00192A52" w:rsidP="00192A52" w:rsidRDefault="00192A52" w14:paraId="548450D5" w14:textId="77777777">
      <w:r>
        <w:t>Ja.</w:t>
      </w:r>
    </w:p>
    <w:p w:rsidR="00192A52" w:rsidP="00192A52" w:rsidRDefault="00192A52" w14:paraId="731DD5D1" w14:textId="77777777">
      <w:pPr>
        <w:pStyle w:val="Standaardregelafstandtenminste"/>
      </w:pPr>
    </w:p>
    <w:p w:rsidRPr="001526B4" w:rsidR="00192A52" w:rsidP="00192A52" w:rsidRDefault="00192A52" w14:paraId="5AA095FB" w14:textId="77777777">
      <w:pPr>
        <w:pStyle w:val="Standaardregelafstandtenminste"/>
        <w:rPr>
          <w:b/>
          <w:bCs/>
        </w:rPr>
      </w:pPr>
      <w:r w:rsidRPr="001526B4">
        <w:rPr>
          <w:b/>
          <w:bCs/>
        </w:rPr>
        <w:t>Vraag 7</w:t>
      </w:r>
    </w:p>
    <w:p w:rsidRPr="00CF42D5" w:rsidR="00192A52" w:rsidP="00192A52" w:rsidRDefault="00192A52" w14:paraId="5DA69D1E" w14:textId="77777777">
      <w:r w:rsidRPr="00CF42D5">
        <w:t>Wilt u de opbrengst van het amendement berekenen zowel op stand van zaken in 2022 en nu,</w:t>
      </w:r>
    </w:p>
    <w:p w:rsidR="00192A52" w:rsidP="00192A52" w:rsidRDefault="00192A52" w14:paraId="5BE6670E" w14:textId="77777777">
      <w:r w:rsidRPr="00CF42D5">
        <w:t>inclusief gedragseffecten?</w:t>
      </w:r>
    </w:p>
    <w:p w:rsidR="00192A52" w:rsidP="00192A52" w:rsidRDefault="00192A52" w14:paraId="310C7827" w14:textId="77777777"/>
    <w:p w:rsidRPr="000F1A61" w:rsidR="00192A52" w:rsidP="00192A52" w:rsidRDefault="00192A52" w14:paraId="466A3181" w14:textId="77777777">
      <w:pPr>
        <w:rPr>
          <w:b/>
          <w:bCs/>
        </w:rPr>
      </w:pPr>
      <w:r w:rsidRPr="000F1A61">
        <w:rPr>
          <w:b/>
          <w:bCs/>
        </w:rPr>
        <w:t>Antwoord op vraag 7</w:t>
      </w:r>
    </w:p>
    <w:p w:rsidRPr="000F1A61" w:rsidR="00192A52" w:rsidP="00192A52" w:rsidRDefault="00192A52" w14:paraId="72FA0AAF" w14:textId="77777777">
      <w:r>
        <w:t>De berekening is reeds uitgevoerd inclusief gedragseffecten. De opbrengst verandert hier dus niet door. Het is verder niet mogelijk om de stand van zaken voor het huidige jaar te berekenen, omdat daar nog geen gegevens over beschikbaar zijn. Op dit moment zijn de meest recent beschikbare gegevens die over 2023. De verwachting is dat de uitkomst niet veel zal afwijken van de uitkomst op basis van de gegevens van 2022.</w:t>
      </w:r>
    </w:p>
    <w:p w:rsidR="00192A52" w:rsidP="00192A52" w:rsidRDefault="00192A52" w14:paraId="7D78E032" w14:textId="77777777">
      <w:pPr>
        <w:pStyle w:val="Standaardregelafstandtenminste"/>
      </w:pPr>
    </w:p>
    <w:p w:rsidRPr="001526B4" w:rsidR="00192A52" w:rsidP="00192A52" w:rsidRDefault="00192A52" w14:paraId="213DCB7D" w14:textId="77777777">
      <w:pPr>
        <w:pStyle w:val="Standaardregelafstandtenminste"/>
        <w:rPr>
          <w:b/>
          <w:bCs/>
        </w:rPr>
      </w:pPr>
      <w:r w:rsidRPr="001526B4">
        <w:rPr>
          <w:b/>
          <w:bCs/>
        </w:rPr>
        <w:t>Vraag 8</w:t>
      </w:r>
      <w:r>
        <w:rPr>
          <w:b/>
          <w:bCs/>
        </w:rPr>
        <w:t xml:space="preserve"> </w:t>
      </w:r>
    </w:p>
    <w:p w:rsidRPr="00CF42D5" w:rsidR="00192A52" w:rsidP="00192A52" w:rsidRDefault="00192A52" w14:paraId="5AB42E7C" w14:textId="77777777">
      <w:r w:rsidRPr="00CF42D5">
        <w:t>Klopt het dat u bij de tweede nota van wijziging bij het Belastingplan 2025 het amendement</w:t>
      </w:r>
    </w:p>
    <w:p w:rsidR="00192A52" w:rsidP="00192A52" w:rsidRDefault="00192A52" w14:paraId="4D682E1A" w14:textId="77777777">
      <w:r w:rsidRPr="00CF42D5">
        <w:t>terugdraaide en daarbij geen gedragseffecten berekende voor het terugdraaien van het amendement,</w:t>
      </w:r>
      <w:r>
        <w:t xml:space="preserve"> </w:t>
      </w:r>
      <w:r w:rsidRPr="00CF42D5">
        <w:t>maar wel voor het daarna verlagen van het algemene percentage van 30% naar 27%?</w:t>
      </w:r>
    </w:p>
    <w:p w:rsidR="00192A52" w:rsidP="00192A52" w:rsidRDefault="00192A52" w14:paraId="30BD7A3B" w14:textId="77777777">
      <w:pPr>
        <w:rPr>
          <w:b/>
          <w:bCs/>
        </w:rPr>
      </w:pPr>
    </w:p>
    <w:p w:rsidRPr="00F86E3C" w:rsidR="00192A52" w:rsidP="00192A52" w:rsidRDefault="00192A52" w14:paraId="7006FAA7" w14:textId="77777777">
      <w:pPr>
        <w:rPr>
          <w:b/>
          <w:bCs/>
        </w:rPr>
      </w:pPr>
      <w:r w:rsidRPr="00F86E3C">
        <w:rPr>
          <w:b/>
          <w:bCs/>
        </w:rPr>
        <w:t>Vraag 9</w:t>
      </w:r>
    </w:p>
    <w:p w:rsidRPr="00F86E3C" w:rsidR="00192A52" w:rsidP="00192A52" w:rsidRDefault="00192A52" w14:paraId="56CAD4F9" w14:textId="77777777">
      <w:r w:rsidRPr="00F86E3C">
        <w:t>Deelt u de mening dat het inconsistent en misleidend is om bij een nota van wijziging alleen de</w:t>
      </w:r>
    </w:p>
    <w:p w:rsidR="00192A52" w:rsidP="00192A52" w:rsidRDefault="00192A52" w14:paraId="3E593B7C" w14:textId="77777777">
      <w:r w:rsidRPr="00F86E3C">
        <w:t>gedragseffecten mee te nemen die de regering goed uitkomen en de andere niet?</w:t>
      </w:r>
    </w:p>
    <w:p w:rsidR="00192A52" w:rsidP="00192A52" w:rsidRDefault="00192A52" w14:paraId="004BD486" w14:textId="77777777"/>
    <w:p w:rsidRPr="000F1A61" w:rsidR="00192A52" w:rsidP="00192A52" w:rsidRDefault="00192A52" w14:paraId="7824CF4D" w14:textId="77777777">
      <w:pPr>
        <w:rPr>
          <w:b/>
          <w:bCs/>
        </w:rPr>
      </w:pPr>
      <w:r w:rsidRPr="000F1A61">
        <w:rPr>
          <w:b/>
          <w:bCs/>
        </w:rPr>
        <w:t>Antwoord op vra</w:t>
      </w:r>
      <w:r>
        <w:rPr>
          <w:b/>
          <w:bCs/>
        </w:rPr>
        <w:t>gen</w:t>
      </w:r>
      <w:r w:rsidRPr="000F1A61">
        <w:rPr>
          <w:b/>
          <w:bCs/>
        </w:rPr>
        <w:t xml:space="preserve"> 8</w:t>
      </w:r>
      <w:r>
        <w:rPr>
          <w:b/>
          <w:bCs/>
        </w:rPr>
        <w:t xml:space="preserve"> en 9</w:t>
      </w:r>
    </w:p>
    <w:p w:rsidR="00192A52" w:rsidP="00192A52" w:rsidRDefault="00192A52" w14:paraId="3731A6C6" w14:textId="77777777">
      <w:pPr>
        <w:pStyle w:val="Standaardregelafstandtenminste"/>
      </w:pPr>
      <w:r>
        <w:lastRenderedPageBreak/>
        <w:t xml:space="preserve">Middels de motie </w:t>
      </w:r>
      <w:proofErr w:type="spellStart"/>
      <w:r>
        <w:t>Geerdink</w:t>
      </w:r>
      <w:proofErr w:type="spellEnd"/>
      <w:r>
        <w:t>-Moonen</w:t>
      </w:r>
      <w:r>
        <w:rPr>
          <w:rStyle w:val="Voetnootmarkering"/>
        </w:rPr>
        <w:footnoteReference w:id="1"/>
      </w:r>
      <w:r>
        <w:t xml:space="preserve"> is het kabinet door de Staten-Generaal verzocht om de voorgenomen evaluatie van de 30%-regeling naar voren te halen en op basis van deze evaluatie in het Belastingplan 2025 met een alternatief voorstel te komen dat minder schadelijk uitpakt voor de economie. De gevraagde evaluatie is vervolgens vervroegd en versneld uitgevoerd door SEO Economisch Onderzoek (SEO). Het rapport Kunde, Kosten en Keuzes dat SEO heeft opgesteld naar aanleiding van deze evaluatie is op 14 juni 2024 door één van mijn voorgangers met uw Kamer gedeeld.</w:t>
      </w:r>
      <w:r>
        <w:rPr>
          <w:rStyle w:val="Voetnootmarkering"/>
        </w:rPr>
        <w:footnoteReference w:id="2"/>
      </w:r>
      <w:r>
        <w:t xml:space="preserve"> Eén van de aanbevelingen die SEO doet in het evaluatierapport is om de forfaitaire vergoeding voor extraterritoriale kosten vorm te geven als één vast percentage van het loon in plaats van een afbouw in de tijd van 30-20-10. Invulling gevende aan de motie </w:t>
      </w:r>
      <w:proofErr w:type="spellStart"/>
      <w:r>
        <w:t>Geerdink</w:t>
      </w:r>
      <w:proofErr w:type="spellEnd"/>
      <w:r>
        <w:t>-Moonen en gehoor gevende aan de aanbeveling van SEO, hebben wij een voorstel gedaan voor een aanpassing in de expatregeling. Deze aanpassing houdt in dat de forfaitaire vergoeding voor extraterritoriale kosten wordt gesteld op een vast percentage van het loon van de werknemer. Dit percentage bedraagt vanaf 2027 27% met volledig respecterend overgangsrecht; voor de jaren 2025 en 2026 bedraagt het percentage 30%. Dit voorstel is door de Staten-Generaal aanvaard.</w:t>
      </w:r>
    </w:p>
    <w:p w:rsidR="00192A52" w:rsidP="00192A52" w:rsidRDefault="00192A52" w14:paraId="06D7CE14" w14:textId="77777777"/>
    <w:p w:rsidRPr="00CB37DF" w:rsidR="00192A52" w:rsidP="00192A52" w:rsidRDefault="00192A52" w14:paraId="20098812" w14:textId="77777777">
      <w:r>
        <w:t>Bij zowel de berekeningen voor het amendement als de wijzigingen in het Belastingplan 2025 zijn gedragseffecten meegenomen. De ramingen zijn mijns inziens daarom consistent.</w:t>
      </w:r>
    </w:p>
    <w:p w:rsidR="00192A52" w:rsidP="00192A52" w:rsidRDefault="00192A52" w14:paraId="28B5D3DC" w14:textId="77777777"/>
    <w:p w:rsidRPr="00F86E3C" w:rsidR="00192A52" w:rsidP="00192A52" w:rsidRDefault="00192A52" w14:paraId="628D7709" w14:textId="77777777">
      <w:pPr>
        <w:rPr>
          <w:b/>
          <w:bCs/>
        </w:rPr>
      </w:pPr>
      <w:r w:rsidRPr="00F86E3C">
        <w:rPr>
          <w:b/>
          <w:bCs/>
        </w:rPr>
        <w:t>Vraag 10</w:t>
      </w:r>
    </w:p>
    <w:p w:rsidRPr="00F86E3C" w:rsidR="00192A52" w:rsidP="00192A52" w:rsidRDefault="00192A52" w14:paraId="681C857C" w14:textId="77777777">
      <w:r w:rsidRPr="00F86E3C">
        <w:t>Wilt u de kosten en opbrengsten van de nota van wijziging berekenen met alle gedragseffecten en</w:t>
      </w:r>
    </w:p>
    <w:p w:rsidR="00192A52" w:rsidP="00192A52" w:rsidRDefault="00192A52" w14:paraId="2939D17F" w14:textId="77777777">
      <w:r w:rsidRPr="00F86E3C">
        <w:t>gebaseerd op hetzelfde jaar (2025)?</w:t>
      </w:r>
    </w:p>
    <w:p w:rsidR="00192A52" w:rsidP="00192A52" w:rsidRDefault="00192A52" w14:paraId="2A26BABF" w14:textId="77777777"/>
    <w:p w:rsidRPr="00CB37DF" w:rsidR="00192A52" w:rsidP="00192A52" w:rsidRDefault="00192A52" w14:paraId="2AD70169" w14:textId="77777777">
      <w:pPr>
        <w:rPr>
          <w:b/>
          <w:bCs/>
        </w:rPr>
      </w:pPr>
      <w:r w:rsidRPr="00CB37DF">
        <w:rPr>
          <w:b/>
          <w:bCs/>
        </w:rPr>
        <w:t>Vraag 11</w:t>
      </w:r>
    </w:p>
    <w:p w:rsidR="00192A52" w:rsidP="00192A52" w:rsidRDefault="00192A52" w14:paraId="155DF2B0" w14:textId="77777777">
      <w:r w:rsidRPr="00F86E3C">
        <w:t>Wilt u de kosten en opbrengsten van de nota van wijziging zonder gedragseffecten en gebaseerd op</w:t>
      </w:r>
      <w:r>
        <w:t xml:space="preserve"> </w:t>
      </w:r>
      <w:r w:rsidRPr="00F86E3C">
        <w:t>hetzelfde jaar (2025)?</w:t>
      </w:r>
    </w:p>
    <w:p w:rsidR="00192A52" w:rsidP="00192A52" w:rsidRDefault="00192A52" w14:paraId="5033FFBC" w14:textId="77777777"/>
    <w:p w:rsidRPr="000F1A61" w:rsidR="00192A52" w:rsidP="00192A52" w:rsidRDefault="00192A52" w14:paraId="75E6B92B" w14:textId="77777777">
      <w:pPr>
        <w:rPr>
          <w:b/>
          <w:bCs/>
        </w:rPr>
      </w:pPr>
      <w:r w:rsidRPr="000F1A61">
        <w:rPr>
          <w:b/>
          <w:bCs/>
        </w:rPr>
        <w:t xml:space="preserve">Antwoord op </w:t>
      </w:r>
      <w:r>
        <w:rPr>
          <w:b/>
          <w:bCs/>
        </w:rPr>
        <w:t>vragen</w:t>
      </w:r>
      <w:r w:rsidRPr="000F1A61">
        <w:rPr>
          <w:b/>
          <w:bCs/>
        </w:rPr>
        <w:t xml:space="preserve"> </w:t>
      </w:r>
      <w:r>
        <w:rPr>
          <w:b/>
          <w:bCs/>
        </w:rPr>
        <w:t>10 en 11</w:t>
      </w:r>
    </w:p>
    <w:p w:rsidRPr="000F1A61" w:rsidR="00192A52" w:rsidP="00192A52" w:rsidRDefault="00192A52" w14:paraId="2F5A99B6" w14:textId="77777777">
      <w:r>
        <w:t>De berekening van de kosten en opbrengst van de nota van wijziging zijn gebaseerd op de gegevens van 2023. Er zijn geen recentere gegevens beschikbaar om nieuwe berekeningen mee te maken.</w:t>
      </w:r>
    </w:p>
    <w:p w:rsidRPr="00F86E3C" w:rsidR="00192A52" w:rsidP="00192A52" w:rsidRDefault="00192A52" w14:paraId="41C7B4F5" w14:textId="77777777"/>
    <w:p w:rsidRPr="00F86E3C" w:rsidR="00192A52" w:rsidP="00192A52" w:rsidRDefault="00192A52" w14:paraId="2575ECAD" w14:textId="77777777">
      <w:pPr>
        <w:rPr>
          <w:b/>
          <w:bCs/>
        </w:rPr>
      </w:pPr>
      <w:r w:rsidRPr="00F86E3C">
        <w:rPr>
          <w:b/>
          <w:bCs/>
        </w:rPr>
        <w:t>Vraag 12</w:t>
      </w:r>
    </w:p>
    <w:p w:rsidR="00192A52" w:rsidP="00192A52" w:rsidRDefault="00192A52" w14:paraId="3805823D" w14:textId="77777777">
      <w:r w:rsidRPr="00F86E3C">
        <w:t>Hoe hoog is de instroom van 30%-regeling (en opvolgers) in elk van de jaren 2016-2024?</w:t>
      </w:r>
    </w:p>
    <w:p w:rsidR="00192A52" w:rsidP="00192A52" w:rsidRDefault="00192A52" w14:paraId="46622C63" w14:textId="77777777"/>
    <w:p w:rsidRPr="000F1A61" w:rsidR="00192A52" w:rsidP="00192A52" w:rsidRDefault="00192A52" w14:paraId="3F4D9DB8" w14:textId="77777777">
      <w:pPr>
        <w:rPr>
          <w:b/>
          <w:bCs/>
        </w:rPr>
      </w:pPr>
      <w:r w:rsidRPr="000F1A61">
        <w:rPr>
          <w:b/>
          <w:bCs/>
        </w:rPr>
        <w:t xml:space="preserve">Antwoord op vraag </w:t>
      </w:r>
      <w:r>
        <w:rPr>
          <w:b/>
          <w:bCs/>
        </w:rPr>
        <w:t>12</w:t>
      </w:r>
    </w:p>
    <w:p w:rsidRPr="00271C71" w:rsidR="00192A52" w:rsidP="00192A52" w:rsidRDefault="00192A52" w14:paraId="1FA867D3" w14:textId="77777777">
      <w:r>
        <w:t>Onderstaande tabel geeft een overzicht van de instroom van de 30%-regeling over de periode 2016 tot en met 2022. Deze gegevens komen uit het evaluatierapport van onderzoeksbureau SEO.</w:t>
      </w:r>
      <w:r>
        <w:rPr>
          <w:rStyle w:val="Voetnootmarkering"/>
        </w:rPr>
        <w:footnoteReference w:id="3"/>
      </w:r>
      <w:r>
        <w:t xml:space="preserve"> </w:t>
      </w:r>
    </w:p>
    <w:p w:rsidR="00192A52" w:rsidP="00192A52" w:rsidRDefault="00192A52" w14:paraId="1AA3C42D" w14:textId="77777777"/>
    <w:tbl>
      <w:tblPr>
        <w:tblStyle w:val="Tabelraster"/>
        <w:tblW w:w="0" w:type="auto"/>
        <w:tblLook w:val="04A0" w:firstRow="1" w:lastRow="0" w:firstColumn="1" w:lastColumn="0" w:noHBand="0" w:noVBand="1"/>
      </w:tblPr>
      <w:tblGrid>
        <w:gridCol w:w="2608"/>
        <w:gridCol w:w="855"/>
        <w:gridCol w:w="927"/>
        <w:gridCol w:w="928"/>
        <w:gridCol w:w="928"/>
        <w:gridCol w:w="928"/>
        <w:gridCol w:w="928"/>
        <w:gridCol w:w="959"/>
      </w:tblGrid>
      <w:tr w:rsidRPr="00271C71" w:rsidR="00192A52" w:rsidTr="00F761F8" w14:paraId="6F2A820C" w14:textId="77777777">
        <w:tc>
          <w:tcPr>
            <w:tcW w:w="2608" w:type="dxa"/>
            <w:tcBorders>
              <w:bottom w:val="single" w:color="auto" w:sz="4" w:space="0"/>
            </w:tcBorders>
          </w:tcPr>
          <w:p w:rsidRPr="00271C71" w:rsidR="00192A52" w:rsidP="00F761F8" w:rsidRDefault="00192A52" w14:paraId="17A9A082" w14:textId="77777777">
            <w:pPr>
              <w:rPr>
                <w:b/>
                <w:bCs/>
              </w:rPr>
            </w:pPr>
            <w:r w:rsidRPr="00271C71">
              <w:rPr>
                <w:b/>
                <w:bCs/>
              </w:rPr>
              <w:lastRenderedPageBreak/>
              <w:t>Jaar</w:t>
            </w:r>
          </w:p>
        </w:tc>
        <w:tc>
          <w:tcPr>
            <w:tcW w:w="855" w:type="dxa"/>
            <w:tcBorders>
              <w:bottom w:val="single" w:color="auto" w:sz="4" w:space="0"/>
            </w:tcBorders>
          </w:tcPr>
          <w:p w:rsidRPr="00271C71" w:rsidR="00192A52" w:rsidP="00F761F8" w:rsidRDefault="00192A52" w14:paraId="617F4A81" w14:textId="77777777">
            <w:pPr>
              <w:jc w:val="center"/>
              <w:rPr>
                <w:b/>
                <w:bCs/>
              </w:rPr>
            </w:pPr>
            <w:r w:rsidRPr="00271C71">
              <w:rPr>
                <w:b/>
                <w:bCs/>
              </w:rPr>
              <w:t>2016</w:t>
            </w:r>
          </w:p>
        </w:tc>
        <w:tc>
          <w:tcPr>
            <w:tcW w:w="927" w:type="dxa"/>
            <w:tcBorders>
              <w:bottom w:val="single" w:color="auto" w:sz="4" w:space="0"/>
            </w:tcBorders>
          </w:tcPr>
          <w:p w:rsidRPr="00271C71" w:rsidR="00192A52" w:rsidP="00F761F8" w:rsidRDefault="00192A52" w14:paraId="6B5A284D" w14:textId="77777777">
            <w:pPr>
              <w:jc w:val="center"/>
              <w:rPr>
                <w:b/>
                <w:bCs/>
              </w:rPr>
            </w:pPr>
            <w:r w:rsidRPr="00271C71">
              <w:rPr>
                <w:b/>
                <w:bCs/>
              </w:rPr>
              <w:t>2017</w:t>
            </w:r>
          </w:p>
        </w:tc>
        <w:tc>
          <w:tcPr>
            <w:tcW w:w="928" w:type="dxa"/>
            <w:tcBorders>
              <w:bottom w:val="single" w:color="auto" w:sz="4" w:space="0"/>
            </w:tcBorders>
          </w:tcPr>
          <w:p w:rsidRPr="00271C71" w:rsidR="00192A52" w:rsidP="00F761F8" w:rsidRDefault="00192A52" w14:paraId="7CC91252" w14:textId="77777777">
            <w:pPr>
              <w:jc w:val="center"/>
              <w:rPr>
                <w:b/>
                <w:bCs/>
              </w:rPr>
            </w:pPr>
            <w:r w:rsidRPr="00271C71">
              <w:rPr>
                <w:b/>
                <w:bCs/>
              </w:rPr>
              <w:t>2018</w:t>
            </w:r>
          </w:p>
        </w:tc>
        <w:tc>
          <w:tcPr>
            <w:tcW w:w="928" w:type="dxa"/>
            <w:tcBorders>
              <w:bottom w:val="single" w:color="auto" w:sz="4" w:space="0"/>
            </w:tcBorders>
          </w:tcPr>
          <w:p w:rsidRPr="00271C71" w:rsidR="00192A52" w:rsidP="00F761F8" w:rsidRDefault="00192A52" w14:paraId="48D0D9D6" w14:textId="77777777">
            <w:pPr>
              <w:jc w:val="center"/>
              <w:rPr>
                <w:b/>
                <w:bCs/>
              </w:rPr>
            </w:pPr>
            <w:r w:rsidRPr="00271C71">
              <w:rPr>
                <w:b/>
                <w:bCs/>
              </w:rPr>
              <w:t>2019</w:t>
            </w:r>
          </w:p>
        </w:tc>
        <w:tc>
          <w:tcPr>
            <w:tcW w:w="928" w:type="dxa"/>
            <w:tcBorders>
              <w:bottom w:val="single" w:color="auto" w:sz="4" w:space="0"/>
            </w:tcBorders>
          </w:tcPr>
          <w:p w:rsidRPr="00271C71" w:rsidR="00192A52" w:rsidP="00F761F8" w:rsidRDefault="00192A52" w14:paraId="0F41BEF0" w14:textId="77777777">
            <w:pPr>
              <w:jc w:val="center"/>
              <w:rPr>
                <w:b/>
                <w:bCs/>
              </w:rPr>
            </w:pPr>
            <w:r w:rsidRPr="00271C71">
              <w:rPr>
                <w:b/>
                <w:bCs/>
              </w:rPr>
              <w:t>2020</w:t>
            </w:r>
          </w:p>
        </w:tc>
        <w:tc>
          <w:tcPr>
            <w:tcW w:w="928" w:type="dxa"/>
            <w:tcBorders>
              <w:bottom w:val="single" w:color="auto" w:sz="4" w:space="0"/>
            </w:tcBorders>
          </w:tcPr>
          <w:p w:rsidRPr="00271C71" w:rsidR="00192A52" w:rsidP="00F761F8" w:rsidRDefault="00192A52" w14:paraId="6846A8A5" w14:textId="77777777">
            <w:pPr>
              <w:jc w:val="center"/>
              <w:rPr>
                <w:b/>
                <w:bCs/>
              </w:rPr>
            </w:pPr>
            <w:r w:rsidRPr="00271C71">
              <w:rPr>
                <w:b/>
                <w:bCs/>
              </w:rPr>
              <w:t>2021</w:t>
            </w:r>
          </w:p>
        </w:tc>
        <w:tc>
          <w:tcPr>
            <w:tcW w:w="959" w:type="dxa"/>
            <w:tcBorders>
              <w:bottom w:val="single" w:color="auto" w:sz="4" w:space="0"/>
            </w:tcBorders>
          </w:tcPr>
          <w:p w:rsidRPr="00271C71" w:rsidR="00192A52" w:rsidP="00F761F8" w:rsidRDefault="00192A52" w14:paraId="79C0A944" w14:textId="77777777">
            <w:pPr>
              <w:jc w:val="center"/>
              <w:rPr>
                <w:b/>
                <w:bCs/>
              </w:rPr>
            </w:pPr>
            <w:r w:rsidRPr="00271C71">
              <w:rPr>
                <w:b/>
                <w:bCs/>
              </w:rPr>
              <w:t>2022</w:t>
            </w:r>
          </w:p>
        </w:tc>
      </w:tr>
      <w:tr w:rsidR="00192A52" w:rsidTr="00F761F8" w14:paraId="116C7F63" w14:textId="77777777">
        <w:tc>
          <w:tcPr>
            <w:tcW w:w="2608" w:type="dxa"/>
            <w:tcBorders>
              <w:top w:val="single" w:color="auto" w:sz="4" w:space="0"/>
              <w:left w:val="single" w:color="auto" w:sz="4" w:space="0"/>
              <w:bottom w:val="nil"/>
              <w:right w:val="single" w:color="auto" w:sz="4" w:space="0"/>
            </w:tcBorders>
          </w:tcPr>
          <w:p w:rsidR="00192A52" w:rsidP="00F761F8" w:rsidRDefault="00192A52" w14:paraId="4CCBF960" w14:textId="77777777">
            <w:r>
              <w:t>Instroom 30%-gebruikers</w:t>
            </w:r>
          </w:p>
        </w:tc>
        <w:tc>
          <w:tcPr>
            <w:tcW w:w="855" w:type="dxa"/>
            <w:tcBorders>
              <w:top w:val="single" w:color="auto" w:sz="4" w:space="0"/>
              <w:left w:val="single" w:color="auto" w:sz="4" w:space="0"/>
              <w:bottom w:val="nil"/>
              <w:right w:val="single" w:color="auto" w:sz="4" w:space="0"/>
            </w:tcBorders>
            <w:shd w:val="clear" w:color="auto" w:fill="auto"/>
            <w:vAlign w:val="bottom"/>
          </w:tcPr>
          <w:p w:rsidR="00192A52" w:rsidP="00F761F8" w:rsidRDefault="00192A52" w14:paraId="482AAAD2" w14:textId="77777777">
            <w:pPr>
              <w:jc w:val="center"/>
            </w:pPr>
            <w:r>
              <w:t>19.254</w:t>
            </w:r>
          </w:p>
        </w:tc>
        <w:tc>
          <w:tcPr>
            <w:tcW w:w="927" w:type="dxa"/>
            <w:tcBorders>
              <w:top w:val="single" w:color="auto" w:sz="4" w:space="0"/>
              <w:left w:val="single" w:color="auto" w:sz="4" w:space="0"/>
              <w:bottom w:val="nil"/>
              <w:right w:val="single" w:color="auto" w:sz="4" w:space="0"/>
            </w:tcBorders>
            <w:shd w:val="clear" w:color="auto" w:fill="auto"/>
          </w:tcPr>
          <w:p w:rsidR="00192A52" w:rsidP="00F761F8" w:rsidRDefault="00192A52" w14:paraId="27E8170D" w14:textId="77777777">
            <w:pPr>
              <w:jc w:val="center"/>
            </w:pPr>
            <w:r>
              <w:t>22.811</w:t>
            </w:r>
          </w:p>
        </w:tc>
        <w:tc>
          <w:tcPr>
            <w:tcW w:w="928" w:type="dxa"/>
            <w:tcBorders>
              <w:top w:val="single" w:color="auto" w:sz="4" w:space="0"/>
              <w:left w:val="single" w:color="auto" w:sz="4" w:space="0"/>
              <w:bottom w:val="nil"/>
              <w:right w:val="single" w:color="auto" w:sz="4" w:space="0"/>
            </w:tcBorders>
            <w:shd w:val="clear" w:color="auto" w:fill="auto"/>
          </w:tcPr>
          <w:p w:rsidR="00192A52" w:rsidP="00F761F8" w:rsidRDefault="00192A52" w14:paraId="0DC9229F" w14:textId="77777777">
            <w:pPr>
              <w:jc w:val="center"/>
            </w:pPr>
            <w:r>
              <w:t>27.579</w:t>
            </w:r>
          </w:p>
        </w:tc>
        <w:tc>
          <w:tcPr>
            <w:tcW w:w="928" w:type="dxa"/>
            <w:tcBorders>
              <w:top w:val="single" w:color="auto" w:sz="4" w:space="0"/>
              <w:left w:val="single" w:color="auto" w:sz="4" w:space="0"/>
              <w:bottom w:val="nil"/>
              <w:right w:val="single" w:color="auto" w:sz="4" w:space="0"/>
            </w:tcBorders>
            <w:shd w:val="clear" w:color="auto" w:fill="auto"/>
          </w:tcPr>
          <w:p w:rsidR="00192A52" w:rsidP="00F761F8" w:rsidRDefault="00192A52" w14:paraId="7841D984" w14:textId="77777777">
            <w:pPr>
              <w:jc w:val="center"/>
            </w:pPr>
            <w:r>
              <w:t>29.658</w:t>
            </w:r>
          </w:p>
        </w:tc>
        <w:tc>
          <w:tcPr>
            <w:tcW w:w="928" w:type="dxa"/>
            <w:tcBorders>
              <w:top w:val="single" w:color="auto" w:sz="4" w:space="0"/>
              <w:left w:val="single" w:color="auto" w:sz="4" w:space="0"/>
              <w:bottom w:val="nil"/>
              <w:right w:val="single" w:color="auto" w:sz="4" w:space="0"/>
            </w:tcBorders>
            <w:shd w:val="clear" w:color="auto" w:fill="auto"/>
            <w:vAlign w:val="bottom"/>
          </w:tcPr>
          <w:p w:rsidR="00192A52" w:rsidP="00F761F8" w:rsidRDefault="00192A52" w14:paraId="1142A028" w14:textId="77777777">
            <w:pPr>
              <w:jc w:val="center"/>
            </w:pPr>
            <w:r>
              <w:t>22.742</w:t>
            </w:r>
          </w:p>
        </w:tc>
        <w:tc>
          <w:tcPr>
            <w:tcW w:w="928" w:type="dxa"/>
            <w:tcBorders>
              <w:top w:val="single" w:color="auto" w:sz="4" w:space="0"/>
              <w:left w:val="single" w:color="auto" w:sz="4" w:space="0"/>
              <w:bottom w:val="nil"/>
              <w:right w:val="single" w:color="auto" w:sz="4" w:space="0"/>
            </w:tcBorders>
            <w:shd w:val="clear" w:color="auto" w:fill="auto"/>
            <w:vAlign w:val="center"/>
          </w:tcPr>
          <w:p w:rsidR="00192A52" w:rsidP="00F761F8" w:rsidRDefault="00192A52" w14:paraId="4406D41B" w14:textId="77777777">
            <w:pPr>
              <w:jc w:val="center"/>
            </w:pPr>
            <w:r>
              <w:t>30.884</w:t>
            </w:r>
          </w:p>
        </w:tc>
        <w:tc>
          <w:tcPr>
            <w:tcW w:w="959" w:type="dxa"/>
            <w:tcBorders>
              <w:top w:val="single" w:color="auto" w:sz="4" w:space="0"/>
              <w:left w:val="single" w:color="auto" w:sz="4" w:space="0"/>
              <w:bottom w:val="nil"/>
              <w:right w:val="single" w:color="auto" w:sz="4" w:space="0"/>
            </w:tcBorders>
            <w:shd w:val="clear" w:color="auto" w:fill="auto"/>
            <w:vAlign w:val="center"/>
          </w:tcPr>
          <w:p w:rsidR="00192A52" w:rsidP="00F761F8" w:rsidRDefault="00192A52" w14:paraId="5503E4C7" w14:textId="77777777">
            <w:pPr>
              <w:jc w:val="center"/>
            </w:pPr>
            <w:r>
              <w:t>46.042</w:t>
            </w:r>
          </w:p>
        </w:tc>
      </w:tr>
    </w:tbl>
    <w:p w:rsidR="00192A52" w:rsidP="00192A52" w:rsidRDefault="00192A52" w14:paraId="0A5FAB52" w14:textId="77777777"/>
    <w:p w:rsidRPr="00DA153D" w:rsidR="00192A52" w:rsidP="00192A52" w:rsidRDefault="00192A52" w14:paraId="133C1EAA" w14:textId="77777777">
      <w:pPr>
        <w:rPr>
          <w:b/>
          <w:bCs/>
        </w:rPr>
      </w:pPr>
      <w:r w:rsidRPr="00DA153D">
        <w:rPr>
          <w:b/>
          <w:bCs/>
        </w:rPr>
        <w:t>Vraag 13</w:t>
      </w:r>
    </w:p>
    <w:p w:rsidR="00192A52" w:rsidP="00192A52" w:rsidRDefault="00192A52" w14:paraId="04712A3E" w14:textId="77777777">
      <w:r w:rsidRPr="00F86E3C">
        <w:t>Hoe hoog is het totaal aantal mensen dat gebruik maakt van de regeling in elk van die jaren?</w:t>
      </w:r>
    </w:p>
    <w:p w:rsidR="00192A52" w:rsidP="00192A52" w:rsidRDefault="00192A52" w14:paraId="046E2EC5" w14:textId="77777777"/>
    <w:p w:rsidRPr="000F1A61" w:rsidR="00192A52" w:rsidP="00192A52" w:rsidRDefault="00192A52" w14:paraId="1204EF6B" w14:textId="77777777">
      <w:pPr>
        <w:rPr>
          <w:b/>
          <w:bCs/>
        </w:rPr>
      </w:pPr>
      <w:r w:rsidRPr="000F1A61">
        <w:rPr>
          <w:b/>
          <w:bCs/>
        </w:rPr>
        <w:t xml:space="preserve">Antwoord op vraag </w:t>
      </w:r>
      <w:r>
        <w:rPr>
          <w:b/>
          <w:bCs/>
        </w:rPr>
        <w:t>13</w:t>
      </w:r>
    </w:p>
    <w:p w:rsidRPr="00F72AEB" w:rsidR="00192A52" w:rsidP="00192A52" w:rsidRDefault="00192A52" w14:paraId="6261AA05" w14:textId="77777777">
      <w:r w:rsidRPr="00F72AEB">
        <w:t>Het genoemde SEO-rapport geeft in figuur 3.1 ook een overzicht van het aantal mensen dat gebruik maakt van de 30%-regeling over de periode 2016 tot en met 2023. Het gaat hierbij om mensen die op enig moment in het jaar gebruik hebben gemaakt van de 30%-regeling. Onderstaande tabel geeft deze cijfers:</w:t>
      </w:r>
    </w:p>
    <w:p w:rsidRPr="00F72AEB" w:rsidR="00192A52" w:rsidP="00192A52" w:rsidRDefault="00192A52" w14:paraId="57C46CF6" w14:textId="77777777"/>
    <w:tbl>
      <w:tblPr>
        <w:tblW w:w="0" w:type="auto"/>
        <w:tblCellMar>
          <w:left w:w="0" w:type="dxa"/>
          <w:right w:w="0" w:type="dxa"/>
        </w:tblCellMar>
        <w:tblLook w:val="04A0" w:firstRow="1" w:lastRow="0" w:firstColumn="1" w:lastColumn="0" w:noHBand="0" w:noVBand="1"/>
      </w:tblPr>
      <w:tblGrid>
        <w:gridCol w:w="1003"/>
        <w:gridCol w:w="1004"/>
        <w:gridCol w:w="1006"/>
        <w:gridCol w:w="1006"/>
        <w:gridCol w:w="1006"/>
        <w:gridCol w:w="1006"/>
        <w:gridCol w:w="1006"/>
        <w:gridCol w:w="1007"/>
        <w:gridCol w:w="1007"/>
      </w:tblGrid>
      <w:tr w:rsidRPr="00F72AEB" w:rsidR="00192A52" w:rsidTr="00F761F8" w14:paraId="2242AB3D" w14:textId="77777777">
        <w:tc>
          <w:tcPr>
            <w:tcW w:w="100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F72AEB" w:rsidR="00192A52" w:rsidP="00F761F8" w:rsidRDefault="00192A52" w14:paraId="25950FD5" w14:textId="77777777">
            <w:pPr>
              <w:rPr>
                <w:b/>
                <w:bCs/>
              </w:rPr>
            </w:pPr>
            <w:r w:rsidRPr="00F72AEB">
              <w:rPr>
                <w:b/>
                <w:bCs/>
              </w:rPr>
              <w:t>Jaar</w:t>
            </w:r>
          </w:p>
        </w:tc>
        <w:tc>
          <w:tcPr>
            <w:tcW w:w="100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F72AEB" w:rsidR="00192A52" w:rsidP="00F761F8" w:rsidRDefault="00192A52" w14:paraId="628D1885" w14:textId="77777777">
            <w:pPr>
              <w:rPr>
                <w:b/>
                <w:bCs/>
              </w:rPr>
            </w:pPr>
            <w:r w:rsidRPr="00F72AEB">
              <w:rPr>
                <w:b/>
                <w:bCs/>
              </w:rPr>
              <w:t>2016</w:t>
            </w:r>
          </w:p>
        </w:tc>
        <w:tc>
          <w:tcPr>
            <w:tcW w:w="100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F72AEB" w:rsidR="00192A52" w:rsidP="00F761F8" w:rsidRDefault="00192A52" w14:paraId="59F2A4B8" w14:textId="77777777">
            <w:pPr>
              <w:rPr>
                <w:b/>
                <w:bCs/>
              </w:rPr>
            </w:pPr>
            <w:r w:rsidRPr="00F72AEB">
              <w:rPr>
                <w:b/>
                <w:bCs/>
              </w:rPr>
              <w:t>2017</w:t>
            </w:r>
          </w:p>
        </w:tc>
        <w:tc>
          <w:tcPr>
            <w:tcW w:w="100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F72AEB" w:rsidR="00192A52" w:rsidP="00F761F8" w:rsidRDefault="00192A52" w14:paraId="4CA61117" w14:textId="77777777">
            <w:pPr>
              <w:rPr>
                <w:b/>
                <w:bCs/>
              </w:rPr>
            </w:pPr>
            <w:r w:rsidRPr="00F72AEB">
              <w:rPr>
                <w:b/>
                <w:bCs/>
              </w:rPr>
              <w:t>2018</w:t>
            </w:r>
          </w:p>
        </w:tc>
        <w:tc>
          <w:tcPr>
            <w:tcW w:w="100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F72AEB" w:rsidR="00192A52" w:rsidP="00F761F8" w:rsidRDefault="00192A52" w14:paraId="19EA8EED" w14:textId="77777777">
            <w:pPr>
              <w:rPr>
                <w:b/>
                <w:bCs/>
              </w:rPr>
            </w:pPr>
            <w:r w:rsidRPr="00F72AEB">
              <w:rPr>
                <w:b/>
                <w:bCs/>
              </w:rPr>
              <w:t>2019</w:t>
            </w:r>
          </w:p>
        </w:tc>
        <w:tc>
          <w:tcPr>
            <w:tcW w:w="100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F72AEB" w:rsidR="00192A52" w:rsidP="00F761F8" w:rsidRDefault="00192A52" w14:paraId="5679DF55" w14:textId="77777777">
            <w:pPr>
              <w:rPr>
                <w:b/>
                <w:bCs/>
              </w:rPr>
            </w:pPr>
            <w:r w:rsidRPr="00F72AEB">
              <w:rPr>
                <w:b/>
                <w:bCs/>
              </w:rPr>
              <w:t>2020</w:t>
            </w:r>
          </w:p>
        </w:tc>
        <w:tc>
          <w:tcPr>
            <w:tcW w:w="100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F72AEB" w:rsidR="00192A52" w:rsidP="00F761F8" w:rsidRDefault="00192A52" w14:paraId="1C79936D" w14:textId="77777777">
            <w:pPr>
              <w:rPr>
                <w:b/>
                <w:bCs/>
              </w:rPr>
            </w:pPr>
            <w:r w:rsidRPr="00F72AEB">
              <w:rPr>
                <w:b/>
                <w:bCs/>
              </w:rPr>
              <w:t>2021</w:t>
            </w:r>
          </w:p>
        </w:tc>
        <w:tc>
          <w:tcPr>
            <w:tcW w:w="100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F72AEB" w:rsidR="00192A52" w:rsidP="00F761F8" w:rsidRDefault="00192A52" w14:paraId="7F198460" w14:textId="77777777">
            <w:pPr>
              <w:rPr>
                <w:b/>
                <w:bCs/>
              </w:rPr>
            </w:pPr>
            <w:r w:rsidRPr="00F72AEB">
              <w:rPr>
                <w:b/>
                <w:bCs/>
              </w:rPr>
              <w:t>2022</w:t>
            </w:r>
          </w:p>
        </w:tc>
        <w:tc>
          <w:tcPr>
            <w:tcW w:w="100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F72AEB" w:rsidR="00192A52" w:rsidP="00F761F8" w:rsidRDefault="00192A52" w14:paraId="10F85788" w14:textId="77777777">
            <w:pPr>
              <w:rPr>
                <w:b/>
                <w:bCs/>
              </w:rPr>
            </w:pPr>
            <w:r w:rsidRPr="00F72AEB">
              <w:rPr>
                <w:b/>
                <w:bCs/>
              </w:rPr>
              <w:t>2023</w:t>
            </w:r>
          </w:p>
        </w:tc>
      </w:tr>
      <w:tr w:rsidRPr="00F72AEB" w:rsidR="00192A52" w:rsidTr="00F761F8" w14:paraId="0661EA72" w14:textId="77777777">
        <w:tc>
          <w:tcPr>
            <w:tcW w:w="100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72AEB" w:rsidR="00192A52" w:rsidP="00F761F8" w:rsidRDefault="00192A52" w14:paraId="72B00ACA" w14:textId="77777777">
            <w:r w:rsidRPr="00F72AEB">
              <w:t>Aantal</w:t>
            </w:r>
          </w:p>
        </w:tc>
        <w:tc>
          <w:tcPr>
            <w:tcW w:w="1006"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F72AEB" w:rsidR="00192A52" w:rsidP="00F761F8" w:rsidRDefault="00192A52" w14:paraId="669ADA19" w14:textId="77777777">
            <w:r w:rsidRPr="00F72AEB">
              <w:t>59.565</w:t>
            </w:r>
          </w:p>
        </w:tc>
        <w:tc>
          <w:tcPr>
            <w:tcW w:w="1007" w:type="dxa"/>
            <w:tcBorders>
              <w:top w:val="nil"/>
              <w:left w:val="nil"/>
              <w:bottom w:val="single" w:color="auto" w:sz="8" w:space="0"/>
              <w:right w:val="single" w:color="auto" w:sz="8" w:space="0"/>
            </w:tcBorders>
            <w:tcMar>
              <w:top w:w="0" w:type="dxa"/>
              <w:left w:w="108" w:type="dxa"/>
              <w:bottom w:w="0" w:type="dxa"/>
              <w:right w:w="108" w:type="dxa"/>
            </w:tcMar>
            <w:hideMark/>
          </w:tcPr>
          <w:p w:rsidRPr="00F72AEB" w:rsidR="00192A52" w:rsidP="00F761F8" w:rsidRDefault="00192A52" w14:paraId="5DADCE84" w14:textId="77777777">
            <w:r w:rsidRPr="00F72AEB">
              <w:t>69.538</w:t>
            </w:r>
          </w:p>
        </w:tc>
        <w:tc>
          <w:tcPr>
            <w:tcW w:w="1007" w:type="dxa"/>
            <w:tcBorders>
              <w:top w:val="nil"/>
              <w:left w:val="nil"/>
              <w:bottom w:val="single" w:color="auto" w:sz="8" w:space="0"/>
              <w:right w:val="single" w:color="auto" w:sz="8" w:space="0"/>
            </w:tcBorders>
            <w:tcMar>
              <w:top w:w="0" w:type="dxa"/>
              <w:left w:w="108" w:type="dxa"/>
              <w:bottom w:w="0" w:type="dxa"/>
              <w:right w:w="108" w:type="dxa"/>
            </w:tcMar>
            <w:hideMark/>
          </w:tcPr>
          <w:p w:rsidRPr="00F72AEB" w:rsidR="00192A52" w:rsidP="00F761F8" w:rsidRDefault="00192A52" w14:paraId="6FD88B32" w14:textId="77777777">
            <w:r w:rsidRPr="00F72AEB">
              <w:t>84.165</w:t>
            </w:r>
          </w:p>
        </w:tc>
        <w:tc>
          <w:tcPr>
            <w:tcW w:w="1007" w:type="dxa"/>
            <w:tcBorders>
              <w:top w:val="nil"/>
              <w:left w:val="nil"/>
              <w:bottom w:val="single" w:color="auto" w:sz="8" w:space="0"/>
              <w:right w:val="single" w:color="auto" w:sz="8" w:space="0"/>
            </w:tcBorders>
            <w:tcMar>
              <w:top w:w="0" w:type="dxa"/>
              <w:left w:w="108" w:type="dxa"/>
              <w:bottom w:w="0" w:type="dxa"/>
              <w:right w:w="108" w:type="dxa"/>
            </w:tcMar>
            <w:hideMark/>
          </w:tcPr>
          <w:p w:rsidRPr="00F72AEB" w:rsidR="00192A52" w:rsidP="00F761F8" w:rsidRDefault="00192A52" w14:paraId="6160F6EC" w14:textId="77777777">
            <w:r w:rsidRPr="00F72AEB">
              <w:t>93.932</w:t>
            </w:r>
          </w:p>
        </w:tc>
        <w:tc>
          <w:tcPr>
            <w:tcW w:w="1007"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F72AEB" w:rsidR="00192A52" w:rsidP="00F761F8" w:rsidRDefault="00192A52" w14:paraId="5FED9C04" w14:textId="77777777">
            <w:r w:rsidRPr="00F72AEB">
              <w:t>97.604</w:t>
            </w:r>
          </w:p>
        </w:tc>
        <w:tc>
          <w:tcPr>
            <w:tcW w:w="1007"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72AEB" w:rsidR="00192A52" w:rsidP="00F761F8" w:rsidRDefault="00192A52" w14:paraId="39872EF4" w14:textId="77777777">
            <w:r w:rsidRPr="00F72AEB">
              <w:t>89.049</w:t>
            </w:r>
          </w:p>
        </w:tc>
        <w:tc>
          <w:tcPr>
            <w:tcW w:w="1007"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72AEB" w:rsidR="00192A52" w:rsidP="00F761F8" w:rsidRDefault="00192A52" w14:paraId="122116E4" w14:textId="77777777">
            <w:r w:rsidRPr="00F72AEB">
              <w:t>109.502</w:t>
            </w:r>
          </w:p>
        </w:tc>
        <w:tc>
          <w:tcPr>
            <w:tcW w:w="1007"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F72AEB" w:rsidR="00192A52" w:rsidP="00F761F8" w:rsidRDefault="00192A52" w14:paraId="1A77F0E9" w14:textId="77777777">
            <w:r w:rsidRPr="00F72AEB">
              <w:t>114.508</w:t>
            </w:r>
          </w:p>
        </w:tc>
      </w:tr>
    </w:tbl>
    <w:p w:rsidR="00192A52" w:rsidP="00192A52" w:rsidRDefault="00192A52" w14:paraId="756BDC0C" w14:textId="77777777">
      <w:pPr>
        <w:rPr>
          <w:b/>
          <w:bCs/>
        </w:rPr>
      </w:pPr>
    </w:p>
    <w:p w:rsidRPr="00DA153D" w:rsidR="00192A52" w:rsidP="00192A52" w:rsidRDefault="00192A52" w14:paraId="45E5A0E2" w14:textId="77777777">
      <w:pPr>
        <w:rPr>
          <w:b/>
          <w:bCs/>
        </w:rPr>
      </w:pPr>
      <w:r w:rsidRPr="00DA153D">
        <w:rPr>
          <w:b/>
          <w:bCs/>
        </w:rPr>
        <w:t>Vraag 14</w:t>
      </w:r>
    </w:p>
    <w:p w:rsidR="00192A52" w:rsidP="00192A52" w:rsidRDefault="00192A52" w14:paraId="1559E6EE" w14:textId="77777777">
      <w:r w:rsidRPr="00F86E3C">
        <w:t>Hoe hoog is het budgettaire beslag in elk van die jaren?</w:t>
      </w:r>
    </w:p>
    <w:p w:rsidR="00192A52" w:rsidP="00192A52" w:rsidRDefault="00192A52" w14:paraId="34FCF05C" w14:textId="77777777"/>
    <w:p w:rsidRPr="000F1A61" w:rsidR="00192A52" w:rsidP="00192A52" w:rsidRDefault="00192A52" w14:paraId="669DC03A" w14:textId="77777777">
      <w:pPr>
        <w:rPr>
          <w:b/>
          <w:bCs/>
        </w:rPr>
      </w:pPr>
      <w:r w:rsidRPr="000F1A61">
        <w:rPr>
          <w:b/>
          <w:bCs/>
        </w:rPr>
        <w:t xml:space="preserve">Antwoord op vraag </w:t>
      </w:r>
      <w:r>
        <w:rPr>
          <w:b/>
          <w:bCs/>
        </w:rPr>
        <w:t>14</w:t>
      </w:r>
    </w:p>
    <w:p w:rsidR="00192A52" w:rsidP="00192A52" w:rsidRDefault="00192A52" w14:paraId="4CE463DC" w14:textId="77777777">
      <w:r>
        <w:t>Onderstaande tabel geeft een overzicht van de kosten van de 30%-regeling in miljoenen euro over de periode 2016 tot en met 2023.</w:t>
      </w:r>
    </w:p>
    <w:p w:rsidRPr="000F1A61" w:rsidR="00192A52" w:rsidP="00192A52" w:rsidRDefault="00192A52" w14:paraId="70D7D340" w14:textId="77777777"/>
    <w:tbl>
      <w:tblPr>
        <w:tblStyle w:val="Tabelraster"/>
        <w:tblW w:w="0" w:type="auto"/>
        <w:tblLook w:val="04A0" w:firstRow="1" w:lastRow="0" w:firstColumn="1" w:lastColumn="0" w:noHBand="0" w:noVBand="1"/>
      </w:tblPr>
      <w:tblGrid>
        <w:gridCol w:w="1006"/>
        <w:gridCol w:w="1006"/>
        <w:gridCol w:w="1007"/>
        <w:gridCol w:w="1007"/>
        <w:gridCol w:w="1007"/>
        <w:gridCol w:w="1007"/>
        <w:gridCol w:w="1007"/>
        <w:gridCol w:w="1007"/>
        <w:gridCol w:w="1007"/>
      </w:tblGrid>
      <w:tr w:rsidRPr="00271C71" w:rsidR="00192A52" w:rsidTr="00F761F8" w14:paraId="324F1425" w14:textId="77777777">
        <w:tc>
          <w:tcPr>
            <w:tcW w:w="1006" w:type="dxa"/>
          </w:tcPr>
          <w:p w:rsidRPr="00271C71" w:rsidR="00192A52" w:rsidP="00F761F8" w:rsidRDefault="00192A52" w14:paraId="22D02068" w14:textId="77777777">
            <w:pPr>
              <w:rPr>
                <w:b/>
                <w:bCs/>
              </w:rPr>
            </w:pPr>
            <w:r w:rsidRPr="00271C71">
              <w:rPr>
                <w:b/>
                <w:bCs/>
              </w:rPr>
              <w:t>Jaar</w:t>
            </w:r>
          </w:p>
        </w:tc>
        <w:tc>
          <w:tcPr>
            <w:tcW w:w="1006" w:type="dxa"/>
            <w:tcBorders>
              <w:bottom w:val="single" w:color="auto" w:sz="4" w:space="0"/>
            </w:tcBorders>
          </w:tcPr>
          <w:p w:rsidRPr="00271C71" w:rsidR="00192A52" w:rsidP="00F761F8" w:rsidRDefault="00192A52" w14:paraId="25780DD3" w14:textId="77777777">
            <w:pPr>
              <w:jc w:val="center"/>
              <w:rPr>
                <w:b/>
                <w:bCs/>
              </w:rPr>
            </w:pPr>
            <w:r w:rsidRPr="00271C71">
              <w:rPr>
                <w:b/>
                <w:bCs/>
              </w:rPr>
              <w:t>2016</w:t>
            </w:r>
          </w:p>
        </w:tc>
        <w:tc>
          <w:tcPr>
            <w:tcW w:w="1007" w:type="dxa"/>
            <w:tcBorders>
              <w:bottom w:val="single" w:color="auto" w:sz="4" w:space="0"/>
            </w:tcBorders>
          </w:tcPr>
          <w:p w:rsidRPr="00271C71" w:rsidR="00192A52" w:rsidP="00F761F8" w:rsidRDefault="00192A52" w14:paraId="09B71B8B" w14:textId="77777777">
            <w:pPr>
              <w:jc w:val="center"/>
              <w:rPr>
                <w:b/>
                <w:bCs/>
              </w:rPr>
            </w:pPr>
            <w:r w:rsidRPr="00271C71">
              <w:rPr>
                <w:b/>
                <w:bCs/>
              </w:rPr>
              <w:t>2017</w:t>
            </w:r>
          </w:p>
        </w:tc>
        <w:tc>
          <w:tcPr>
            <w:tcW w:w="1007" w:type="dxa"/>
            <w:tcBorders>
              <w:bottom w:val="single" w:color="auto" w:sz="4" w:space="0"/>
            </w:tcBorders>
          </w:tcPr>
          <w:p w:rsidRPr="00271C71" w:rsidR="00192A52" w:rsidP="00F761F8" w:rsidRDefault="00192A52" w14:paraId="50A84656" w14:textId="77777777">
            <w:pPr>
              <w:jc w:val="center"/>
              <w:rPr>
                <w:b/>
                <w:bCs/>
              </w:rPr>
            </w:pPr>
            <w:r w:rsidRPr="00271C71">
              <w:rPr>
                <w:b/>
                <w:bCs/>
              </w:rPr>
              <w:t>2018</w:t>
            </w:r>
          </w:p>
        </w:tc>
        <w:tc>
          <w:tcPr>
            <w:tcW w:w="1007" w:type="dxa"/>
            <w:tcBorders>
              <w:bottom w:val="single" w:color="auto" w:sz="4" w:space="0"/>
            </w:tcBorders>
          </w:tcPr>
          <w:p w:rsidRPr="00271C71" w:rsidR="00192A52" w:rsidP="00F761F8" w:rsidRDefault="00192A52" w14:paraId="629F3CD6" w14:textId="77777777">
            <w:pPr>
              <w:jc w:val="center"/>
              <w:rPr>
                <w:b/>
                <w:bCs/>
              </w:rPr>
            </w:pPr>
            <w:r w:rsidRPr="00271C71">
              <w:rPr>
                <w:b/>
                <w:bCs/>
              </w:rPr>
              <w:t>2019</w:t>
            </w:r>
          </w:p>
        </w:tc>
        <w:tc>
          <w:tcPr>
            <w:tcW w:w="1007" w:type="dxa"/>
            <w:tcBorders>
              <w:bottom w:val="single" w:color="auto" w:sz="4" w:space="0"/>
            </w:tcBorders>
          </w:tcPr>
          <w:p w:rsidRPr="00271C71" w:rsidR="00192A52" w:rsidP="00F761F8" w:rsidRDefault="00192A52" w14:paraId="11EDD7A7" w14:textId="77777777">
            <w:pPr>
              <w:jc w:val="center"/>
              <w:rPr>
                <w:b/>
                <w:bCs/>
              </w:rPr>
            </w:pPr>
            <w:r w:rsidRPr="00271C71">
              <w:rPr>
                <w:b/>
                <w:bCs/>
              </w:rPr>
              <w:t>2020</w:t>
            </w:r>
          </w:p>
        </w:tc>
        <w:tc>
          <w:tcPr>
            <w:tcW w:w="1007" w:type="dxa"/>
            <w:tcBorders>
              <w:bottom w:val="single" w:color="auto" w:sz="4" w:space="0"/>
            </w:tcBorders>
          </w:tcPr>
          <w:p w:rsidRPr="00271C71" w:rsidR="00192A52" w:rsidP="00F761F8" w:rsidRDefault="00192A52" w14:paraId="6C76E972" w14:textId="77777777">
            <w:pPr>
              <w:jc w:val="center"/>
              <w:rPr>
                <w:b/>
                <w:bCs/>
              </w:rPr>
            </w:pPr>
            <w:r w:rsidRPr="00271C71">
              <w:rPr>
                <w:b/>
                <w:bCs/>
              </w:rPr>
              <w:t>2021</w:t>
            </w:r>
          </w:p>
        </w:tc>
        <w:tc>
          <w:tcPr>
            <w:tcW w:w="1007" w:type="dxa"/>
            <w:tcBorders>
              <w:bottom w:val="single" w:color="auto" w:sz="4" w:space="0"/>
            </w:tcBorders>
          </w:tcPr>
          <w:p w:rsidRPr="00271C71" w:rsidR="00192A52" w:rsidP="00F761F8" w:rsidRDefault="00192A52" w14:paraId="28E6BB11" w14:textId="77777777">
            <w:pPr>
              <w:jc w:val="center"/>
              <w:rPr>
                <w:b/>
                <w:bCs/>
              </w:rPr>
            </w:pPr>
            <w:r w:rsidRPr="00271C71">
              <w:rPr>
                <w:b/>
                <w:bCs/>
              </w:rPr>
              <w:t>2022</w:t>
            </w:r>
          </w:p>
        </w:tc>
        <w:tc>
          <w:tcPr>
            <w:tcW w:w="1007" w:type="dxa"/>
            <w:tcBorders>
              <w:bottom w:val="single" w:color="auto" w:sz="4" w:space="0"/>
            </w:tcBorders>
          </w:tcPr>
          <w:p w:rsidRPr="00271C71" w:rsidR="00192A52" w:rsidP="00F761F8" w:rsidRDefault="00192A52" w14:paraId="36A3505F" w14:textId="77777777">
            <w:pPr>
              <w:jc w:val="center"/>
              <w:rPr>
                <w:b/>
                <w:bCs/>
              </w:rPr>
            </w:pPr>
            <w:r w:rsidRPr="00271C71">
              <w:rPr>
                <w:b/>
                <w:bCs/>
              </w:rPr>
              <w:t>2023</w:t>
            </w:r>
          </w:p>
        </w:tc>
      </w:tr>
      <w:tr w:rsidR="00192A52" w:rsidTr="00F761F8" w14:paraId="0148B76B" w14:textId="77777777">
        <w:tc>
          <w:tcPr>
            <w:tcW w:w="1006" w:type="dxa"/>
          </w:tcPr>
          <w:p w:rsidR="00192A52" w:rsidP="00F761F8" w:rsidRDefault="00192A52" w14:paraId="1EC49BCC" w14:textId="77777777">
            <w:r>
              <w:t>Kosten</w:t>
            </w:r>
          </w:p>
        </w:tc>
        <w:tc>
          <w:tcPr>
            <w:tcW w:w="1006" w:type="dxa"/>
            <w:tcBorders>
              <w:top w:val="single" w:color="auto" w:sz="4" w:space="0"/>
              <w:left w:val="nil"/>
              <w:bottom w:val="single" w:color="auto" w:sz="4" w:space="0"/>
              <w:right w:val="single" w:color="auto" w:sz="4" w:space="0"/>
            </w:tcBorders>
            <w:shd w:val="clear" w:color="auto" w:fill="auto"/>
            <w:vAlign w:val="bottom"/>
          </w:tcPr>
          <w:p w:rsidRPr="0014353E" w:rsidR="00192A52" w:rsidP="00F761F8" w:rsidRDefault="00192A52" w14:paraId="7799981B" w14:textId="77777777">
            <w:pPr>
              <w:jc w:val="center"/>
            </w:pPr>
            <w:r w:rsidRPr="0014353E">
              <w:t>850</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bottom"/>
          </w:tcPr>
          <w:p w:rsidRPr="0014353E" w:rsidR="00192A52" w:rsidP="00F761F8" w:rsidRDefault="00192A52" w14:paraId="5A6D2A16" w14:textId="77777777">
            <w:pPr>
              <w:jc w:val="center"/>
            </w:pPr>
            <w:r w:rsidRPr="0014353E">
              <w:t>968</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bottom"/>
          </w:tcPr>
          <w:p w:rsidRPr="0014353E" w:rsidR="00192A52" w:rsidP="00F761F8" w:rsidRDefault="00192A52" w14:paraId="28F46596" w14:textId="77777777">
            <w:pPr>
              <w:jc w:val="center"/>
            </w:pPr>
            <w:r w:rsidRPr="0014353E">
              <w:t>1.058</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bottom"/>
          </w:tcPr>
          <w:p w:rsidRPr="0014353E" w:rsidR="00192A52" w:rsidP="00F761F8" w:rsidRDefault="00192A52" w14:paraId="42E9EBEE" w14:textId="77777777">
            <w:pPr>
              <w:jc w:val="center"/>
            </w:pPr>
            <w:r w:rsidRPr="0014353E">
              <w:t>1.062</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bottom"/>
          </w:tcPr>
          <w:p w:rsidRPr="0014353E" w:rsidR="00192A52" w:rsidP="00F761F8" w:rsidRDefault="00192A52" w14:paraId="230CEB65" w14:textId="77777777">
            <w:pPr>
              <w:jc w:val="center"/>
            </w:pPr>
            <w:r w:rsidRPr="0014353E">
              <w:t>1.100</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bottom"/>
          </w:tcPr>
          <w:p w:rsidRPr="0014353E" w:rsidR="00192A52" w:rsidP="00F761F8" w:rsidRDefault="00192A52" w14:paraId="41AF44AD" w14:textId="77777777">
            <w:pPr>
              <w:jc w:val="center"/>
            </w:pPr>
            <w:r w:rsidRPr="0014353E">
              <w:t>865</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bottom"/>
          </w:tcPr>
          <w:p w:rsidRPr="0014353E" w:rsidR="00192A52" w:rsidP="00F761F8" w:rsidRDefault="00192A52" w14:paraId="7BEA8985" w14:textId="77777777">
            <w:pPr>
              <w:jc w:val="center"/>
            </w:pPr>
            <w:r w:rsidRPr="0014353E">
              <w:t>1.051</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bottom"/>
          </w:tcPr>
          <w:p w:rsidRPr="0014353E" w:rsidR="00192A52" w:rsidP="00F761F8" w:rsidRDefault="00192A52" w14:paraId="6FAAAA00" w14:textId="77777777">
            <w:pPr>
              <w:jc w:val="center"/>
            </w:pPr>
            <w:r w:rsidRPr="0014353E">
              <w:t>1.249</w:t>
            </w:r>
          </w:p>
        </w:tc>
      </w:tr>
    </w:tbl>
    <w:p w:rsidRPr="00F86E3C" w:rsidR="00192A52" w:rsidP="00192A52" w:rsidRDefault="00192A52" w14:paraId="5DB12942" w14:textId="77777777"/>
    <w:p w:rsidRPr="00C23FE1" w:rsidR="00192A52" w:rsidP="00192A52" w:rsidRDefault="00192A52" w14:paraId="7088BB51" w14:textId="77777777">
      <w:pPr>
        <w:rPr>
          <w:b/>
          <w:bCs/>
        </w:rPr>
      </w:pPr>
      <w:r w:rsidRPr="00C23FE1">
        <w:rPr>
          <w:b/>
          <w:bCs/>
        </w:rPr>
        <w:t>Vraag 15</w:t>
      </w:r>
    </w:p>
    <w:p w:rsidR="00192A52" w:rsidP="00192A52" w:rsidRDefault="00192A52" w14:paraId="4886FEC6" w14:textId="77777777">
      <w:r w:rsidRPr="00F86E3C">
        <w:t>Kunt u de opbrengsten van het in de eerste vraag genoemde amendement berekenen, gebaseerd op</w:t>
      </w:r>
      <w:r>
        <w:t xml:space="preserve"> </w:t>
      </w:r>
      <w:r w:rsidRPr="00F86E3C">
        <w:t>de huidige kosten van de expatregeling, zowel met als zonder gedragseffecten?</w:t>
      </w:r>
    </w:p>
    <w:p w:rsidR="00192A52" w:rsidP="00192A52" w:rsidRDefault="00192A52" w14:paraId="7DE8BE94" w14:textId="77777777"/>
    <w:p w:rsidRPr="000F1A61" w:rsidR="00192A52" w:rsidP="00192A52" w:rsidRDefault="00192A52" w14:paraId="64E42CFF" w14:textId="77777777">
      <w:pPr>
        <w:rPr>
          <w:b/>
          <w:bCs/>
        </w:rPr>
      </w:pPr>
      <w:r w:rsidRPr="000F1A61">
        <w:rPr>
          <w:b/>
          <w:bCs/>
        </w:rPr>
        <w:t xml:space="preserve">Antwoord op vraag </w:t>
      </w:r>
      <w:r>
        <w:rPr>
          <w:b/>
          <w:bCs/>
        </w:rPr>
        <w:t>15</w:t>
      </w:r>
    </w:p>
    <w:p w:rsidRPr="000F1A61" w:rsidR="00192A52" w:rsidP="00192A52" w:rsidRDefault="00192A52" w14:paraId="209F2EF2" w14:textId="77777777">
      <w:r>
        <w:t>Op dit moment zijn de meest recent beschikbare gegevens die over 2023. De verwachting is dat de uitkomst niet veel zal afwijken van de uitkomst op basis van de gegevens van 2022.</w:t>
      </w:r>
    </w:p>
    <w:p w:rsidRPr="00F86E3C" w:rsidR="00192A52" w:rsidP="00192A52" w:rsidRDefault="00192A52" w14:paraId="15D8BA81" w14:textId="77777777"/>
    <w:p w:rsidRPr="00C23FE1" w:rsidR="00192A52" w:rsidP="00192A52" w:rsidRDefault="00192A52" w14:paraId="3677B05E" w14:textId="77777777">
      <w:pPr>
        <w:rPr>
          <w:b/>
          <w:bCs/>
        </w:rPr>
      </w:pPr>
      <w:r w:rsidRPr="00C23FE1">
        <w:rPr>
          <w:b/>
          <w:bCs/>
        </w:rPr>
        <w:t>Vraag 16</w:t>
      </w:r>
    </w:p>
    <w:p w:rsidR="00192A52" w:rsidP="00192A52" w:rsidRDefault="00192A52" w14:paraId="28B5E742" w14:textId="77777777">
      <w:r w:rsidRPr="00F86E3C">
        <w:lastRenderedPageBreak/>
        <w:t>Op welke wijze en wanneer wordt uitvoering gegeven aan de aangenomen motie-Hermans/Omtzigt op</w:t>
      </w:r>
      <w:r>
        <w:t xml:space="preserve"> </w:t>
      </w:r>
      <w:r w:rsidRPr="00F86E3C">
        <w:t xml:space="preserve">het volgende punt van het dictum: </w:t>
      </w:r>
      <w:r w:rsidRPr="00F86E3C">
        <w:rPr>
          <w:rFonts w:hint="eastAsia"/>
        </w:rPr>
        <w:t>“</w:t>
      </w:r>
      <w:r w:rsidRPr="00F86E3C">
        <w:t>zo snel mogelijk het deskundigheidsvereiste in de 30%-regeling</w:t>
      </w:r>
      <w:r>
        <w:t xml:space="preserve"> </w:t>
      </w:r>
      <w:r w:rsidRPr="00F86E3C">
        <w:t>aan te scherpen zodat die beter aansluit bij de behoeften van de economie en arbeidsmarkt</w:t>
      </w:r>
      <w:r w:rsidRPr="00F86E3C">
        <w:rPr>
          <w:rFonts w:hint="eastAsia"/>
        </w:rPr>
        <w:t>”</w:t>
      </w:r>
      <w:r w:rsidRPr="00F86E3C">
        <w:t>?</w:t>
      </w:r>
    </w:p>
    <w:p w:rsidR="00192A52" w:rsidP="00192A52" w:rsidRDefault="00192A52" w14:paraId="65759209" w14:textId="77777777"/>
    <w:p w:rsidRPr="000F1A61" w:rsidR="00192A52" w:rsidP="00192A52" w:rsidRDefault="00192A52" w14:paraId="6A7052E9" w14:textId="77777777">
      <w:pPr>
        <w:rPr>
          <w:b/>
          <w:bCs/>
        </w:rPr>
      </w:pPr>
      <w:r w:rsidRPr="000F1A61">
        <w:rPr>
          <w:b/>
          <w:bCs/>
        </w:rPr>
        <w:t xml:space="preserve">Antwoord op vraag </w:t>
      </w:r>
      <w:r>
        <w:rPr>
          <w:b/>
          <w:bCs/>
        </w:rPr>
        <w:t>16</w:t>
      </w:r>
    </w:p>
    <w:p w:rsidR="00192A52" w:rsidP="00192A52" w:rsidRDefault="00192A52" w14:paraId="7229A735" w14:textId="77777777">
      <w:r>
        <w:t>Als één van de voorwaarden voor toepassing van de expatregeling (voorheen 30%-regeling) geldt dat de ingekomen werknemer specifieke deskundigheid heeft die schaars is op de Nederlandse arbeidsmarkt. Sinds 2012 wordt het deskundigheidsvereiste in de expatregeling vorm gegeven aan de hand van een salarisnorm. In het Belastingplan 2025 is aangekondigd dat de salarisnorm</w:t>
      </w:r>
      <w:r w:rsidRPr="00CB7C79">
        <w:rPr>
          <w:rFonts w:ascii="Arial" w:hAnsi="Arial" w:cs="Arial"/>
          <w:color w:val="2D2D2D"/>
          <w:sz w:val="27"/>
          <w:szCs w:val="27"/>
          <w:shd w:val="clear" w:color="auto" w:fill="F2F2F2"/>
        </w:rPr>
        <w:t xml:space="preserve"> </w:t>
      </w:r>
      <w:r w:rsidRPr="00CB7C79">
        <w:t xml:space="preserve">per 1 januari 2027 </w:t>
      </w:r>
      <w:r>
        <w:t xml:space="preserve">zal </w:t>
      </w:r>
      <w:r w:rsidRPr="00CB7C79">
        <w:t xml:space="preserve">worden verhoogd van </w:t>
      </w:r>
      <w:r>
        <w:t xml:space="preserve">€ </w:t>
      </w:r>
      <w:r w:rsidRPr="00CB7C79">
        <w:t xml:space="preserve">46.107 </w:t>
      </w:r>
      <w:r>
        <w:t xml:space="preserve">(cijfer 2024) </w:t>
      </w:r>
      <w:r w:rsidRPr="00CB7C79">
        <w:t xml:space="preserve">naar </w:t>
      </w:r>
      <w:r>
        <w:t xml:space="preserve">€ </w:t>
      </w:r>
      <w:r w:rsidRPr="00CB7C79">
        <w:t xml:space="preserve">50.436 </w:t>
      </w:r>
      <w:r>
        <w:t>(dit laatste cijfer zal nog worden aangepast aan de jaarlijkse indexatie).</w:t>
      </w:r>
      <w:r>
        <w:rPr>
          <w:rStyle w:val="Voetnootmarkering"/>
        </w:rPr>
        <w:footnoteReference w:id="4"/>
      </w:r>
      <w:r>
        <w:t xml:space="preserve"> Dit betreft een verhoging van de salarisnorm van 9,4%. De salarisnorm voor werknemers jonger dan 30 jaar met een mastergraad wordt naar rato verhoogd. Op deze manier heeft het kabinet invulling gegeven aan het verzoek in de motie Hermans/Omtzigt om het deskundigheidsvereiste aan te scherpen.</w:t>
      </w:r>
    </w:p>
    <w:p w:rsidRPr="00F86E3C" w:rsidR="00192A52" w:rsidP="00192A52" w:rsidRDefault="00192A52" w14:paraId="4300920B" w14:textId="77777777"/>
    <w:p w:rsidRPr="00C23FE1" w:rsidR="00192A52" w:rsidP="00192A52" w:rsidRDefault="00192A52" w14:paraId="07EF7828" w14:textId="77777777">
      <w:pPr>
        <w:rPr>
          <w:b/>
          <w:bCs/>
        </w:rPr>
      </w:pPr>
      <w:r w:rsidRPr="00C23FE1">
        <w:rPr>
          <w:b/>
          <w:bCs/>
        </w:rPr>
        <w:t>Vraag 17</w:t>
      </w:r>
    </w:p>
    <w:p w:rsidR="00192A52" w:rsidP="00192A52" w:rsidRDefault="00192A52" w14:paraId="08E146F0" w14:textId="77777777">
      <w:r w:rsidRPr="00F86E3C">
        <w:t>Kunt u deze vragen een voor een en binnen 10 dagen beantwoorden?</w:t>
      </w:r>
    </w:p>
    <w:p w:rsidR="00192A52" w:rsidP="00192A52" w:rsidRDefault="00192A52" w14:paraId="456B25B3" w14:textId="77777777"/>
    <w:p w:rsidRPr="000F1A61" w:rsidR="00192A52" w:rsidP="00192A52" w:rsidRDefault="00192A52" w14:paraId="3A922CED" w14:textId="77777777">
      <w:pPr>
        <w:rPr>
          <w:b/>
          <w:bCs/>
        </w:rPr>
      </w:pPr>
      <w:r w:rsidRPr="000F1A61">
        <w:rPr>
          <w:b/>
          <w:bCs/>
        </w:rPr>
        <w:t xml:space="preserve">Antwoord op vraag </w:t>
      </w:r>
      <w:r>
        <w:rPr>
          <w:b/>
          <w:bCs/>
        </w:rPr>
        <w:t>17</w:t>
      </w:r>
    </w:p>
    <w:p w:rsidRPr="00F86E3C" w:rsidR="00192A52" w:rsidP="00192A52" w:rsidRDefault="00192A52" w14:paraId="14D26554" w14:textId="77777777">
      <w:r>
        <w:t>Ja.</w:t>
      </w:r>
    </w:p>
    <w:p w:rsidR="00E3161A" w:rsidRDefault="00E3161A" w14:paraId="66860A33" w14:textId="77777777"/>
    <w:sectPr w:rsidR="00E3161A" w:rsidSect="00192A52">
      <w:headerReference w:type="even" r:id="rId6"/>
      <w:headerReference w:type="default" r:id="rId7"/>
      <w:footerReference w:type="even" r:id="rId8"/>
      <w:footerReference w:type="default" r:id="rId9"/>
      <w:headerReference w:type="first" r:id="rId10"/>
      <w:footerReference w:type="first" r:id="rId11"/>
      <w:pgSz w:w="11905" w:h="16837"/>
      <w:pgMar w:top="1417" w:right="1417" w:bottom="1417" w:left="1417" w:header="0" w:footer="0"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813EE" w14:textId="77777777" w:rsidR="00192A52" w:rsidRDefault="00192A52" w:rsidP="00192A52">
      <w:pPr>
        <w:spacing w:after="0" w:line="240" w:lineRule="auto"/>
      </w:pPr>
      <w:r>
        <w:separator/>
      </w:r>
    </w:p>
  </w:endnote>
  <w:endnote w:type="continuationSeparator" w:id="0">
    <w:p w14:paraId="647E3AA5" w14:textId="77777777" w:rsidR="00192A52" w:rsidRDefault="00192A52" w:rsidP="00192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ABDB9" w14:textId="77777777" w:rsidR="00192A52" w:rsidRPr="00192A52" w:rsidRDefault="00192A52" w:rsidP="00192A5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47146" w14:textId="77777777" w:rsidR="00192A52" w:rsidRPr="00192A52" w:rsidRDefault="00192A52" w:rsidP="00192A5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EB95B" w14:textId="77777777" w:rsidR="00192A52" w:rsidRPr="00192A52" w:rsidRDefault="00192A52" w:rsidP="00192A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6FFE3" w14:textId="77777777" w:rsidR="00192A52" w:rsidRDefault="00192A52" w:rsidP="00192A52">
      <w:pPr>
        <w:spacing w:after="0" w:line="240" w:lineRule="auto"/>
      </w:pPr>
      <w:r>
        <w:separator/>
      </w:r>
    </w:p>
  </w:footnote>
  <w:footnote w:type="continuationSeparator" w:id="0">
    <w:p w14:paraId="32974948" w14:textId="77777777" w:rsidR="00192A52" w:rsidRDefault="00192A52" w:rsidP="00192A52">
      <w:pPr>
        <w:spacing w:after="0" w:line="240" w:lineRule="auto"/>
      </w:pPr>
      <w:r>
        <w:continuationSeparator/>
      </w:r>
    </w:p>
  </w:footnote>
  <w:footnote w:id="1">
    <w:p w14:paraId="3011634B" w14:textId="77777777" w:rsidR="00192A52" w:rsidRPr="000C305F" w:rsidRDefault="00192A52" w:rsidP="00192A52">
      <w:pPr>
        <w:pStyle w:val="Voetnoottekst"/>
        <w:rPr>
          <w:sz w:val="13"/>
          <w:szCs w:val="13"/>
        </w:rPr>
      </w:pPr>
      <w:r w:rsidRPr="000C305F">
        <w:rPr>
          <w:rStyle w:val="Voetnootmarkering"/>
          <w:sz w:val="13"/>
          <w:szCs w:val="13"/>
        </w:rPr>
        <w:footnoteRef/>
      </w:r>
      <w:r w:rsidRPr="000C305F">
        <w:rPr>
          <w:sz w:val="13"/>
          <w:szCs w:val="13"/>
        </w:rPr>
        <w:t xml:space="preserve"> Kamerstukken I, 2023-2024, 36 418, Z</w:t>
      </w:r>
    </w:p>
  </w:footnote>
  <w:footnote w:id="2">
    <w:p w14:paraId="261B0BFD" w14:textId="77777777" w:rsidR="00192A52" w:rsidRPr="000C305F" w:rsidRDefault="00192A52" w:rsidP="00192A52">
      <w:pPr>
        <w:pStyle w:val="Voetnoottekst"/>
        <w:rPr>
          <w:sz w:val="13"/>
          <w:szCs w:val="13"/>
        </w:rPr>
      </w:pPr>
      <w:r w:rsidRPr="000C305F">
        <w:rPr>
          <w:rStyle w:val="Voetnootmarkering"/>
          <w:sz w:val="13"/>
          <w:szCs w:val="13"/>
        </w:rPr>
        <w:footnoteRef/>
      </w:r>
      <w:r w:rsidRPr="000C305F">
        <w:rPr>
          <w:sz w:val="13"/>
          <w:szCs w:val="13"/>
        </w:rPr>
        <w:t xml:space="preserve"> Kamerstukken II, 2023-2024, 36 418, nr. 145</w:t>
      </w:r>
    </w:p>
  </w:footnote>
  <w:footnote w:id="3">
    <w:p w14:paraId="76A7B748" w14:textId="77777777" w:rsidR="00192A52" w:rsidRPr="00A94F9B" w:rsidRDefault="00192A52" w:rsidP="00192A52">
      <w:pPr>
        <w:pStyle w:val="Voetnoottekst"/>
        <w:rPr>
          <w:sz w:val="13"/>
          <w:szCs w:val="13"/>
        </w:rPr>
      </w:pPr>
      <w:r w:rsidRPr="00A94F9B">
        <w:rPr>
          <w:rStyle w:val="Voetnootmarkering"/>
          <w:sz w:val="13"/>
          <w:szCs w:val="13"/>
        </w:rPr>
        <w:footnoteRef/>
      </w:r>
      <w:r w:rsidRPr="00A94F9B">
        <w:rPr>
          <w:sz w:val="13"/>
          <w:szCs w:val="13"/>
        </w:rPr>
        <w:t xml:space="preserve"> Kamerstukken II, 2023-2024, 36 418, nr. 145</w:t>
      </w:r>
    </w:p>
  </w:footnote>
  <w:footnote w:id="4">
    <w:p w14:paraId="1B2F4536" w14:textId="77777777" w:rsidR="00192A52" w:rsidRPr="00611199" w:rsidRDefault="00192A52" w:rsidP="00192A52">
      <w:pPr>
        <w:pStyle w:val="Voetnoottekst"/>
        <w:rPr>
          <w:sz w:val="13"/>
          <w:szCs w:val="13"/>
        </w:rPr>
      </w:pPr>
      <w:r w:rsidRPr="00611199">
        <w:rPr>
          <w:rStyle w:val="Voetnootmarkering"/>
          <w:sz w:val="13"/>
          <w:szCs w:val="13"/>
        </w:rPr>
        <w:footnoteRef/>
      </w:r>
      <w:r w:rsidRPr="00611199">
        <w:rPr>
          <w:sz w:val="13"/>
          <w:szCs w:val="13"/>
        </w:rPr>
        <w:t xml:space="preserve"> Kamerstukken II, 2024-2025, 36 602, nr. 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F7C1A" w14:textId="77777777" w:rsidR="00192A52" w:rsidRPr="00192A52" w:rsidRDefault="00192A52" w:rsidP="00192A5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D74A" w14:textId="77777777" w:rsidR="00192A52" w:rsidRPr="00192A52" w:rsidRDefault="00192A52" w:rsidP="00192A5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B3C7B" w14:textId="77777777" w:rsidR="00192A52" w:rsidRPr="00192A52" w:rsidRDefault="00192A52" w:rsidP="00192A5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A52"/>
    <w:rsid w:val="00192A52"/>
    <w:rsid w:val="00E3161A"/>
    <w:rsid w:val="00FE24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54F08"/>
  <w15:chartTrackingRefBased/>
  <w15:docId w15:val="{7DA0926F-7D27-41EF-BE64-95296F107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92A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92A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92A5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92A5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92A5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92A5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2A5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2A5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2A5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2A5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92A5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92A5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92A5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92A5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92A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92A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92A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92A52"/>
    <w:rPr>
      <w:rFonts w:eastAsiaTheme="majorEastAsia" w:cstheme="majorBidi"/>
      <w:color w:val="272727" w:themeColor="text1" w:themeTint="D8"/>
    </w:rPr>
  </w:style>
  <w:style w:type="paragraph" w:styleId="Titel">
    <w:name w:val="Title"/>
    <w:basedOn w:val="Standaard"/>
    <w:next w:val="Standaard"/>
    <w:link w:val="TitelChar"/>
    <w:uiPriority w:val="10"/>
    <w:qFormat/>
    <w:rsid w:val="00192A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2A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2A5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2A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92A5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92A52"/>
    <w:rPr>
      <w:i/>
      <w:iCs/>
      <w:color w:val="404040" w:themeColor="text1" w:themeTint="BF"/>
    </w:rPr>
  </w:style>
  <w:style w:type="paragraph" w:styleId="Lijstalinea">
    <w:name w:val="List Paragraph"/>
    <w:basedOn w:val="Standaard"/>
    <w:uiPriority w:val="34"/>
    <w:qFormat/>
    <w:rsid w:val="00192A52"/>
    <w:pPr>
      <w:ind w:left="720"/>
      <w:contextualSpacing/>
    </w:pPr>
  </w:style>
  <w:style w:type="character" w:styleId="Intensievebenadrukking">
    <w:name w:val="Intense Emphasis"/>
    <w:basedOn w:val="Standaardalinea-lettertype"/>
    <w:uiPriority w:val="21"/>
    <w:qFormat/>
    <w:rsid w:val="00192A52"/>
    <w:rPr>
      <w:i/>
      <w:iCs/>
      <w:color w:val="2F5496" w:themeColor="accent1" w:themeShade="BF"/>
    </w:rPr>
  </w:style>
  <w:style w:type="paragraph" w:styleId="Duidelijkcitaat">
    <w:name w:val="Intense Quote"/>
    <w:basedOn w:val="Standaard"/>
    <w:next w:val="Standaard"/>
    <w:link w:val="DuidelijkcitaatChar"/>
    <w:uiPriority w:val="30"/>
    <w:qFormat/>
    <w:rsid w:val="00192A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92A52"/>
    <w:rPr>
      <w:i/>
      <w:iCs/>
      <w:color w:val="2F5496" w:themeColor="accent1" w:themeShade="BF"/>
    </w:rPr>
  </w:style>
  <w:style w:type="character" w:styleId="Intensieveverwijzing">
    <w:name w:val="Intense Reference"/>
    <w:basedOn w:val="Standaardalinea-lettertype"/>
    <w:uiPriority w:val="32"/>
    <w:qFormat/>
    <w:rsid w:val="00192A52"/>
    <w:rPr>
      <w:b/>
      <w:bCs/>
      <w:smallCaps/>
      <w:color w:val="2F5496" w:themeColor="accent1" w:themeShade="BF"/>
      <w:spacing w:val="5"/>
    </w:rPr>
  </w:style>
  <w:style w:type="paragraph" w:customStyle="1" w:styleId="Standaardregelafstandtenminste">
    <w:name w:val="Standaard regelafstand ten minste"/>
    <w:basedOn w:val="Standaard"/>
    <w:next w:val="Standaard"/>
    <w:rsid w:val="00192A52"/>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192A5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192A5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92A52"/>
    <w:rPr>
      <w:vertAlign w:val="superscript"/>
    </w:rPr>
  </w:style>
  <w:style w:type="table" w:styleId="Tabelraster">
    <w:name w:val="Table Grid"/>
    <w:basedOn w:val="Standaardtabel"/>
    <w:uiPriority w:val="39"/>
    <w:rsid w:val="00192A52"/>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92A5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92A52"/>
  </w:style>
  <w:style w:type="paragraph" w:styleId="Voettekst">
    <w:name w:val="footer"/>
    <w:basedOn w:val="Standaard"/>
    <w:link w:val="VoettekstChar"/>
    <w:uiPriority w:val="99"/>
    <w:unhideWhenUsed/>
    <w:rsid w:val="00192A5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92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1277</ap:Words>
  <ap:Characters>7026</ap:Characters>
  <ap:DocSecurity>0</ap:DocSecurity>
  <ap:Lines>58</ap:Lines>
  <ap:Paragraphs>16</ap:Paragraphs>
  <ap:ScaleCrop>false</ap:ScaleCrop>
  <ap:LinksUpToDate>false</ap:LinksUpToDate>
  <ap:CharactersWithSpaces>8287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2025-03-31T09:21:00.0000000Z</dcterms:created>
  <dcterms:modified xsi:type="dcterms:W3CDTF">2025-03-31T09:25:00.0000000Z</dcterms:modified>
  <version/>
  <category/>
</coreProperties>
</file>