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6BC8" w:rsidR="00530C15" w:rsidP="007C26FD" w:rsidRDefault="001444E8" w14:paraId="7A106887" w14:textId="35928199">
      <w:pPr>
        <w:spacing w:after="0" w:line="240" w:lineRule="auto"/>
        <w:rPr>
          <w:rFonts w:ascii="Verdana" w:hAnsi="Verdana"/>
          <w:b/>
          <w:bCs/>
          <w:i/>
          <w:iCs/>
          <w:sz w:val="18"/>
          <w:szCs w:val="18"/>
        </w:rPr>
      </w:pPr>
      <w:bookmarkStart w:name="_Hlk192137343" w:id="0"/>
      <w:r w:rsidRPr="00D76BC8">
        <w:rPr>
          <w:rFonts w:ascii="Verdana" w:hAnsi="Verdana"/>
          <w:b/>
          <w:bCs/>
          <w:i/>
          <w:iCs/>
          <w:sz w:val="18"/>
          <w:szCs w:val="18"/>
        </w:rPr>
        <w:t xml:space="preserve">Annex I: </w:t>
      </w:r>
      <w:r w:rsidRPr="00D76BC8" w:rsidR="00530C15">
        <w:rPr>
          <w:rFonts w:ascii="Verdana" w:hAnsi="Verdana"/>
          <w:b/>
          <w:bCs/>
          <w:i/>
          <w:iCs/>
          <w:sz w:val="18"/>
          <w:szCs w:val="18"/>
        </w:rPr>
        <w:t xml:space="preserve">Kabinetsappreciatie </w:t>
      </w:r>
      <w:r w:rsidRPr="00D76BC8">
        <w:rPr>
          <w:rFonts w:ascii="Verdana" w:hAnsi="Verdana"/>
          <w:b/>
          <w:bCs/>
          <w:i/>
          <w:iCs/>
          <w:sz w:val="18"/>
          <w:szCs w:val="18"/>
        </w:rPr>
        <w:t>Nieuw</w:t>
      </w:r>
      <w:r w:rsidRPr="00D76BC8" w:rsidR="005F0911">
        <w:rPr>
          <w:rFonts w:ascii="Verdana" w:hAnsi="Verdana"/>
          <w:b/>
          <w:bCs/>
          <w:i/>
          <w:iCs/>
          <w:sz w:val="18"/>
          <w:szCs w:val="18"/>
        </w:rPr>
        <w:t>e</w:t>
      </w:r>
      <w:r w:rsidRPr="00D76BC8">
        <w:rPr>
          <w:rFonts w:ascii="Verdana" w:hAnsi="Verdana"/>
          <w:b/>
          <w:bCs/>
          <w:i/>
          <w:iCs/>
          <w:sz w:val="18"/>
          <w:szCs w:val="18"/>
        </w:rPr>
        <w:t xml:space="preserve"> Initiatieven</w:t>
      </w:r>
    </w:p>
    <w:p w:rsidR="00034F08" w:rsidP="007C26FD" w:rsidRDefault="00034F08" w14:paraId="11D9399D" w14:textId="587FCF9D">
      <w:pPr>
        <w:spacing w:after="0" w:line="240" w:lineRule="auto"/>
        <w:rPr>
          <w:rFonts w:ascii="Verdana" w:hAnsi="Verdana"/>
          <w:b/>
          <w:bCs/>
          <w:sz w:val="18"/>
          <w:szCs w:val="18"/>
        </w:rPr>
      </w:pPr>
      <w:r w:rsidRPr="00034F08">
        <w:rPr>
          <w:rFonts w:ascii="Verdana" w:hAnsi="Verdana"/>
          <w:b/>
          <w:bCs/>
          <w:sz w:val="18"/>
          <w:szCs w:val="18"/>
        </w:rPr>
        <w:t>Werkprogramma van de Commissie 2025</w:t>
      </w:r>
      <w:r>
        <w:rPr>
          <w:rFonts w:ascii="Verdana" w:hAnsi="Verdana"/>
          <w:b/>
          <w:bCs/>
          <w:sz w:val="18"/>
          <w:szCs w:val="18"/>
        </w:rPr>
        <w:t xml:space="preserve"> </w:t>
      </w:r>
    </w:p>
    <w:p w:rsidRPr="00D76BC8" w:rsidR="00034F08" w:rsidP="007C26FD" w:rsidRDefault="00034F08" w14:paraId="5A5185BE" w14:textId="444F2CF8">
      <w:pPr>
        <w:spacing w:after="0" w:line="240" w:lineRule="auto"/>
        <w:rPr>
          <w:rFonts w:ascii="Verdana" w:hAnsi="Verdana"/>
          <w:b/>
          <w:bCs/>
          <w:sz w:val="18"/>
          <w:szCs w:val="18"/>
        </w:rPr>
      </w:pPr>
      <w:r>
        <w:rPr>
          <w:rFonts w:ascii="Verdana" w:hAnsi="Verdana"/>
          <w:b/>
          <w:bCs/>
          <w:sz w:val="18"/>
          <w:szCs w:val="18"/>
        </w:rPr>
        <w:t>“</w:t>
      </w:r>
      <w:r w:rsidRPr="00034F08">
        <w:rPr>
          <w:rFonts w:ascii="Verdana" w:hAnsi="Verdana"/>
          <w:b/>
          <w:bCs/>
          <w:sz w:val="18"/>
          <w:szCs w:val="18"/>
        </w:rPr>
        <w:t>Samen vooruit: Een doortastendere, eenvoudigere, snellere Unie</w:t>
      </w:r>
      <w:r>
        <w:rPr>
          <w:rFonts w:ascii="Verdana" w:hAnsi="Verdana"/>
          <w:b/>
          <w:bCs/>
          <w:sz w:val="18"/>
          <w:szCs w:val="18"/>
        </w:rPr>
        <w:t>”</w:t>
      </w:r>
    </w:p>
    <w:p w:rsidRPr="00D76BC8" w:rsidR="00530C15" w:rsidP="007C26FD" w:rsidRDefault="00530C15" w14:paraId="1B1329E6" w14:textId="708F5498">
      <w:pPr>
        <w:pStyle w:val="NormalWeb"/>
        <w:rPr>
          <w:rFonts w:ascii="Verdana" w:hAnsi="Verdana" w:eastAsiaTheme="minorHAnsi" w:cstheme="minorBidi"/>
          <w:b/>
          <w:bCs/>
          <w:sz w:val="18"/>
          <w:szCs w:val="18"/>
          <w:lang w:eastAsia="en-US"/>
        </w:rPr>
      </w:pPr>
      <w:r w:rsidRPr="00D76BC8">
        <w:rPr>
          <w:rFonts w:ascii="Verdana" w:hAnsi="Verdana" w:eastAsiaTheme="minorHAnsi" w:cstheme="minorBidi"/>
          <w:b/>
          <w:bCs/>
          <w:sz w:val="18"/>
          <w:szCs w:val="18"/>
          <w:lang w:eastAsia="en-US"/>
        </w:rPr>
        <w:t xml:space="preserve">Prioriteit 1: </w:t>
      </w:r>
      <w:r w:rsidRPr="00D76BC8" w:rsidR="00BC4B31">
        <w:rPr>
          <w:rFonts w:ascii="Verdana" w:hAnsi="Verdana" w:eastAsiaTheme="minorHAnsi" w:cstheme="minorBidi"/>
          <w:b/>
          <w:bCs/>
          <w:sz w:val="18"/>
          <w:szCs w:val="18"/>
          <w:lang w:eastAsia="en-US"/>
        </w:rPr>
        <w:t>Een nieuw plan voor duurzame welvaart en concurrentievermogen in Europa</w:t>
      </w:r>
    </w:p>
    <w:tbl>
      <w:tblPr>
        <w:tblStyle w:val="TableGrid"/>
        <w:tblW w:w="15451" w:type="dxa"/>
        <w:tblInd w:w="-5" w:type="dxa"/>
        <w:tblLayout w:type="fixed"/>
        <w:tblLook w:val="04A0" w:firstRow="1" w:lastRow="0" w:firstColumn="1" w:lastColumn="0" w:noHBand="0" w:noVBand="1"/>
      </w:tblPr>
      <w:tblGrid>
        <w:gridCol w:w="567"/>
        <w:gridCol w:w="2410"/>
        <w:gridCol w:w="4678"/>
        <w:gridCol w:w="5812"/>
        <w:gridCol w:w="1984"/>
      </w:tblGrid>
      <w:tr w:rsidRPr="00D76BC8" w:rsidR="00F51073" w:rsidTr="0086334D" w14:paraId="6B5EC5DC" w14:textId="48326EEF">
        <w:trPr>
          <w:trHeight w:val="634"/>
        </w:trPr>
        <w:tc>
          <w:tcPr>
            <w:tcW w:w="567" w:type="dxa"/>
            <w:tcBorders>
              <w:top w:val="single" w:color="auto" w:sz="4" w:space="0"/>
              <w:left w:val="single" w:color="auto" w:sz="4" w:space="0"/>
              <w:bottom w:val="single" w:color="auto" w:sz="4" w:space="0"/>
              <w:right w:val="single" w:color="auto" w:sz="4" w:space="0"/>
            </w:tcBorders>
          </w:tcPr>
          <w:p w:rsidRPr="00D76BC8" w:rsidR="00F51073" w:rsidP="007C26FD" w:rsidRDefault="00F51073" w14:paraId="44ADA635" w14:textId="6F1109F8">
            <w:pPr>
              <w:rPr>
                <w:rFonts w:ascii="Verdana" w:hAnsi="Verdana" w:cstheme="minorHAnsi"/>
                <w:b/>
                <w:bCs/>
                <w:sz w:val="18"/>
                <w:szCs w:val="18"/>
              </w:rPr>
            </w:pPr>
            <w:r w:rsidRPr="00D76BC8">
              <w:rPr>
                <w:rFonts w:ascii="Verdana" w:hAnsi="Verdana" w:cstheme="minorHAnsi"/>
                <w:b/>
                <w:bCs/>
                <w:sz w:val="18"/>
                <w:szCs w:val="18"/>
              </w:rPr>
              <w:t>No.</w:t>
            </w:r>
          </w:p>
        </w:tc>
        <w:tc>
          <w:tcPr>
            <w:tcW w:w="2410" w:type="dxa"/>
            <w:tcBorders>
              <w:top w:val="single" w:color="auto" w:sz="4" w:space="0"/>
              <w:left w:val="single" w:color="auto" w:sz="4" w:space="0"/>
              <w:bottom w:val="single" w:color="auto" w:sz="4" w:space="0"/>
              <w:right w:val="single" w:color="auto" w:sz="4" w:space="0"/>
            </w:tcBorders>
            <w:hideMark/>
          </w:tcPr>
          <w:p w:rsidRPr="00D76BC8" w:rsidR="00F51073" w:rsidP="007C26FD" w:rsidRDefault="00F51073" w14:paraId="493B0FF5" w14:textId="674106C5">
            <w:pPr>
              <w:rPr>
                <w:rFonts w:ascii="Verdana" w:hAnsi="Verdana" w:cstheme="minorHAnsi"/>
                <w:b/>
                <w:bCs/>
                <w:sz w:val="18"/>
                <w:szCs w:val="18"/>
              </w:rPr>
            </w:pPr>
            <w:r w:rsidRPr="00D76BC8">
              <w:rPr>
                <w:rFonts w:ascii="Verdana" w:hAnsi="Verdana" w:cstheme="minorHAnsi"/>
                <w:b/>
                <w:bCs/>
                <w:sz w:val="18"/>
                <w:szCs w:val="18"/>
              </w:rPr>
              <w:t>Titel (publicatiedatum)</w:t>
            </w:r>
          </w:p>
        </w:tc>
        <w:tc>
          <w:tcPr>
            <w:tcW w:w="4678" w:type="dxa"/>
            <w:tcBorders>
              <w:top w:val="single" w:color="auto" w:sz="4" w:space="0"/>
              <w:left w:val="single" w:color="auto" w:sz="4" w:space="0"/>
              <w:bottom w:val="single" w:color="auto" w:sz="4" w:space="0"/>
              <w:right w:val="single" w:color="auto" w:sz="4" w:space="0"/>
            </w:tcBorders>
            <w:hideMark/>
          </w:tcPr>
          <w:p w:rsidRPr="00D76BC8" w:rsidR="00F51073" w:rsidP="007C26FD" w:rsidRDefault="00F51073" w14:paraId="1FBBA144" w14:textId="77777777">
            <w:pPr>
              <w:rPr>
                <w:rFonts w:ascii="Verdana" w:hAnsi="Verdana" w:cstheme="minorHAnsi"/>
                <w:b/>
                <w:bCs/>
                <w:sz w:val="18"/>
                <w:szCs w:val="18"/>
              </w:rPr>
            </w:pPr>
            <w:r w:rsidRPr="00D76BC8">
              <w:rPr>
                <w:rFonts w:ascii="Verdana" w:hAnsi="Verdana" w:cstheme="minorHAnsi"/>
                <w:b/>
                <w:bCs/>
                <w:sz w:val="18"/>
                <w:szCs w:val="18"/>
              </w:rPr>
              <w:t>Korte beschrijving</w:t>
            </w:r>
          </w:p>
        </w:tc>
        <w:tc>
          <w:tcPr>
            <w:tcW w:w="5812" w:type="dxa"/>
            <w:tcBorders>
              <w:top w:val="single" w:color="auto" w:sz="4" w:space="0"/>
              <w:left w:val="single" w:color="auto" w:sz="4" w:space="0"/>
              <w:bottom w:val="single" w:color="auto" w:sz="4" w:space="0"/>
              <w:right w:val="single" w:color="auto" w:sz="4" w:space="0"/>
            </w:tcBorders>
            <w:hideMark/>
          </w:tcPr>
          <w:p w:rsidRPr="00D76BC8" w:rsidR="00F51073" w:rsidP="007C26FD" w:rsidRDefault="00F51073" w14:paraId="7C267B8D" w14:textId="0551289B">
            <w:pPr>
              <w:rPr>
                <w:rFonts w:ascii="Verdana" w:hAnsi="Verdana" w:cstheme="minorHAnsi"/>
                <w:b/>
                <w:bCs/>
                <w:sz w:val="18"/>
                <w:szCs w:val="18"/>
              </w:rPr>
            </w:pPr>
            <w:r w:rsidRPr="00D76BC8">
              <w:rPr>
                <w:rFonts w:ascii="Verdana" w:hAnsi="Verdana" w:cstheme="minorHAnsi"/>
                <w:b/>
                <w:bCs/>
                <w:sz w:val="18"/>
                <w:szCs w:val="18"/>
              </w:rPr>
              <w:t>Kabinetsappreciatie</w:t>
            </w:r>
          </w:p>
        </w:tc>
        <w:tc>
          <w:tcPr>
            <w:tcW w:w="1984" w:type="dxa"/>
            <w:tcBorders>
              <w:top w:val="single" w:color="auto" w:sz="4" w:space="0"/>
              <w:left w:val="single" w:color="auto" w:sz="4" w:space="0"/>
              <w:bottom w:val="single" w:color="auto" w:sz="4" w:space="0"/>
              <w:right w:val="single" w:color="auto" w:sz="4" w:space="0"/>
            </w:tcBorders>
          </w:tcPr>
          <w:p w:rsidRPr="00D76BC8" w:rsidR="00F51073" w:rsidP="007C26FD" w:rsidRDefault="00F51073" w14:paraId="51D6A95B" w14:textId="7E114609">
            <w:pPr>
              <w:rPr>
                <w:rFonts w:ascii="Verdana" w:hAnsi="Verdana" w:cstheme="minorHAnsi"/>
                <w:b/>
                <w:bCs/>
                <w:sz w:val="18"/>
                <w:szCs w:val="18"/>
              </w:rPr>
            </w:pPr>
            <w:r w:rsidRPr="00D76BC8">
              <w:rPr>
                <w:rFonts w:ascii="Verdana" w:hAnsi="Verdana" w:cstheme="minorHAnsi"/>
                <w:b/>
                <w:bCs/>
                <w:sz w:val="18"/>
                <w:szCs w:val="18"/>
              </w:rPr>
              <w:t>Wetgevend/niet-Wetgevend</w:t>
            </w:r>
          </w:p>
        </w:tc>
      </w:tr>
      <w:tr w:rsidRPr="00D76BC8" w:rsidR="00F51073" w:rsidTr="0086334D" w14:paraId="6C841B1F" w14:textId="332BDC6E">
        <w:trPr>
          <w:trHeight w:val="983"/>
        </w:trPr>
        <w:tc>
          <w:tcPr>
            <w:tcW w:w="567" w:type="dxa"/>
            <w:tcBorders>
              <w:top w:val="single" w:color="auto" w:sz="4" w:space="0"/>
              <w:left w:val="single" w:color="auto" w:sz="4" w:space="0"/>
              <w:bottom w:val="single" w:color="auto" w:sz="4" w:space="0"/>
              <w:right w:val="single" w:color="auto" w:sz="4" w:space="0"/>
            </w:tcBorders>
          </w:tcPr>
          <w:p w:rsidRPr="00D76BC8" w:rsidR="00F51073" w:rsidP="007C26FD" w:rsidRDefault="00F51073" w14:paraId="01214558" w14:textId="1857EBE4">
            <w:pPr>
              <w:rPr>
                <w:rFonts w:ascii="Verdana" w:hAnsi="Verdana" w:cstheme="minorHAnsi"/>
                <w:sz w:val="18"/>
                <w:szCs w:val="18"/>
              </w:rPr>
            </w:pPr>
            <w:r w:rsidRPr="00D76BC8">
              <w:rPr>
                <w:rFonts w:ascii="Verdana" w:hAnsi="Verdana" w:cstheme="minorHAnsi"/>
                <w:sz w:val="18"/>
                <w:szCs w:val="18"/>
              </w:rPr>
              <w:t>1.</w:t>
            </w:r>
          </w:p>
        </w:tc>
        <w:tc>
          <w:tcPr>
            <w:tcW w:w="2410" w:type="dxa"/>
            <w:tcBorders>
              <w:top w:val="single" w:color="auto" w:sz="4" w:space="0"/>
              <w:left w:val="single" w:color="auto" w:sz="4" w:space="0"/>
              <w:bottom w:val="single" w:color="auto" w:sz="4" w:space="0"/>
              <w:right w:val="single" w:color="auto" w:sz="4" w:space="0"/>
            </w:tcBorders>
            <w:hideMark/>
          </w:tcPr>
          <w:p w:rsidRPr="00D76BC8" w:rsidR="00F51073" w:rsidP="007C26FD" w:rsidRDefault="00034F08" w14:paraId="2DD969A8" w14:textId="2C7CF78B">
            <w:pPr>
              <w:rPr>
                <w:rFonts w:ascii="Verdana" w:hAnsi="Verdana" w:cstheme="minorHAnsi"/>
                <w:sz w:val="18"/>
                <w:szCs w:val="18"/>
              </w:rPr>
            </w:pPr>
            <w:r w:rsidRPr="00034F08">
              <w:rPr>
                <w:rFonts w:ascii="Verdana" w:hAnsi="Verdana" w:cstheme="minorHAnsi"/>
                <w:sz w:val="18"/>
                <w:szCs w:val="18"/>
              </w:rPr>
              <w:t>Kompas voor concurrentievermogen</w:t>
            </w:r>
            <w:r w:rsidRPr="00034F08" w:rsidDel="00034F08">
              <w:rPr>
                <w:rFonts w:ascii="Verdana" w:hAnsi="Verdana" w:cstheme="minorHAnsi"/>
                <w:sz w:val="18"/>
                <w:szCs w:val="18"/>
              </w:rPr>
              <w:t xml:space="preserve"> </w:t>
            </w:r>
            <w:r w:rsidRPr="00D76BC8" w:rsidR="00F51073">
              <w:rPr>
                <w:rFonts w:ascii="Verdana" w:hAnsi="Verdana" w:cstheme="minorHAnsi"/>
                <w:color w:val="000000"/>
                <w:sz w:val="18"/>
                <w:szCs w:val="18"/>
              </w:rPr>
              <w:t>(Q1 2025)</w:t>
            </w:r>
          </w:p>
        </w:tc>
        <w:tc>
          <w:tcPr>
            <w:tcW w:w="4678" w:type="dxa"/>
            <w:tcBorders>
              <w:top w:val="single" w:color="auto" w:sz="4" w:space="0"/>
              <w:left w:val="single" w:color="auto" w:sz="4" w:space="0"/>
              <w:bottom w:val="single" w:color="auto" w:sz="4" w:space="0"/>
              <w:right w:val="single" w:color="auto" w:sz="4" w:space="0"/>
            </w:tcBorders>
            <w:hideMark/>
          </w:tcPr>
          <w:p w:rsidRPr="00D76BC8" w:rsidR="00F51073" w:rsidP="007C26FD" w:rsidRDefault="00FA5F1E" w14:paraId="733AFCCA" w14:textId="3234C992">
            <w:pPr>
              <w:rPr>
                <w:rFonts w:ascii="Verdana" w:hAnsi="Verdana" w:cstheme="minorHAnsi"/>
                <w:sz w:val="18"/>
                <w:szCs w:val="18"/>
              </w:rPr>
            </w:pPr>
            <w:r w:rsidRPr="00D76BC8">
              <w:rPr>
                <w:rFonts w:ascii="Verdana" w:hAnsi="Verdana"/>
                <w:sz w:val="18"/>
                <w:szCs w:val="18"/>
                <w:lang w:eastAsia="en-US"/>
              </w:rPr>
              <w:t xml:space="preserve">Het </w:t>
            </w:r>
            <w:r w:rsidR="0088711B">
              <w:rPr>
                <w:rFonts w:ascii="Verdana" w:hAnsi="Verdana"/>
                <w:sz w:val="18"/>
                <w:szCs w:val="18"/>
                <w:lang w:eastAsia="en-US"/>
              </w:rPr>
              <w:t xml:space="preserve">EU-kompas voor concurrentievermogen </w:t>
            </w:r>
            <w:r w:rsidRPr="00D76BC8">
              <w:rPr>
                <w:rFonts w:ascii="Verdana" w:hAnsi="Verdana"/>
                <w:sz w:val="18"/>
                <w:szCs w:val="18"/>
                <w:lang w:eastAsia="en-US"/>
              </w:rPr>
              <w:t>is de leidraad voor het beleid van de Commissie voor de komende vijf jaar, met als centrale doelstelling</w:t>
            </w:r>
            <w:r w:rsidR="00217108">
              <w:rPr>
                <w:rFonts w:ascii="Verdana" w:hAnsi="Verdana"/>
                <w:sz w:val="18"/>
                <w:szCs w:val="18"/>
                <w:lang w:eastAsia="en-US"/>
              </w:rPr>
              <w:t xml:space="preserve"> </w:t>
            </w:r>
            <w:r w:rsidRPr="00D76BC8">
              <w:rPr>
                <w:rFonts w:ascii="Verdana" w:hAnsi="Verdana"/>
                <w:sz w:val="18"/>
                <w:szCs w:val="18"/>
                <w:lang w:eastAsia="en-US"/>
              </w:rPr>
              <w:t xml:space="preserve">versterking van het EU-concurrentievermogen. Het kompas heeft drie speerpunten: innovatie, </w:t>
            </w:r>
            <w:proofErr w:type="spellStart"/>
            <w:r w:rsidRPr="00D76BC8">
              <w:rPr>
                <w:rFonts w:ascii="Verdana" w:hAnsi="Verdana"/>
                <w:sz w:val="18"/>
                <w:szCs w:val="18"/>
                <w:lang w:eastAsia="en-US"/>
              </w:rPr>
              <w:t>decarbonisatie</w:t>
            </w:r>
            <w:proofErr w:type="spellEnd"/>
            <w:r w:rsidRPr="00D76BC8">
              <w:rPr>
                <w:rFonts w:ascii="Verdana" w:hAnsi="Verdana"/>
                <w:sz w:val="18"/>
                <w:szCs w:val="18"/>
                <w:lang w:eastAsia="en-US"/>
              </w:rPr>
              <w:t xml:space="preserve"> en weerbaarheid, afgeleid uit de rapporten </w:t>
            </w:r>
            <w:proofErr w:type="spellStart"/>
            <w:r w:rsidRPr="00D76BC8">
              <w:rPr>
                <w:rFonts w:ascii="Verdana" w:hAnsi="Verdana"/>
                <w:sz w:val="18"/>
                <w:szCs w:val="18"/>
                <w:lang w:eastAsia="en-US"/>
              </w:rPr>
              <w:t>Letta</w:t>
            </w:r>
            <w:proofErr w:type="spellEnd"/>
            <w:r w:rsidR="00923E56">
              <w:rPr>
                <w:rStyle w:val="FootnoteReference"/>
                <w:rFonts w:ascii="Verdana" w:hAnsi="Verdana"/>
                <w:sz w:val="18"/>
                <w:szCs w:val="18"/>
                <w:lang w:eastAsia="en-US"/>
              </w:rPr>
              <w:footnoteReference w:id="2"/>
            </w:r>
            <w:r w:rsidRPr="00D76BC8">
              <w:rPr>
                <w:rFonts w:ascii="Verdana" w:hAnsi="Verdana"/>
                <w:sz w:val="18"/>
                <w:szCs w:val="18"/>
                <w:lang w:eastAsia="en-US"/>
              </w:rPr>
              <w:t xml:space="preserve"> en </w:t>
            </w:r>
            <w:proofErr w:type="spellStart"/>
            <w:r w:rsidRPr="00D76BC8">
              <w:rPr>
                <w:rFonts w:ascii="Verdana" w:hAnsi="Verdana"/>
                <w:sz w:val="18"/>
                <w:szCs w:val="18"/>
                <w:lang w:eastAsia="en-US"/>
              </w:rPr>
              <w:t>Draghi</w:t>
            </w:r>
            <w:proofErr w:type="spellEnd"/>
            <w:r w:rsidR="00923E56">
              <w:rPr>
                <w:rStyle w:val="FootnoteReference"/>
                <w:rFonts w:ascii="Verdana" w:hAnsi="Verdana"/>
                <w:sz w:val="18"/>
                <w:szCs w:val="18"/>
                <w:lang w:eastAsia="en-US"/>
              </w:rPr>
              <w:footnoteReference w:id="3"/>
            </w:r>
            <w:r w:rsidRPr="00D76BC8">
              <w:rPr>
                <w:rFonts w:ascii="Verdana" w:hAnsi="Verdana"/>
                <w:sz w:val="18"/>
                <w:szCs w:val="18"/>
                <w:lang w:eastAsia="en-US"/>
              </w:rPr>
              <w:t xml:space="preserve">, en vijf horizontale katalysatoren: 1) simplificatie van regelgeving; 2) de interne markt; 3) financiering; 4) </w:t>
            </w:r>
            <w:r w:rsidR="003141F4">
              <w:rPr>
                <w:rFonts w:ascii="Verdana" w:hAnsi="Verdana"/>
                <w:i/>
                <w:iCs/>
                <w:sz w:val="18"/>
                <w:szCs w:val="18"/>
                <w:lang w:eastAsia="en-US"/>
              </w:rPr>
              <w:t>vaardigheden</w:t>
            </w:r>
            <w:r w:rsidRPr="00D76BC8">
              <w:rPr>
                <w:rFonts w:ascii="Verdana" w:hAnsi="Verdana"/>
                <w:sz w:val="18"/>
                <w:szCs w:val="18"/>
                <w:lang w:eastAsia="en-US"/>
              </w:rPr>
              <w:t xml:space="preserve">; 5) verbeterde coördinatie van EU- en nationaal beleid. </w:t>
            </w:r>
          </w:p>
        </w:tc>
        <w:tc>
          <w:tcPr>
            <w:tcW w:w="5812" w:type="dxa"/>
            <w:tcBorders>
              <w:top w:val="single" w:color="auto" w:sz="4" w:space="0"/>
              <w:left w:val="single" w:color="auto" w:sz="4" w:space="0"/>
              <w:bottom w:val="single" w:color="auto" w:sz="4" w:space="0"/>
              <w:right w:val="single" w:color="auto" w:sz="4" w:space="0"/>
            </w:tcBorders>
            <w:hideMark/>
          </w:tcPr>
          <w:p w:rsidRPr="00D76BC8" w:rsidR="00F51073" w:rsidP="007C26FD" w:rsidRDefault="00FA5F1E" w14:paraId="3900BDF4" w14:textId="4AAF7236">
            <w:pPr>
              <w:rPr>
                <w:rFonts w:ascii="Verdana" w:hAnsi="Verdana" w:eastAsiaTheme="minorHAnsi" w:cstheme="minorHAnsi"/>
                <w:color w:val="000000" w:themeColor="text1"/>
                <w:sz w:val="18"/>
                <w:szCs w:val="18"/>
              </w:rPr>
            </w:pPr>
            <w:r w:rsidRPr="00D76BC8">
              <w:rPr>
                <w:rFonts w:ascii="Verdana" w:hAnsi="Verdana"/>
                <w:sz w:val="18"/>
                <w:szCs w:val="18"/>
                <w:lang w:eastAsia="en-US"/>
              </w:rPr>
              <w:t xml:space="preserve">Het kabinet is positief over de mededeling en verwelkomt de nadruk van de Commissie op productiviteitsgroei om het EU-concurrentievermogen te versterken, evenals de focus op innovatiekracht, </w:t>
            </w:r>
            <w:proofErr w:type="spellStart"/>
            <w:r w:rsidRPr="00D76BC8">
              <w:rPr>
                <w:rFonts w:ascii="Verdana" w:hAnsi="Verdana"/>
                <w:sz w:val="18"/>
                <w:szCs w:val="18"/>
                <w:lang w:eastAsia="en-US"/>
              </w:rPr>
              <w:t>decarbonisatie</w:t>
            </w:r>
            <w:proofErr w:type="spellEnd"/>
            <w:r w:rsidRPr="00D76BC8">
              <w:rPr>
                <w:rFonts w:ascii="Verdana" w:hAnsi="Verdana"/>
                <w:sz w:val="18"/>
                <w:szCs w:val="18"/>
                <w:lang w:eastAsia="en-US"/>
              </w:rPr>
              <w:t xml:space="preserve"> en weerbaarheid.</w:t>
            </w:r>
            <w:r w:rsidR="00A97D43">
              <w:rPr>
                <w:rStyle w:val="FootnoteReference"/>
                <w:rFonts w:ascii="Verdana" w:hAnsi="Verdana"/>
                <w:sz w:val="18"/>
                <w:szCs w:val="18"/>
                <w:lang w:eastAsia="en-US"/>
              </w:rPr>
              <w:footnoteReference w:id="4"/>
            </w:r>
            <w:r w:rsidRPr="00D76BC8">
              <w:rPr>
                <w:rFonts w:ascii="Verdana" w:hAnsi="Verdana"/>
                <w:sz w:val="18"/>
                <w:szCs w:val="18"/>
                <w:lang w:eastAsia="en-US"/>
              </w:rPr>
              <w:t xml:space="preserve"> Het kabinet verwelkomt de centrale plaats van concurrentievermogen in het mandaat van de nieuwe Commissie en deelt de doelstelling van de Commissie om een welvarend, veilig, duurzaam en concurrerend Europa veilig te stellen. Een concurrerende economie is belangrijk voor onze brede welvaart, een veilige en duurzame EU en een weerbare economie die bestand is tegen economische schokken en veranderende geopolitieke omstandigheden.</w:t>
            </w:r>
          </w:p>
        </w:tc>
        <w:tc>
          <w:tcPr>
            <w:tcW w:w="1984" w:type="dxa"/>
            <w:tcBorders>
              <w:top w:val="single" w:color="auto" w:sz="4" w:space="0"/>
              <w:left w:val="single" w:color="auto" w:sz="4" w:space="0"/>
              <w:bottom w:val="single" w:color="auto" w:sz="4" w:space="0"/>
              <w:right w:val="single" w:color="auto" w:sz="4" w:space="0"/>
            </w:tcBorders>
          </w:tcPr>
          <w:p w:rsidRPr="00D76BC8" w:rsidR="00F51073" w:rsidP="007C26FD" w:rsidRDefault="00F51073" w14:paraId="34B42FAB" w14:textId="56188BF3">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tc>
      </w:tr>
      <w:tr w:rsidRPr="00D76BC8" w:rsidR="00CF7E62" w:rsidTr="0086334D" w14:paraId="6111325B" w14:textId="7F958670">
        <w:trPr>
          <w:trHeight w:val="979"/>
        </w:trPr>
        <w:tc>
          <w:tcPr>
            <w:tcW w:w="567" w:type="dxa"/>
            <w:tcBorders>
              <w:top w:val="single" w:color="auto" w:sz="4" w:space="0"/>
              <w:left w:val="single" w:color="auto" w:sz="4" w:space="0"/>
              <w:bottom w:val="single" w:color="auto" w:sz="4" w:space="0"/>
              <w:right w:val="single" w:color="auto" w:sz="4" w:space="0"/>
            </w:tcBorders>
          </w:tcPr>
          <w:p w:rsidRPr="00D76BC8" w:rsidR="00CF7E62" w:rsidP="007C26FD" w:rsidRDefault="00CF7E62" w14:paraId="38E00FBE" w14:textId="636282F7">
            <w:pPr>
              <w:rPr>
                <w:rFonts w:ascii="Verdana" w:hAnsi="Verdana" w:cstheme="minorHAnsi"/>
                <w:sz w:val="18"/>
                <w:szCs w:val="18"/>
              </w:rPr>
            </w:pPr>
            <w:r w:rsidRPr="00D76BC8">
              <w:rPr>
                <w:rFonts w:ascii="Verdana" w:hAnsi="Verdana" w:cstheme="minorHAnsi"/>
                <w:sz w:val="18"/>
                <w:szCs w:val="18"/>
              </w:rPr>
              <w:t>2.</w:t>
            </w:r>
          </w:p>
        </w:tc>
        <w:tc>
          <w:tcPr>
            <w:tcW w:w="2410" w:type="dxa"/>
            <w:tcBorders>
              <w:top w:val="single" w:color="auto" w:sz="4" w:space="0"/>
              <w:left w:val="single" w:color="auto" w:sz="4" w:space="0"/>
              <w:bottom w:val="single" w:color="auto" w:sz="4" w:space="0"/>
              <w:right w:val="single" w:color="auto" w:sz="4" w:space="0"/>
            </w:tcBorders>
          </w:tcPr>
          <w:p w:rsidRPr="00D76BC8" w:rsidR="00CF7E62" w:rsidP="007C26FD" w:rsidRDefault="00A80351" w14:paraId="09B4ABDD" w14:textId="2C29C3F2">
            <w:pPr>
              <w:rPr>
                <w:rFonts w:ascii="Verdana" w:hAnsi="Verdana" w:cstheme="minorHAnsi"/>
                <w:sz w:val="18"/>
                <w:szCs w:val="18"/>
              </w:rPr>
            </w:pPr>
            <w:bookmarkStart w:name="_Hlk149562612" w:id="1"/>
            <w:r w:rsidRPr="00A80351">
              <w:rPr>
                <w:rFonts w:ascii="Verdana" w:hAnsi="Verdana" w:cstheme="minorHAnsi"/>
                <w:sz w:val="18"/>
                <w:szCs w:val="18"/>
              </w:rPr>
              <w:t>Strategie voor de eengemaakte markt</w:t>
            </w:r>
            <w:r w:rsidRPr="00A80351" w:rsidDel="00A80351">
              <w:rPr>
                <w:rFonts w:ascii="Verdana" w:hAnsi="Verdana" w:cstheme="minorHAnsi"/>
                <w:sz w:val="18"/>
                <w:szCs w:val="18"/>
              </w:rPr>
              <w:t xml:space="preserve"> </w:t>
            </w:r>
            <w:r w:rsidRPr="00D76BC8" w:rsidR="00CF7E62">
              <w:rPr>
                <w:rFonts w:ascii="Verdana" w:hAnsi="Verdana" w:cstheme="minorHAnsi"/>
                <w:sz w:val="18"/>
                <w:szCs w:val="18"/>
              </w:rPr>
              <w:t>(Q2 2025)</w:t>
            </w:r>
            <w:bookmarkEnd w:id="1"/>
          </w:p>
        </w:tc>
        <w:tc>
          <w:tcPr>
            <w:tcW w:w="4678" w:type="dxa"/>
            <w:tcBorders>
              <w:top w:val="single" w:color="auto" w:sz="4" w:space="0"/>
              <w:left w:val="single" w:color="auto" w:sz="4" w:space="0"/>
              <w:bottom w:val="single" w:color="auto" w:sz="4" w:space="0"/>
              <w:right w:val="single" w:color="auto" w:sz="4" w:space="0"/>
            </w:tcBorders>
          </w:tcPr>
          <w:p w:rsidRPr="00D76BC8" w:rsidR="00CF7E62" w:rsidP="007C26FD" w:rsidRDefault="00CF7E62" w14:paraId="5E897387" w14:textId="59141915">
            <w:pPr>
              <w:rPr>
                <w:rFonts w:ascii="Verdana" w:hAnsi="Verdana" w:cstheme="minorHAnsi"/>
                <w:color w:val="000000"/>
                <w:sz w:val="18"/>
                <w:szCs w:val="18"/>
              </w:rPr>
            </w:pPr>
            <w:r w:rsidRPr="00D76BC8">
              <w:rPr>
                <w:rFonts w:ascii="Verdana" w:hAnsi="Verdana" w:cstheme="minorHAnsi"/>
                <w:color w:val="000000"/>
                <w:sz w:val="18"/>
                <w:szCs w:val="18"/>
              </w:rPr>
              <w:t xml:space="preserve">Dit betreft een horizontale strategie om de interne markt te versterken door middel van het moderniseren van het </w:t>
            </w:r>
            <w:proofErr w:type="spellStart"/>
            <w:r w:rsidRPr="00D76BC8">
              <w:rPr>
                <w:rFonts w:ascii="Verdana" w:hAnsi="Verdana" w:cstheme="minorHAnsi"/>
                <w:color w:val="000000"/>
                <w:sz w:val="18"/>
                <w:szCs w:val="18"/>
              </w:rPr>
              <w:t>bestuurskader</w:t>
            </w:r>
            <w:proofErr w:type="spellEnd"/>
            <w:r w:rsidRPr="00D76BC8">
              <w:rPr>
                <w:rFonts w:ascii="Verdana" w:hAnsi="Verdana" w:cstheme="minorHAnsi"/>
                <w:color w:val="000000"/>
                <w:sz w:val="18"/>
                <w:szCs w:val="18"/>
              </w:rPr>
              <w:t>, het wegnemen van handelsbelemmeringen binnen de EU en het voorkomen van nieuwe handelsbelemmeringen en betere toepassing van interne-marktregels.</w:t>
            </w:r>
          </w:p>
        </w:tc>
        <w:tc>
          <w:tcPr>
            <w:tcW w:w="5812" w:type="dxa"/>
            <w:tcBorders>
              <w:top w:val="single" w:color="auto" w:sz="4" w:space="0"/>
              <w:left w:val="single" w:color="auto" w:sz="4" w:space="0"/>
              <w:bottom w:val="single" w:color="auto" w:sz="4" w:space="0"/>
              <w:right w:val="single" w:color="auto" w:sz="4" w:space="0"/>
            </w:tcBorders>
          </w:tcPr>
          <w:p w:rsidRPr="00D76BC8" w:rsidR="00CF7E62" w:rsidP="007C26FD" w:rsidRDefault="00CF7E62" w14:paraId="5A21E313" w14:textId="59A982C8">
            <w:pPr>
              <w:rPr>
                <w:rFonts w:ascii="Verdana" w:hAnsi="Verdana" w:eastAsiaTheme="minorHAnsi" w:cstheme="minorHAnsi"/>
                <w:color w:val="000000"/>
                <w:sz w:val="18"/>
                <w:szCs w:val="18"/>
              </w:rPr>
            </w:pPr>
            <w:r w:rsidRPr="00D76BC8">
              <w:rPr>
                <w:rFonts w:ascii="Verdana" w:hAnsi="Verdana" w:eastAsia="Calibri" w:cs="Calibri"/>
                <w:color w:val="000000" w:themeColor="text1"/>
                <w:sz w:val="18"/>
                <w:szCs w:val="18"/>
              </w:rPr>
              <w:t xml:space="preserve">Het kabinet heeft </w:t>
            </w:r>
            <w:r w:rsidR="003141F4">
              <w:rPr>
                <w:rFonts w:ascii="Verdana" w:hAnsi="Verdana" w:eastAsia="Calibri" w:cs="Calibri"/>
                <w:color w:val="000000" w:themeColor="text1"/>
                <w:sz w:val="18"/>
                <w:szCs w:val="18"/>
              </w:rPr>
              <w:t>tien</w:t>
            </w:r>
            <w:r w:rsidRPr="00D76BC8" w:rsidR="003141F4">
              <w:rPr>
                <w:rFonts w:ascii="Verdana" w:hAnsi="Verdana" w:eastAsia="Calibri" w:cs="Calibri"/>
                <w:color w:val="000000" w:themeColor="text1"/>
                <w:sz w:val="18"/>
                <w:szCs w:val="18"/>
              </w:rPr>
              <w:t xml:space="preserve"> </w:t>
            </w:r>
            <w:r w:rsidRPr="00D76BC8">
              <w:rPr>
                <w:rFonts w:ascii="Verdana" w:hAnsi="Verdana" w:eastAsia="Calibri" w:cs="Calibri"/>
                <w:color w:val="000000" w:themeColor="text1"/>
                <w:sz w:val="18"/>
                <w:szCs w:val="18"/>
              </w:rPr>
              <w:t>interne-marktbelemmeringen en -onderwerpen geformuleerd</w:t>
            </w:r>
            <w:r w:rsidRPr="00D76BC8">
              <w:rPr>
                <w:rStyle w:val="FootnoteReference"/>
                <w:rFonts w:ascii="Verdana" w:hAnsi="Verdana" w:eastAsia="Calibri" w:cs="Calibri"/>
                <w:color w:val="000000" w:themeColor="text1"/>
                <w:sz w:val="18"/>
                <w:szCs w:val="18"/>
              </w:rPr>
              <w:footnoteReference w:id="5"/>
            </w:r>
            <w:r w:rsidRPr="00D76BC8">
              <w:rPr>
                <w:rFonts w:ascii="Verdana" w:hAnsi="Verdana" w:eastAsia="Calibri" w:cs="Calibri"/>
                <w:color w:val="000000" w:themeColor="text1"/>
                <w:sz w:val="18"/>
                <w:szCs w:val="18"/>
              </w:rPr>
              <w:t xml:space="preserve"> die het kabinet graag opgenomen ziet in de</w:t>
            </w:r>
            <w:r w:rsidR="00F25F81">
              <w:rPr>
                <w:rFonts w:ascii="Verdana" w:hAnsi="Verdana" w:eastAsia="Calibri" w:cs="Calibri"/>
                <w:color w:val="000000" w:themeColor="text1"/>
                <w:sz w:val="18"/>
                <w:szCs w:val="18"/>
              </w:rPr>
              <w:t>ze</w:t>
            </w:r>
            <w:r w:rsidRPr="00D76BC8">
              <w:rPr>
                <w:rFonts w:ascii="Verdana" w:hAnsi="Verdana" w:eastAsia="Calibri" w:cs="Calibri"/>
                <w:color w:val="000000" w:themeColor="text1"/>
                <w:sz w:val="18"/>
                <w:szCs w:val="18"/>
              </w:rPr>
              <w:t xml:space="preserve"> strategie. Daarnaast was </w:t>
            </w:r>
            <w:r w:rsidR="0079174C">
              <w:rPr>
                <w:rFonts w:ascii="Verdana" w:hAnsi="Verdana" w:eastAsia="Calibri" w:cs="Calibri"/>
                <w:color w:val="000000" w:themeColor="text1"/>
                <w:sz w:val="18"/>
                <w:szCs w:val="18"/>
              </w:rPr>
              <w:t>Nederland</w:t>
            </w:r>
            <w:r w:rsidRPr="00D76BC8">
              <w:rPr>
                <w:rFonts w:ascii="Verdana" w:hAnsi="Verdana" w:eastAsia="Calibri" w:cs="Calibri"/>
                <w:color w:val="000000" w:themeColor="text1"/>
                <w:sz w:val="18"/>
                <w:szCs w:val="18"/>
              </w:rPr>
              <w:t xml:space="preserve"> één van de </w:t>
            </w:r>
            <w:r w:rsidR="003141F4">
              <w:rPr>
                <w:rFonts w:ascii="Verdana" w:hAnsi="Verdana" w:eastAsia="Calibri" w:cs="Calibri"/>
                <w:color w:val="000000" w:themeColor="text1"/>
                <w:sz w:val="18"/>
                <w:szCs w:val="18"/>
              </w:rPr>
              <w:t>initiatiefnemers</w:t>
            </w:r>
            <w:r w:rsidRPr="00D76BC8" w:rsidR="003141F4">
              <w:rPr>
                <w:rFonts w:ascii="Verdana" w:hAnsi="Verdana" w:eastAsia="Calibri" w:cs="Calibri"/>
                <w:color w:val="000000" w:themeColor="text1"/>
                <w:sz w:val="18"/>
                <w:szCs w:val="18"/>
              </w:rPr>
              <w:t xml:space="preserve"> </w:t>
            </w:r>
            <w:r w:rsidRPr="00D76BC8">
              <w:rPr>
                <w:rFonts w:ascii="Verdana" w:hAnsi="Verdana" w:eastAsia="Calibri" w:cs="Calibri"/>
                <w:color w:val="000000" w:themeColor="text1"/>
                <w:sz w:val="18"/>
                <w:szCs w:val="18"/>
              </w:rPr>
              <w:t xml:space="preserve">van een non-paper met suggesties voor het wegnemen van belemmeringen, verbeteren van de toepassing van interne-marktregels en van het </w:t>
            </w:r>
            <w:proofErr w:type="spellStart"/>
            <w:r w:rsidRPr="00D76BC8">
              <w:rPr>
                <w:rFonts w:ascii="Verdana" w:hAnsi="Verdana" w:eastAsia="Calibri" w:cs="Calibri"/>
                <w:color w:val="000000" w:themeColor="text1"/>
                <w:sz w:val="18"/>
                <w:szCs w:val="18"/>
              </w:rPr>
              <w:t>bestuurskader</w:t>
            </w:r>
            <w:proofErr w:type="spellEnd"/>
            <w:r w:rsidRPr="00D76BC8">
              <w:rPr>
                <w:rFonts w:ascii="Verdana" w:hAnsi="Verdana" w:eastAsia="Calibri" w:cs="Calibri"/>
                <w:color w:val="000000" w:themeColor="text1"/>
                <w:sz w:val="18"/>
                <w:szCs w:val="18"/>
              </w:rPr>
              <w:t xml:space="preserve"> van de interne markt.</w:t>
            </w:r>
            <w:r w:rsidRPr="00D76BC8">
              <w:rPr>
                <w:rFonts w:ascii="Verdana" w:hAnsi="Verdana" w:eastAsia="Calibri" w:cs="Calibri"/>
                <w:sz w:val="18"/>
                <w:szCs w:val="18"/>
              </w:rPr>
              <w:t xml:space="preserve"> </w:t>
            </w:r>
            <w:r w:rsidRPr="00D76BC8">
              <w:rPr>
                <w:rFonts w:ascii="Verdana" w:hAnsi="Verdana" w:eastAsia="Calibri" w:cs="Calibri"/>
                <w:color w:val="000000" w:themeColor="text1"/>
                <w:sz w:val="18"/>
                <w:szCs w:val="18"/>
              </w:rPr>
              <w:t>Het kabinet zal zich inzetten om deze suggesties op te laten nemen in de Europese horizontale interne-marktstrategie.</w:t>
            </w:r>
          </w:p>
        </w:tc>
        <w:tc>
          <w:tcPr>
            <w:tcW w:w="1984" w:type="dxa"/>
            <w:tcBorders>
              <w:top w:val="single" w:color="auto" w:sz="4" w:space="0"/>
              <w:left w:val="single" w:color="auto" w:sz="4" w:space="0"/>
              <w:bottom w:val="single" w:color="auto" w:sz="4" w:space="0"/>
              <w:right w:val="single" w:color="auto" w:sz="4" w:space="0"/>
            </w:tcBorders>
          </w:tcPr>
          <w:p w:rsidRPr="00D76BC8" w:rsidR="00CF7E62" w:rsidP="007C26FD" w:rsidRDefault="00CF7E62" w14:paraId="35404048" w14:textId="77777777">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p w:rsidRPr="00D76BC8" w:rsidR="00CF7E62" w:rsidP="007C26FD" w:rsidRDefault="00CF7E62" w14:paraId="72ADAAD1" w14:textId="77777777">
            <w:pPr>
              <w:rPr>
                <w:rFonts w:ascii="Verdana" w:hAnsi="Verdana" w:cstheme="minorHAnsi"/>
                <w:color w:val="000000"/>
                <w:sz w:val="18"/>
                <w:szCs w:val="18"/>
              </w:rPr>
            </w:pPr>
          </w:p>
          <w:p w:rsidRPr="00D76BC8" w:rsidR="00CF7E62" w:rsidP="007C26FD" w:rsidRDefault="00CF7E62" w14:paraId="2653764B" w14:textId="37B2EAA9">
            <w:pPr>
              <w:rPr>
                <w:rFonts w:ascii="Verdana" w:hAnsi="Verdana" w:cstheme="minorHAnsi"/>
                <w:color w:val="000000"/>
                <w:sz w:val="18"/>
                <w:szCs w:val="18"/>
              </w:rPr>
            </w:pPr>
          </w:p>
        </w:tc>
      </w:tr>
      <w:tr w:rsidRPr="00D76BC8" w:rsidR="00CF7E62" w:rsidTr="0086334D" w14:paraId="5CD13E9B"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D76BC8" w:rsidR="00CF7E62" w:rsidP="007C26FD" w:rsidRDefault="00CF7E62" w14:paraId="6041769C" w14:textId="42F23708">
            <w:pPr>
              <w:rPr>
                <w:rFonts w:ascii="Verdana" w:hAnsi="Verdana" w:cstheme="minorHAnsi"/>
                <w:sz w:val="18"/>
                <w:szCs w:val="18"/>
              </w:rPr>
            </w:pPr>
            <w:bookmarkStart w:name="_Hlk190950710" w:id="2"/>
            <w:r w:rsidRPr="00D76BC8">
              <w:rPr>
                <w:rFonts w:ascii="Verdana" w:hAnsi="Verdana" w:cstheme="minorHAnsi"/>
                <w:sz w:val="18"/>
                <w:szCs w:val="18"/>
              </w:rPr>
              <w:t>3.</w:t>
            </w:r>
          </w:p>
        </w:tc>
        <w:tc>
          <w:tcPr>
            <w:tcW w:w="2410" w:type="dxa"/>
            <w:tcBorders>
              <w:top w:val="single" w:color="auto" w:sz="4" w:space="0"/>
              <w:left w:val="single" w:color="auto" w:sz="4" w:space="0"/>
              <w:bottom w:val="single" w:color="auto" w:sz="4" w:space="0"/>
              <w:right w:val="single" w:color="auto" w:sz="4" w:space="0"/>
            </w:tcBorders>
          </w:tcPr>
          <w:p w:rsidRPr="0086334D" w:rsidR="00CF7E62" w:rsidP="007C26FD" w:rsidRDefault="00A80351" w14:paraId="3767CD45" w14:textId="031C3562">
            <w:pPr>
              <w:rPr>
                <w:rFonts w:ascii="Verdana" w:hAnsi="Verdana" w:cstheme="minorHAnsi"/>
                <w:sz w:val="18"/>
                <w:szCs w:val="18"/>
              </w:rPr>
            </w:pPr>
            <w:r w:rsidRPr="0086334D">
              <w:rPr>
                <w:rFonts w:ascii="Verdana" w:hAnsi="Verdana" w:cstheme="minorHAnsi"/>
                <w:sz w:val="18"/>
                <w:szCs w:val="18"/>
              </w:rPr>
              <w:t>Eerste omnibuspakket over duurzaamheid</w:t>
            </w:r>
            <w:r w:rsidRPr="0086334D" w:rsidDel="00A80351">
              <w:rPr>
                <w:rFonts w:ascii="Verdana" w:hAnsi="Verdana" w:cstheme="minorHAnsi"/>
                <w:sz w:val="18"/>
                <w:szCs w:val="18"/>
              </w:rPr>
              <w:t xml:space="preserve"> </w:t>
            </w:r>
            <w:r w:rsidRPr="0086334D" w:rsidR="00CF7E62">
              <w:rPr>
                <w:rFonts w:ascii="Verdana" w:hAnsi="Verdana" w:cstheme="minorHAnsi"/>
                <w:sz w:val="18"/>
                <w:szCs w:val="18"/>
              </w:rPr>
              <w:t>(Q1 2025)</w:t>
            </w:r>
          </w:p>
        </w:tc>
        <w:tc>
          <w:tcPr>
            <w:tcW w:w="4678" w:type="dxa"/>
            <w:tcBorders>
              <w:top w:val="single" w:color="auto" w:sz="4" w:space="0"/>
              <w:left w:val="single" w:color="auto" w:sz="4" w:space="0"/>
              <w:bottom w:val="single" w:color="auto" w:sz="4" w:space="0"/>
              <w:right w:val="single" w:color="auto" w:sz="4" w:space="0"/>
            </w:tcBorders>
          </w:tcPr>
          <w:p w:rsidRPr="00823FFF" w:rsidR="00CF7E62" w:rsidP="007C26FD" w:rsidRDefault="00F615D4" w14:paraId="243AA483" w14:textId="6AEBAAC5">
            <w:pPr>
              <w:rPr>
                <w:rFonts w:ascii="Verdana" w:hAnsi="Verdana" w:cstheme="minorHAnsi"/>
                <w:color w:val="000000"/>
                <w:sz w:val="18"/>
                <w:szCs w:val="18"/>
                <w:lang w:val="en-US"/>
              </w:rPr>
            </w:pPr>
            <w:r w:rsidRPr="00D76BC8">
              <w:rPr>
                <w:rFonts w:ascii="Verdana" w:hAnsi="Verdana"/>
                <w:sz w:val="18"/>
                <w:szCs w:val="18"/>
              </w:rPr>
              <w:t>Het eerste Omnibuspakket heeft als doel het</w:t>
            </w:r>
            <w:r w:rsidRPr="00D76BC8">
              <w:rPr>
                <w:rFonts w:ascii="Verdana" w:hAnsi="Verdana"/>
                <w:strike/>
                <w:sz w:val="18"/>
                <w:szCs w:val="18"/>
              </w:rPr>
              <w:t xml:space="preserve"> </w:t>
            </w:r>
            <w:r w:rsidRPr="00D76BC8">
              <w:rPr>
                <w:rFonts w:ascii="Verdana" w:hAnsi="Verdana"/>
                <w:sz w:val="18"/>
                <w:szCs w:val="18"/>
              </w:rPr>
              <w:t xml:space="preserve">vereenvoudiging van regelgeving, met name op het gebied van duurzaamheidsrapportage en </w:t>
            </w:r>
            <w:proofErr w:type="spellStart"/>
            <w:r w:rsidRPr="00D76BC8">
              <w:rPr>
                <w:rFonts w:ascii="Verdana" w:hAnsi="Verdana"/>
                <w:i/>
                <w:iCs/>
                <w:sz w:val="18"/>
                <w:szCs w:val="18"/>
              </w:rPr>
              <w:t>due</w:t>
            </w:r>
            <w:proofErr w:type="spellEnd"/>
            <w:r w:rsidRPr="00D76BC8">
              <w:rPr>
                <w:rFonts w:ascii="Verdana" w:hAnsi="Verdana"/>
                <w:i/>
                <w:iCs/>
                <w:sz w:val="18"/>
                <w:szCs w:val="18"/>
              </w:rPr>
              <w:t xml:space="preserve"> diligence</w:t>
            </w:r>
            <w:r w:rsidRPr="00D76BC8">
              <w:rPr>
                <w:rFonts w:ascii="Verdana" w:hAnsi="Verdana"/>
                <w:sz w:val="18"/>
                <w:szCs w:val="18"/>
              </w:rPr>
              <w:t xml:space="preserve">. </w:t>
            </w:r>
            <w:proofErr w:type="spellStart"/>
            <w:r w:rsidRPr="00823FFF">
              <w:rPr>
                <w:rFonts w:ascii="Verdana" w:hAnsi="Verdana"/>
                <w:sz w:val="18"/>
                <w:szCs w:val="18"/>
                <w:lang w:val="en-US"/>
              </w:rPr>
              <w:t>Dit</w:t>
            </w:r>
            <w:proofErr w:type="spellEnd"/>
            <w:r w:rsidRPr="00823FFF">
              <w:rPr>
                <w:rFonts w:ascii="Verdana" w:hAnsi="Verdana"/>
                <w:sz w:val="18"/>
                <w:szCs w:val="18"/>
                <w:lang w:val="en-US"/>
              </w:rPr>
              <w:t xml:space="preserve"> </w:t>
            </w:r>
            <w:proofErr w:type="spellStart"/>
            <w:r w:rsidRPr="00823FFF">
              <w:rPr>
                <w:rFonts w:ascii="Verdana" w:hAnsi="Verdana"/>
                <w:sz w:val="18"/>
                <w:szCs w:val="18"/>
                <w:lang w:val="en-US"/>
              </w:rPr>
              <w:t>betreft</w:t>
            </w:r>
            <w:proofErr w:type="spellEnd"/>
            <w:r w:rsidRPr="00823FFF">
              <w:rPr>
                <w:rFonts w:ascii="Verdana" w:hAnsi="Verdana"/>
                <w:sz w:val="18"/>
                <w:szCs w:val="18"/>
                <w:lang w:val="en-US"/>
              </w:rPr>
              <w:t xml:space="preserve"> in </w:t>
            </w:r>
            <w:proofErr w:type="spellStart"/>
            <w:r w:rsidRPr="00823FFF">
              <w:rPr>
                <w:rFonts w:ascii="Verdana" w:hAnsi="Verdana"/>
                <w:sz w:val="18"/>
                <w:szCs w:val="18"/>
                <w:lang w:val="en-US"/>
              </w:rPr>
              <w:t>ieder</w:t>
            </w:r>
            <w:proofErr w:type="spellEnd"/>
            <w:r w:rsidRPr="00823FFF">
              <w:rPr>
                <w:rFonts w:ascii="Verdana" w:hAnsi="Verdana"/>
                <w:sz w:val="18"/>
                <w:szCs w:val="18"/>
                <w:lang w:val="en-US"/>
              </w:rPr>
              <w:t xml:space="preserve"> </w:t>
            </w:r>
            <w:proofErr w:type="spellStart"/>
            <w:r w:rsidRPr="00823FFF">
              <w:rPr>
                <w:rFonts w:ascii="Verdana" w:hAnsi="Verdana"/>
                <w:sz w:val="18"/>
                <w:szCs w:val="18"/>
                <w:lang w:val="en-US"/>
              </w:rPr>
              <w:t>geval</w:t>
            </w:r>
            <w:proofErr w:type="spellEnd"/>
            <w:r w:rsidRPr="00823FFF">
              <w:rPr>
                <w:rFonts w:ascii="Verdana" w:hAnsi="Verdana"/>
                <w:sz w:val="18"/>
                <w:szCs w:val="18"/>
                <w:lang w:val="en-US"/>
              </w:rPr>
              <w:t xml:space="preserve"> de </w:t>
            </w:r>
            <w:r w:rsidRPr="00823FFF">
              <w:rPr>
                <w:rFonts w:ascii="Verdana" w:hAnsi="Verdana"/>
                <w:sz w:val="18"/>
                <w:szCs w:val="18"/>
                <w:lang w:val="en-US" w:eastAsia="en-US"/>
              </w:rPr>
              <w:t xml:space="preserve">Corporate Sustainability Reporting Directive (CSRD), </w:t>
            </w:r>
            <w:proofErr w:type="spellStart"/>
            <w:r w:rsidRPr="00823FFF">
              <w:rPr>
                <w:rFonts w:ascii="Verdana" w:hAnsi="Verdana"/>
                <w:sz w:val="18"/>
                <w:szCs w:val="18"/>
                <w:lang w:val="en-US" w:eastAsia="en-US"/>
              </w:rPr>
              <w:t>Taxonomieverordening</w:t>
            </w:r>
            <w:proofErr w:type="spellEnd"/>
            <w:r w:rsidR="00C11C92">
              <w:rPr>
                <w:rFonts w:ascii="Verdana" w:hAnsi="Verdana"/>
                <w:sz w:val="18"/>
                <w:szCs w:val="18"/>
                <w:lang w:val="en-US" w:eastAsia="en-US"/>
              </w:rPr>
              <w:t>,</w:t>
            </w:r>
            <w:r w:rsidRPr="00823FFF">
              <w:rPr>
                <w:rFonts w:ascii="Verdana" w:hAnsi="Verdana"/>
                <w:sz w:val="18"/>
                <w:szCs w:val="18"/>
                <w:lang w:val="en-US" w:eastAsia="en-US"/>
              </w:rPr>
              <w:t xml:space="preserve"> Corporate Sustainability Due Diligence Directive (CSDDD)</w:t>
            </w:r>
            <w:r w:rsidR="00C11C92">
              <w:rPr>
                <w:rFonts w:ascii="Verdana" w:hAnsi="Verdana"/>
                <w:sz w:val="18"/>
                <w:szCs w:val="18"/>
                <w:lang w:val="en-US" w:eastAsia="en-US"/>
              </w:rPr>
              <w:t xml:space="preserve"> </w:t>
            </w:r>
            <w:proofErr w:type="spellStart"/>
            <w:r w:rsidR="00C11C92">
              <w:rPr>
                <w:rFonts w:ascii="Verdana" w:hAnsi="Verdana"/>
                <w:sz w:val="18"/>
                <w:szCs w:val="18"/>
                <w:lang w:val="en-US" w:eastAsia="en-US"/>
              </w:rPr>
              <w:t>en</w:t>
            </w:r>
            <w:proofErr w:type="spellEnd"/>
            <w:r w:rsidR="00C11C92">
              <w:rPr>
                <w:rFonts w:ascii="Verdana" w:hAnsi="Verdana"/>
                <w:sz w:val="18"/>
                <w:szCs w:val="18"/>
                <w:lang w:val="en-US" w:eastAsia="en-US"/>
              </w:rPr>
              <w:t xml:space="preserve"> het Carbon Border Adjustment Mechanism</w:t>
            </w:r>
            <w:r w:rsidRPr="00823FFF">
              <w:rPr>
                <w:rFonts w:ascii="Verdana" w:hAnsi="Verdana"/>
                <w:sz w:val="18"/>
                <w:szCs w:val="18"/>
                <w:lang w:val="en-US" w:eastAsia="en-US"/>
              </w:rPr>
              <w:t>.</w:t>
            </w:r>
          </w:p>
        </w:tc>
        <w:tc>
          <w:tcPr>
            <w:tcW w:w="5812" w:type="dxa"/>
            <w:tcBorders>
              <w:top w:val="single" w:color="auto" w:sz="4" w:space="0"/>
              <w:left w:val="single" w:color="auto" w:sz="4" w:space="0"/>
              <w:bottom w:val="single" w:color="auto" w:sz="4" w:space="0"/>
              <w:right w:val="single" w:color="auto" w:sz="4" w:space="0"/>
            </w:tcBorders>
          </w:tcPr>
          <w:p w:rsidRPr="00D76BC8" w:rsidR="00CF7E62" w:rsidP="0079174C" w:rsidRDefault="00F615D4" w14:paraId="78C60443" w14:textId="7C003FC6">
            <w:pPr>
              <w:rPr>
                <w:rFonts w:ascii="Verdana" w:hAnsi="Verdana" w:cstheme="minorHAnsi"/>
                <w:color w:val="000000"/>
                <w:sz w:val="18"/>
                <w:szCs w:val="18"/>
              </w:rPr>
            </w:pPr>
            <w:r w:rsidRPr="00D76BC8">
              <w:rPr>
                <w:rFonts w:ascii="Verdana" w:hAnsi="Verdana"/>
                <w:sz w:val="18"/>
                <w:szCs w:val="18"/>
              </w:rPr>
              <w:t xml:space="preserve">Het kabinet onderschrijft het doel van regeldrukvermindering. Aandachtspunten blijven voorspelbaarheid en rechtszekerheid voor bedrijven en betrouwbaarheid van het (Europese) wetgevingsproces. Coherentie met andere EU-regelgeving met rapportageverplichtingen is daarbij van belang. </w:t>
            </w:r>
          </w:p>
        </w:tc>
        <w:tc>
          <w:tcPr>
            <w:tcW w:w="1984" w:type="dxa"/>
            <w:tcBorders>
              <w:top w:val="single" w:color="auto" w:sz="4" w:space="0"/>
              <w:left w:val="single" w:color="auto" w:sz="4" w:space="0"/>
              <w:bottom w:val="single" w:color="auto" w:sz="4" w:space="0"/>
              <w:right w:val="single" w:color="auto" w:sz="4" w:space="0"/>
            </w:tcBorders>
          </w:tcPr>
          <w:p w:rsidRPr="00D76BC8" w:rsidR="00CF7E62" w:rsidP="007C26FD" w:rsidRDefault="00CF7E62" w14:paraId="5F9E73E7" w14:textId="59FAA322">
            <w:pPr>
              <w:rPr>
                <w:rFonts w:ascii="Verdana" w:hAnsi="Verdana" w:cstheme="minorHAnsi"/>
                <w:color w:val="000000"/>
                <w:sz w:val="18"/>
                <w:szCs w:val="18"/>
              </w:rPr>
            </w:pPr>
            <w:r w:rsidRPr="00D76BC8">
              <w:rPr>
                <w:rFonts w:ascii="Verdana" w:hAnsi="Verdana" w:cstheme="minorHAnsi"/>
                <w:color w:val="000000"/>
                <w:sz w:val="18"/>
                <w:szCs w:val="18"/>
              </w:rPr>
              <w:t>Wetgevend</w:t>
            </w:r>
          </w:p>
        </w:tc>
      </w:tr>
      <w:bookmarkEnd w:id="2"/>
      <w:tr w:rsidRPr="00D76BC8" w:rsidR="00CF7E62" w:rsidTr="0086334D" w14:paraId="0FCA852B" w14:textId="6AEDDB9B">
        <w:trPr>
          <w:trHeight w:val="597"/>
        </w:trPr>
        <w:tc>
          <w:tcPr>
            <w:tcW w:w="567" w:type="dxa"/>
            <w:tcBorders>
              <w:top w:val="single" w:color="auto" w:sz="4" w:space="0"/>
              <w:left w:val="single" w:color="auto" w:sz="4" w:space="0"/>
              <w:bottom w:val="single" w:color="auto" w:sz="4" w:space="0"/>
              <w:right w:val="single" w:color="auto" w:sz="4" w:space="0"/>
            </w:tcBorders>
          </w:tcPr>
          <w:p w:rsidRPr="00D76BC8" w:rsidR="00CF7E62" w:rsidP="007C26FD" w:rsidRDefault="00CF7E62" w14:paraId="4BADD123" w14:textId="6FB488FD">
            <w:pPr>
              <w:rPr>
                <w:rFonts w:ascii="Verdana" w:hAnsi="Verdana" w:cstheme="minorHAnsi"/>
                <w:sz w:val="18"/>
                <w:szCs w:val="18"/>
              </w:rPr>
            </w:pPr>
            <w:r w:rsidRPr="00D76BC8">
              <w:rPr>
                <w:rFonts w:ascii="Verdana" w:hAnsi="Verdana" w:cstheme="minorHAnsi"/>
                <w:sz w:val="18"/>
                <w:szCs w:val="18"/>
              </w:rPr>
              <w:lastRenderedPageBreak/>
              <w:t>4.</w:t>
            </w:r>
          </w:p>
        </w:tc>
        <w:tc>
          <w:tcPr>
            <w:tcW w:w="2410" w:type="dxa"/>
            <w:tcBorders>
              <w:top w:val="single" w:color="auto" w:sz="4" w:space="0"/>
              <w:left w:val="single" w:color="auto" w:sz="4" w:space="0"/>
              <w:bottom w:val="single" w:color="auto" w:sz="4" w:space="0"/>
              <w:right w:val="single" w:color="auto" w:sz="4" w:space="0"/>
            </w:tcBorders>
          </w:tcPr>
          <w:p w:rsidRPr="0086334D" w:rsidR="00CF7E62" w:rsidP="007C26FD" w:rsidRDefault="00A80351" w14:paraId="7C517A4E" w14:textId="519FC877">
            <w:pPr>
              <w:rPr>
                <w:rFonts w:ascii="Verdana" w:hAnsi="Verdana" w:cstheme="minorHAnsi"/>
                <w:sz w:val="18"/>
                <w:szCs w:val="18"/>
              </w:rPr>
            </w:pPr>
            <w:r w:rsidRPr="0086334D">
              <w:rPr>
                <w:rFonts w:ascii="Verdana" w:hAnsi="Verdana" w:cstheme="minorHAnsi"/>
                <w:sz w:val="18"/>
                <w:szCs w:val="18"/>
              </w:rPr>
              <w:t>Tweede omnibuspakket inzake het vereenvoudigen van investeringen</w:t>
            </w:r>
            <w:r w:rsidRPr="0086334D" w:rsidDel="00A80351">
              <w:rPr>
                <w:rFonts w:ascii="Verdana" w:hAnsi="Verdana" w:cstheme="minorHAnsi"/>
                <w:sz w:val="18"/>
                <w:szCs w:val="18"/>
              </w:rPr>
              <w:t xml:space="preserve"> </w:t>
            </w:r>
            <w:r w:rsidRPr="0086334D" w:rsidR="00CF7E62">
              <w:rPr>
                <w:rFonts w:ascii="Verdana" w:hAnsi="Verdana" w:cstheme="minorHAnsi"/>
                <w:sz w:val="18"/>
                <w:szCs w:val="18"/>
              </w:rPr>
              <w:t>(Q1 2025)</w:t>
            </w:r>
          </w:p>
        </w:tc>
        <w:tc>
          <w:tcPr>
            <w:tcW w:w="4678" w:type="dxa"/>
            <w:tcBorders>
              <w:top w:val="single" w:color="auto" w:sz="4" w:space="0"/>
              <w:left w:val="single" w:color="auto" w:sz="4" w:space="0"/>
              <w:bottom w:val="single" w:color="auto" w:sz="4" w:space="0"/>
              <w:right w:val="single" w:color="auto" w:sz="4" w:space="0"/>
            </w:tcBorders>
          </w:tcPr>
          <w:p w:rsidRPr="00D76BC8" w:rsidR="00CF7E62" w:rsidP="007C26FD" w:rsidRDefault="00CF7E62" w14:paraId="64FF6891" w14:textId="5FBD750F">
            <w:pPr>
              <w:rPr>
                <w:rFonts w:ascii="Verdana" w:hAnsi="Verdana" w:cstheme="minorHAnsi"/>
                <w:color w:val="000000"/>
                <w:sz w:val="18"/>
                <w:szCs w:val="18"/>
              </w:rPr>
            </w:pPr>
            <w:r w:rsidRPr="00D76BC8">
              <w:rPr>
                <w:rFonts w:ascii="Verdana" w:hAnsi="Verdana" w:cstheme="minorHAnsi"/>
                <w:color w:val="000000"/>
                <w:sz w:val="18"/>
                <w:szCs w:val="18"/>
              </w:rPr>
              <w:t xml:space="preserve">Het tweede Omnibuspakket </w:t>
            </w:r>
            <w:r w:rsidR="006B0FEA">
              <w:rPr>
                <w:rFonts w:ascii="Verdana" w:hAnsi="Verdana" w:cstheme="minorHAnsi"/>
                <w:color w:val="000000"/>
                <w:sz w:val="18"/>
                <w:szCs w:val="18"/>
              </w:rPr>
              <w:t>beoogt</w:t>
            </w:r>
            <w:r w:rsidRPr="00D76BC8" w:rsidR="006B0FEA">
              <w:rPr>
                <w:rFonts w:ascii="Verdana" w:hAnsi="Verdana" w:cstheme="minorHAnsi"/>
                <w:color w:val="000000"/>
                <w:sz w:val="18"/>
                <w:szCs w:val="18"/>
              </w:rPr>
              <w:t xml:space="preserve"> </w:t>
            </w:r>
            <w:r w:rsidRPr="00D76BC8">
              <w:rPr>
                <w:rFonts w:ascii="Verdana" w:hAnsi="Verdana" w:cstheme="minorHAnsi"/>
                <w:color w:val="000000"/>
                <w:sz w:val="18"/>
                <w:szCs w:val="18"/>
              </w:rPr>
              <w:t xml:space="preserve">de uitvoering van het </w:t>
            </w:r>
            <w:proofErr w:type="spellStart"/>
            <w:r w:rsidRPr="00D76BC8">
              <w:rPr>
                <w:rFonts w:ascii="Verdana" w:hAnsi="Verdana" w:cstheme="minorHAnsi"/>
                <w:color w:val="000000"/>
                <w:sz w:val="18"/>
                <w:szCs w:val="18"/>
              </w:rPr>
              <w:t>InvestEU</w:t>
            </w:r>
            <w:proofErr w:type="spellEnd"/>
            <w:r w:rsidRPr="00D76BC8">
              <w:rPr>
                <w:rFonts w:ascii="Verdana" w:hAnsi="Verdana" w:cstheme="minorHAnsi"/>
                <w:color w:val="000000"/>
                <w:sz w:val="18"/>
                <w:szCs w:val="18"/>
              </w:rPr>
              <w:t>-programma en het Europees Fonds voor strategische investeringen vergemakkelijken en de rapportageverplichtingen vereenvoudigen.</w:t>
            </w:r>
            <w:r w:rsidRPr="00D76BC8">
              <w:rPr>
                <w:rFonts w:ascii="Verdana" w:hAnsi="Verdana"/>
                <w:sz w:val="18"/>
                <w:szCs w:val="18"/>
              </w:rPr>
              <w:t xml:space="preserve"> </w:t>
            </w:r>
          </w:p>
        </w:tc>
        <w:tc>
          <w:tcPr>
            <w:tcW w:w="5812" w:type="dxa"/>
            <w:tcBorders>
              <w:top w:val="single" w:color="auto" w:sz="4" w:space="0"/>
              <w:left w:val="single" w:color="auto" w:sz="4" w:space="0"/>
              <w:bottom w:val="single" w:color="auto" w:sz="4" w:space="0"/>
              <w:right w:val="single" w:color="auto" w:sz="4" w:space="0"/>
            </w:tcBorders>
          </w:tcPr>
          <w:p w:rsidRPr="00D76BC8" w:rsidR="00CF7E62" w:rsidP="007C26FD" w:rsidRDefault="001C3BEC" w14:paraId="355B6F53" w14:textId="2EB32B49">
            <w:pPr>
              <w:rPr>
                <w:rFonts w:ascii="Verdana" w:hAnsi="Verdana" w:cstheme="minorHAnsi"/>
                <w:color w:val="000000"/>
                <w:sz w:val="18"/>
                <w:szCs w:val="18"/>
              </w:rPr>
            </w:pPr>
            <w:r>
              <w:rPr>
                <w:rFonts w:ascii="Verdana" w:hAnsi="Verdana" w:cstheme="minorHAnsi"/>
                <w:color w:val="000000"/>
                <w:sz w:val="18"/>
                <w:szCs w:val="18"/>
              </w:rPr>
              <w:t>Het kabinet</w:t>
            </w:r>
            <w:r w:rsidRPr="00D76BC8" w:rsidR="00CF7E62">
              <w:rPr>
                <w:rFonts w:ascii="Verdana" w:hAnsi="Verdana" w:cstheme="minorHAnsi"/>
                <w:color w:val="000000"/>
                <w:sz w:val="18"/>
                <w:szCs w:val="18"/>
              </w:rPr>
              <w:t xml:space="preserve"> </w:t>
            </w:r>
            <w:r w:rsidR="001F380A">
              <w:rPr>
                <w:rFonts w:ascii="Verdana" w:hAnsi="Verdana" w:cstheme="minorHAnsi"/>
                <w:color w:val="000000"/>
                <w:sz w:val="18"/>
                <w:szCs w:val="18"/>
              </w:rPr>
              <w:t xml:space="preserve">onderschrijft het doel van regeldrukvermindering </w:t>
            </w:r>
            <w:r w:rsidRPr="00D76BC8" w:rsidR="00CF7E62">
              <w:rPr>
                <w:rFonts w:ascii="Verdana" w:hAnsi="Verdana" w:cstheme="minorHAnsi"/>
                <w:color w:val="000000"/>
                <w:sz w:val="18"/>
                <w:szCs w:val="18"/>
              </w:rPr>
              <w:t>en zal zich inzetten voor het mobiliseren van private investeringen. Aandachtspunten blijven rechtszekerheid en een gelijk speelveld voor bedrijven.</w:t>
            </w:r>
          </w:p>
        </w:tc>
        <w:tc>
          <w:tcPr>
            <w:tcW w:w="1984" w:type="dxa"/>
            <w:tcBorders>
              <w:top w:val="single" w:color="auto" w:sz="4" w:space="0"/>
              <w:left w:val="single" w:color="auto" w:sz="4" w:space="0"/>
              <w:bottom w:val="single" w:color="auto" w:sz="4" w:space="0"/>
              <w:right w:val="single" w:color="auto" w:sz="4" w:space="0"/>
            </w:tcBorders>
          </w:tcPr>
          <w:p w:rsidRPr="00D76BC8" w:rsidR="00CF7E62" w:rsidP="007C26FD" w:rsidRDefault="00CF7E62" w14:paraId="420ECAA3" w14:textId="620103A7">
            <w:pPr>
              <w:rPr>
                <w:rFonts w:ascii="Verdana" w:hAnsi="Verdana" w:cstheme="minorHAnsi"/>
                <w:color w:val="000000"/>
                <w:sz w:val="18"/>
                <w:szCs w:val="18"/>
              </w:rPr>
            </w:pPr>
            <w:r w:rsidRPr="00D76BC8">
              <w:rPr>
                <w:rFonts w:ascii="Verdana" w:hAnsi="Verdana" w:cstheme="minorHAnsi"/>
                <w:color w:val="000000"/>
                <w:sz w:val="18"/>
                <w:szCs w:val="18"/>
              </w:rPr>
              <w:t>Wetgevend</w:t>
            </w:r>
          </w:p>
        </w:tc>
      </w:tr>
      <w:tr w:rsidRPr="00D76BC8" w:rsidR="00CF7E62" w:rsidTr="0086334D" w14:paraId="2D7C8F74" w14:textId="77777777">
        <w:trPr>
          <w:trHeight w:val="895"/>
        </w:trPr>
        <w:tc>
          <w:tcPr>
            <w:tcW w:w="567" w:type="dxa"/>
          </w:tcPr>
          <w:p w:rsidRPr="00D76BC8" w:rsidR="00CF7E62" w:rsidP="007C26FD" w:rsidRDefault="00CF7E62" w14:paraId="4FB4571E" w14:textId="7EE64620">
            <w:pPr>
              <w:rPr>
                <w:rFonts w:ascii="Verdana" w:hAnsi="Verdana" w:cstheme="minorHAnsi"/>
                <w:sz w:val="18"/>
                <w:szCs w:val="18"/>
              </w:rPr>
            </w:pPr>
            <w:r w:rsidRPr="00D76BC8">
              <w:rPr>
                <w:rFonts w:ascii="Verdana" w:hAnsi="Verdana" w:cstheme="minorHAnsi"/>
                <w:sz w:val="18"/>
                <w:szCs w:val="18"/>
              </w:rPr>
              <w:t>5.</w:t>
            </w:r>
          </w:p>
        </w:tc>
        <w:tc>
          <w:tcPr>
            <w:tcW w:w="2410" w:type="dxa"/>
            <w:hideMark/>
          </w:tcPr>
          <w:p w:rsidRPr="0086334D" w:rsidR="00CF7E62" w:rsidP="007C26FD" w:rsidRDefault="00A80351" w14:paraId="76D1D580" w14:textId="2A905761">
            <w:pPr>
              <w:rPr>
                <w:rFonts w:ascii="Verdana" w:hAnsi="Verdana" w:cstheme="minorHAnsi"/>
                <w:sz w:val="18"/>
                <w:szCs w:val="18"/>
              </w:rPr>
            </w:pPr>
            <w:r w:rsidRPr="0086334D">
              <w:rPr>
                <w:rFonts w:ascii="Verdana" w:hAnsi="Verdana" w:cstheme="minorHAnsi"/>
                <w:sz w:val="18"/>
                <w:szCs w:val="18"/>
              </w:rPr>
              <w:t xml:space="preserve">Derde omnibuspakket, onder meer over kleine </w:t>
            </w:r>
            <w:proofErr w:type="spellStart"/>
            <w:r w:rsidRPr="0086334D">
              <w:rPr>
                <w:rFonts w:ascii="Verdana" w:hAnsi="Verdana" w:cstheme="minorHAnsi"/>
                <w:sz w:val="18"/>
                <w:szCs w:val="18"/>
              </w:rPr>
              <w:t>midcaps</w:t>
            </w:r>
            <w:proofErr w:type="spellEnd"/>
            <w:r w:rsidRPr="0086334D">
              <w:rPr>
                <w:rFonts w:ascii="Verdana" w:hAnsi="Verdana" w:cstheme="minorHAnsi"/>
                <w:sz w:val="18"/>
                <w:szCs w:val="18"/>
              </w:rPr>
              <w:t xml:space="preserve"> en schrapping van vereisten voor papieren formats</w:t>
            </w:r>
            <w:r w:rsidRPr="0086334D" w:rsidDel="00A80351">
              <w:rPr>
                <w:rFonts w:ascii="Verdana" w:hAnsi="Verdana" w:cstheme="minorHAnsi"/>
                <w:sz w:val="18"/>
                <w:szCs w:val="18"/>
              </w:rPr>
              <w:t xml:space="preserve"> </w:t>
            </w:r>
            <w:r w:rsidRPr="0086334D" w:rsidR="00CF7E62">
              <w:rPr>
                <w:rFonts w:ascii="Verdana" w:hAnsi="Verdana" w:cstheme="minorHAnsi"/>
                <w:sz w:val="18"/>
                <w:szCs w:val="18"/>
              </w:rPr>
              <w:t>(Q2 2025)</w:t>
            </w:r>
          </w:p>
        </w:tc>
        <w:tc>
          <w:tcPr>
            <w:tcW w:w="4678" w:type="dxa"/>
            <w:hideMark/>
          </w:tcPr>
          <w:p w:rsidRPr="00D76BC8" w:rsidR="00CF7E62" w:rsidP="007C26FD" w:rsidRDefault="00CF7E62" w14:paraId="6AF899E4" w14:textId="0C97F9D0">
            <w:pPr>
              <w:rPr>
                <w:rFonts w:ascii="Verdana" w:hAnsi="Verdana" w:cstheme="minorHAnsi"/>
                <w:color w:val="000000"/>
                <w:sz w:val="18"/>
                <w:szCs w:val="18"/>
              </w:rPr>
            </w:pPr>
            <w:r w:rsidRPr="00D76BC8">
              <w:rPr>
                <w:rFonts w:ascii="Verdana" w:hAnsi="Verdana" w:cstheme="minorHAnsi"/>
                <w:color w:val="000000"/>
                <w:sz w:val="18"/>
                <w:szCs w:val="18"/>
              </w:rPr>
              <w:t xml:space="preserve">Dit derde Omnibuspakket zal een nieuwe categorie kleine </w:t>
            </w:r>
            <w:proofErr w:type="spellStart"/>
            <w:r w:rsidRPr="000C6048">
              <w:rPr>
                <w:rFonts w:ascii="Verdana" w:hAnsi="Verdana" w:cstheme="minorHAnsi"/>
                <w:color w:val="000000"/>
                <w:sz w:val="18"/>
                <w:szCs w:val="18"/>
              </w:rPr>
              <w:t>midcaps</w:t>
            </w:r>
            <w:proofErr w:type="spellEnd"/>
            <w:r w:rsidRPr="00D76BC8">
              <w:rPr>
                <w:rFonts w:ascii="Verdana" w:hAnsi="Verdana" w:cstheme="minorHAnsi"/>
                <w:color w:val="000000"/>
                <w:sz w:val="18"/>
                <w:szCs w:val="18"/>
              </w:rPr>
              <w:t xml:space="preserve"> </w:t>
            </w:r>
            <w:r w:rsidRPr="00D76BC8" w:rsidR="00923E56">
              <w:rPr>
                <w:rFonts w:ascii="Verdana" w:hAnsi="Verdana" w:cstheme="minorHAnsi"/>
                <w:color w:val="000000"/>
                <w:sz w:val="18"/>
                <w:szCs w:val="18"/>
              </w:rPr>
              <w:t>creëre</w:t>
            </w:r>
            <w:r w:rsidR="00923E56">
              <w:rPr>
                <w:rFonts w:ascii="Verdana" w:hAnsi="Verdana" w:cstheme="minorHAnsi"/>
                <w:color w:val="000000"/>
                <w:sz w:val="18"/>
                <w:szCs w:val="18"/>
              </w:rPr>
              <w:t>n</w:t>
            </w:r>
            <w:r w:rsidRPr="00D76BC8">
              <w:rPr>
                <w:rFonts w:ascii="Verdana" w:hAnsi="Verdana" w:cstheme="minorHAnsi"/>
                <w:color w:val="000000"/>
                <w:sz w:val="18"/>
                <w:szCs w:val="18"/>
              </w:rPr>
              <w:t xml:space="preserve"> met aangepaste vereisten en zal inefficiënte verzoeken om papierformaat in de productwetgeving wegnemen.</w:t>
            </w:r>
          </w:p>
        </w:tc>
        <w:tc>
          <w:tcPr>
            <w:tcW w:w="5812" w:type="dxa"/>
            <w:hideMark/>
          </w:tcPr>
          <w:p w:rsidRPr="00A97D43" w:rsidR="00CF7E62" w:rsidP="007C26FD" w:rsidRDefault="001C3BEC" w14:paraId="5E34AC8C" w14:textId="2CDF51FC">
            <w:r>
              <w:rPr>
                <w:rFonts w:ascii="Verdana" w:hAnsi="Verdana" w:cstheme="minorHAnsi"/>
                <w:color w:val="000000"/>
                <w:sz w:val="18"/>
                <w:szCs w:val="18"/>
              </w:rPr>
              <w:t>Het kabinet</w:t>
            </w:r>
            <w:r w:rsidRPr="00D76BC8">
              <w:rPr>
                <w:rFonts w:ascii="Verdana" w:hAnsi="Verdana" w:cstheme="minorHAnsi"/>
                <w:color w:val="000000"/>
                <w:sz w:val="18"/>
                <w:szCs w:val="18"/>
              </w:rPr>
              <w:t xml:space="preserve"> </w:t>
            </w:r>
            <w:r w:rsidR="001F380A">
              <w:rPr>
                <w:rFonts w:ascii="Verdana" w:hAnsi="Verdana" w:cstheme="minorHAnsi"/>
                <w:color w:val="000000"/>
                <w:sz w:val="18"/>
                <w:szCs w:val="18"/>
              </w:rPr>
              <w:t>onderschrijft het doel van regeldrukvermindering</w:t>
            </w:r>
            <w:r w:rsidR="00E107CF">
              <w:rPr>
                <w:rFonts w:ascii="Verdana" w:hAnsi="Verdana" w:cstheme="minorHAnsi"/>
                <w:color w:val="000000"/>
                <w:sz w:val="18"/>
                <w:szCs w:val="18"/>
              </w:rPr>
              <w:t xml:space="preserve"> voor </w:t>
            </w:r>
            <w:r w:rsidRPr="00E107CF" w:rsidR="00E107CF">
              <w:rPr>
                <w:rFonts w:ascii="Verdana" w:hAnsi="Verdana" w:cstheme="minorHAnsi"/>
                <w:color w:val="000000"/>
                <w:sz w:val="18"/>
                <w:szCs w:val="18"/>
              </w:rPr>
              <w:t>bedrijven die groter zijn dan kleine en middelgrote ondernemingen, maar kleiner dan grote ondernemingen</w:t>
            </w:r>
            <w:r w:rsidR="00E107CF">
              <w:rPr>
                <w:rFonts w:ascii="Verdana" w:hAnsi="Verdana" w:cstheme="minorHAnsi"/>
                <w:color w:val="000000"/>
                <w:sz w:val="18"/>
                <w:szCs w:val="18"/>
              </w:rPr>
              <w:t xml:space="preserve"> (</w:t>
            </w:r>
            <w:proofErr w:type="spellStart"/>
            <w:r w:rsidRPr="000C6048" w:rsidR="00E107CF">
              <w:rPr>
                <w:rFonts w:ascii="Verdana" w:hAnsi="Verdana" w:cstheme="minorHAnsi"/>
                <w:color w:val="000000"/>
                <w:sz w:val="18"/>
                <w:szCs w:val="18"/>
              </w:rPr>
              <w:t>midcaps</w:t>
            </w:r>
            <w:proofErr w:type="spellEnd"/>
            <w:r w:rsidR="00E107CF">
              <w:rPr>
                <w:rFonts w:ascii="Verdana" w:hAnsi="Verdana" w:cstheme="minorHAnsi"/>
                <w:color w:val="000000"/>
                <w:sz w:val="18"/>
                <w:szCs w:val="18"/>
              </w:rPr>
              <w:t>)</w:t>
            </w:r>
            <w:r w:rsidR="001F380A">
              <w:rPr>
                <w:rFonts w:ascii="Verdana" w:hAnsi="Verdana" w:cstheme="minorHAnsi"/>
                <w:color w:val="000000"/>
                <w:sz w:val="18"/>
                <w:szCs w:val="18"/>
              </w:rPr>
              <w:t>.</w:t>
            </w:r>
            <w:r w:rsidRPr="00D76BC8" w:rsidR="00CF7E62">
              <w:rPr>
                <w:rFonts w:ascii="Verdana" w:hAnsi="Verdana" w:cstheme="minorHAnsi"/>
                <w:color w:val="000000"/>
                <w:sz w:val="18"/>
                <w:szCs w:val="18"/>
              </w:rPr>
              <w:t xml:space="preserve"> </w:t>
            </w:r>
            <w:r w:rsidRPr="00D76BC8" w:rsidR="005D66A0">
              <w:rPr>
                <w:rFonts w:ascii="Verdana" w:hAnsi="Verdana" w:cstheme="minorHAnsi"/>
                <w:color w:val="000000"/>
                <w:sz w:val="18"/>
                <w:szCs w:val="18"/>
              </w:rPr>
              <w:t>Aandachtspunten blijven rechtszekerheid en een gelijk speelveld voor bedrijven.</w:t>
            </w:r>
            <w:r w:rsidR="00A97D43">
              <w:rPr>
                <w:rStyle w:val="FootnoteReference"/>
                <w:rFonts w:ascii="Verdana" w:hAnsi="Verdana" w:cstheme="minorHAnsi"/>
                <w:color w:val="000000"/>
                <w:sz w:val="18"/>
                <w:szCs w:val="18"/>
              </w:rPr>
              <w:t xml:space="preserve"> </w:t>
            </w:r>
          </w:p>
        </w:tc>
        <w:tc>
          <w:tcPr>
            <w:tcW w:w="1984" w:type="dxa"/>
          </w:tcPr>
          <w:p w:rsidRPr="00D76BC8" w:rsidR="00CF7E62" w:rsidP="007C26FD" w:rsidRDefault="00CF7E62" w14:paraId="25CC6648" w14:textId="00125E4F">
            <w:pPr>
              <w:rPr>
                <w:rFonts w:ascii="Verdana" w:hAnsi="Verdana" w:cstheme="minorHAnsi"/>
                <w:color w:val="000000"/>
                <w:sz w:val="18"/>
                <w:szCs w:val="18"/>
              </w:rPr>
            </w:pPr>
            <w:r w:rsidRPr="00D76BC8">
              <w:rPr>
                <w:rFonts w:ascii="Verdana" w:hAnsi="Verdana" w:cstheme="minorHAnsi"/>
                <w:color w:val="000000"/>
                <w:sz w:val="18"/>
                <w:szCs w:val="18"/>
              </w:rPr>
              <w:t>Wetgevend</w:t>
            </w:r>
          </w:p>
        </w:tc>
      </w:tr>
      <w:tr w:rsidRPr="00D76BC8" w:rsidR="006A5B3C" w:rsidTr="0086334D" w14:paraId="75741453" w14:textId="77777777">
        <w:trPr>
          <w:trHeight w:val="895"/>
        </w:trPr>
        <w:tc>
          <w:tcPr>
            <w:tcW w:w="567" w:type="dxa"/>
          </w:tcPr>
          <w:p w:rsidRPr="00D76BC8" w:rsidR="006A5B3C" w:rsidP="007C26FD" w:rsidRDefault="006A5B3C" w14:paraId="25DDA563" w14:textId="733A8C05">
            <w:pPr>
              <w:rPr>
                <w:rFonts w:ascii="Verdana" w:hAnsi="Verdana" w:eastAsia="Times New Roman"/>
                <w:sz w:val="18"/>
                <w:szCs w:val="18"/>
              </w:rPr>
            </w:pPr>
            <w:r w:rsidRPr="00D76BC8">
              <w:rPr>
                <w:rFonts w:ascii="Verdana" w:hAnsi="Verdana" w:eastAsia="Times New Roman"/>
                <w:sz w:val="18"/>
                <w:szCs w:val="18"/>
              </w:rPr>
              <w:t>6.</w:t>
            </w:r>
          </w:p>
        </w:tc>
        <w:tc>
          <w:tcPr>
            <w:tcW w:w="2410" w:type="dxa"/>
          </w:tcPr>
          <w:p w:rsidRPr="0086334D" w:rsidR="006A5B3C" w:rsidP="007C26FD" w:rsidRDefault="00A80351" w14:paraId="116BA618" w14:textId="25AA3EBC">
            <w:pPr>
              <w:rPr>
                <w:rFonts w:ascii="Verdana" w:hAnsi="Verdana" w:cstheme="minorHAnsi"/>
                <w:sz w:val="18"/>
                <w:szCs w:val="18"/>
              </w:rPr>
            </w:pPr>
            <w:r w:rsidRPr="0086334D">
              <w:rPr>
                <w:rFonts w:ascii="Verdana" w:hAnsi="Verdana" w:eastAsia="Times New Roman"/>
                <w:sz w:val="18"/>
                <w:szCs w:val="18"/>
              </w:rPr>
              <w:t>Herziening van de verordening betreffende informatieverschaffing over duurzaamheid in de financiële dienstensector</w:t>
            </w:r>
            <w:r w:rsidRPr="0086334D" w:rsidDel="00A80351">
              <w:rPr>
                <w:rFonts w:ascii="Verdana" w:hAnsi="Verdana" w:eastAsia="Times New Roman"/>
                <w:sz w:val="18"/>
                <w:szCs w:val="18"/>
              </w:rPr>
              <w:t xml:space="preserve"> </w:t>
            </w:r>
            <w:r w:rsidRPr="0086334D" w:rsidR="006A5B3C">
              <w:rPr>
                <w:rFonts w:ascii="Verdana" w:hAnsi="Verdana" w:eastAsia="Times New Roman"/>
                <w:sz w:val="18"/>
                <w:szCs w:val="18"/>
              </w:rPr>
              <w:t>(Q</w:t>
            </w:r>
            <w:r>
              <w:rPr>
                <w:rFonts w:ascii="Verdana" w:hAnsi="Verdana" w:eastAsia="Times New Roman"/>
                <w:sz w:val="18"/>
                <w:szCs w:val="18"/>
              </w:rPr>
              <w:t>4</w:t>
            </w:r>
            <w:r w:rsidRPr="0086334D" w:rsidR="006A5B3C">
              <w:rPr>
                <w:rFonts w:ascii="Verdana" w:hAnsi="Verdana" w:eastAsia="Times New Roman"/>
                <w:sz w:val="18"/>
                <w:szCs w:val="18"/>
              </w:rPr>
              <w:t xml:space="preserve"> 2025)</w:t>
            </w:r>
          </w:p>
        </w:tc>
        <w:tc>
          <w:tcPr>
            <w:tcW w:w="4678" w:type="dxa"/>
          </w:tcPr>
          <w:p w:rsidRPr="00D76BC8" w:rsidR="006A5B3C" w:rsidP="007C26FD" w:rsidRDefault="00450EAF" w14:paraId="69CFB3F8" w14:textId="2F4EFFCB">
            <w:pPr>
              <w:rPr>
                <w:rFonts w:ascii="Verdana" w:hAnsi="Verdana" w:cstheme="minorHAnsi"/>
                <w:color w:val="000000"/>
                <w:sz w:val="18"/>
                <w:szCs w:val="18"/>
              </w:rPr>
            </w:pPr>
            <w:r w:rsidRPr="00D76BC8">
              <w:rPr>
                <w:rFonts w:ascii="Verdana" w:hAnsi="Verdana"/>
                <w:sz w:val="18"/>
                <w:szCs w:val="18"/>
              </w:rPr>
              <w:t>Wetsvoorstel om de verordening informatieverschaffing over duurzaamheid in de financiële dienstensector aan te passen</w:t>
            </w:r>
            <w:r w:rsidR="00DA1A7F">
              <w:rPr>
                <w:rFonts w:ascii="Verdana" w:hAnsi="Verdana"/>
                <w:sz w:val="18"/>
                <w:szCs w:val="18"/>
              </w:rPr>
              <w:t>.</w:t>
            </w:r>
          </w:p>
        </w:tc>
        <w:tc>
          <w:tcPr>
            <w:tcW w:w="5812" w:type="dxa"/>
          </w:tcPr>
          <w:p w:rsidRPr="00D76BC8" w:rsidR="006A5B3C" w:rsidP="007C26FD" w:rsidRDefault="00450EAF" w14:paraId="60381559" w14:textId="2D509A2F">
            <w:pPr>
              <w:rPr>
                <w:rFonts w:ascii="Verdana" w:hAnsi="Verdana" w:cstheme="minorHAnsi"/>
                <w:color w:val="000000"/>
                <w:sz w:val="18"/>
                <w:szCs w:val="18"/>
              </w:rPr>
            </w:pPr>
            <w:r w:rsidRPr="00D76BC8">
              <w:rPr>
                <w:rFonts w:ascii="Verdana" w:hAnsi="Verdana"/>
                <w:sz w:val="18"/>
                <w:szCs w:val="18"/>
              </w:rPr>
              <w:t xml:space="preserve">Het kabinet kijkt uit naar de concrete voorstellen om deze verordening te verbeteren, met name daar waar het gaat om de samenhang met andere wetten zoals de richtlijn duurzaamheidsrapportering door ondernemingen en de </w:t>
            </w:r>
            <w:r w:rsidR="001C3BEC">
              <w:rPr>
                <w:rFonts w:ascii="Verdana" w:hAnsi="Verdana"/>
                <w:sz w:val="18"/>
                <w:szCs w:val="18"/>
              </w:rPr>
              <w:t>T</w:t>
            </w:r>
            <w:r w:rsidRPr="00D76BC8">
              <w:rPr>
                <w:rFonts w:ascii="Verdana" w:hAnsi="Verdana"/>
                <w:sz w:val="18"/>
                <w:szCs w:val="18"/>
              </w:rPr>
              <w:t xml:space="preserve">axonomieverordening. De samenhang met het </w:t>
            </w:r>
            <w:r w:rsidR="001C3BEC">
              <w:rPr>
                <w:rFonts w:ascii="Verdana" w:hAnsi="Verdana"/>
                <w:sz w:val="18"/>
                <w:szCs w:val="18"/>
              </w:rPr>
              <w:t>e</w:t>
            </w:r>
            <w:r w:rsidRPr="00D76BC8">
              <w:rPr>
                <w:rFonts w:ascii="Verdana" w:hAnsi="Verdana"/>
                <w:sz w:val="18"/>
                <w:szCs w:val="18"/>
              </w:rPr>
              <w:t>e</w:t>
            </w:r>
            <w:r w:rsidR="001C3BEC">
              <w:rPr>
                <w:rFonts w:ascii="Verdana" w:hAnsi="Verdana"/>
                <w:sz w:val="18"/>
                <w:szCs w:val="18"/>
              </w:rPr>
              <w:t>rste</w:t>
            </w:r>
            <w:r w:rsidRPr="00D76BC8">
              <w:rPr>
                <w:rFonts w:ascii="Verdana" w:hAnsi="Verdana"/>
                <w:sz w:val="18"/>
                <w:szCs w:val="18"/>
              </w:rPr>
              <w:t xml:space="preserve"> Omnibus</w:t>
            </w:r>
            <w:r w:rsidR="001C3BEC">
              <w:rPr>
                <w:rFonts w:ascii="Verdana" w:hAnsi="Verdana"/>
                <w:sz w:val="18"/>
                <w:szCs w:val="18"/>
              </w:rPr>
              <w:t>pakket</w:t>
            </w:r>
            <w:r w:rsidRPr="00D76BC8">
              <w:rPr>
                <w:rFonts w:ascii="Verdana" w:hAnsi="Verdana"/>
                <w:sz w:val="18"/>
                <w:szCs w:val="18"/>
              </w:rPr>
              <w:t xml:space="preserve"> moet worden gewaarborgd</w:t>
            </w:r>
            <w:r w:rsidR="001C3BEC">
              <w:rPr>
                <w:rFonts w:ascii="Verdana" w:hAnsi="Verdana"/>
                <w:sz w:val="18"/>
                <w:szCs w:val="18"/>
              </w:rPr>
              <w:t>.</w:t>
            </w:r>
          </w:p>
        </w:tc>
        <w:tc>
          <w:tcPr>
            <w:tcW w:w="1984" w:type="dxa"/>
          </w:tcPr>
          <w:p w:rsidRPr="00D76BC8" w:rsidR="006A5B3C" w:rsidP="007C26FD" w:rsidRDefault="006A5B3C" w14:paraId="6297D285" w14:textId="0925CCEB">
            <w:pPr>
              <w:rPr>
                <w:rFonts w:ascii="Verdana" w:hAnsi="Verdana" w:cstheme="minorHAnsi"/>
                <w:color w:val="000000"/>
                <w:sz w:val="18"/>
                <w:szCs w:val="18"/>
              </w:rPr>
            </w:pPr>
            <w:r w:rsidRPr="00D76BC8">
              <w:rPr>
                <w:rFonts w:ascii="Verdana" w:hAnsi="Verdana" w:cstheme="minorHAnsi"/>
                <w:color w:val="000000"/>
                <w:sz w:val="18"/>
                <w:szCs w:val="18"/>
              </w:rPr>
              <w:t>Wetgevend (incl. impact assessment)</w:t>
            </w:r>
          </w:p>
        </w:tc>
      </w:tr>
      <w:tr w:rsidRPr="00D76BC8" w:rsidR="005D66A0" w:rsidTr="0086334D" w14:paraId="2A72241D" w14:textId="77777777">
        <w:trPr>
          <w:trHeight w:val="895"/>
        </w:trPr>
        <w:tc>
          <w:tcPr>
            <w:tcW w:w="567" w:type="dxa"/>
          </w:tcPr>
          <w:p w:rsidRPr="00D76BC8" w:rsidR="005D66A0" w:rsidP="007C26FD" w:rsidRDefault="005D66A0" w14:paraId="441CC441" w14:textId="6DEDD11A">
            <w:pPr>
              <w:rPr>
                <w:rFonts w:ascii="Verdana" w:hAnsi="Verdana" w:eastAsia="Times New Roman"/>
                <w:sz w:val="18"/>
                <w:szCs w:val="18"/>
              </w:rPr>
            </w:pPr>
            <w:r w:rsidRPr="00D76BC8">
              <w:rPr>
                <w:rFonts w:ascii="Verdana" w:hAnsi="Verdana" w:eastAsia="Times New Roman"/>
                <w:sz w:val="18"/>
                <w:szCs w:val="18"/>
              </w:rPr>
              <w:t>7.</w:t>
            </w:r>
          </w:p>
        </w:tc>
        <w:tc>
          <w:tcPr>
            <w:tcW w:w="2410" w:type="dxa"/>
          </w:tcPr>
          <w:p w:rsidRPr="00D76BC8" w:rsidR="005D66A0" w:rsidP="007C26FD" w:rsidRDefault="00A80351" w14:paraId="1EA1C10A" w14:textId="0837CC21">
            <w:pPr>
              <w:rPr>
                <w:rFonts w:ascii="Verdana" w:hAnsi="Verdana" w:eastAsia="Times New Roman"/>
                <w:sz w:val="18"/>
                <w:szCs w:val="18"/>
                <w:lang w:val="en-US"/>
              </w:rPr>
            </w:pPr>
            <w:proofErr w:type="spellStart"/>
            <w:r w:rsidRPr="00A80351">
              <w:rPr>
                <w:rFonts w:ascii="Verdana" w:hAnsi="Verdana" w:eastAsia="Times New Roman"/>
                <w:sz w:val="18"/>
                <w:szCs w:val="18"/>
                <w:lang w:val="en-US"/>
              </w:rPr>
              <w:t>Digitaal</w:t>
            </w:r>
            <w:proofErr w:type="spellEnd"/>
            <w:r w:rsidRPr="00A80351">
              <w:rPr>
                <w:rFonts w:ascii="Verdana" w:hAnsi="Verdana" w:eastAsia="Times New Roman"/>
                <w:sz w:val="18"/>
                <w:szCs w:val="18"/>
                <w:lang w:val="en-US"/>
              </w:rPr>
              <w:t xml:space="preserve"> </w:t>
            </w:r>
            <w:proofErr w:type="spellStart"/>
            <w:r w:rsidRPr="00A80351">
              <w:rPr>
                <w:rFonts w:ascii="Verdana" w:hAnsi="Verdana" w:eastAsia="Times New Roman"/>
                <w:sz w:val="18"/>
                <w:szCs w:val="18"/>
                <w:lang w:val="en-US"/>
              </w:rPr>
              <w:t>pakket</w:t>
            </w:r>
            <w:proofErr w:type="spellEnd"/>
            <w:r w:rsidRPr="00A80351" w:rsidDel="00A80351">
              <w:rPr>
                <w:rFonts w:ascii="Verdana" w:hAnsi="Verdana" w:eastAsia="Times New Roman"/>
                <w:sz w:val="18"/>
                <w:szCs w:val="18"/>
                <w:lang w:val="en-US"/>
              </w:rPr>
              <w:t xml:space="preserve"> </w:t>
            </w:r>
            <w:r w:rsidRPr="00D76BC8" w:rsidR="005D66A0">
              <w:rPr>
                <w:rFonts w:ascii="Verdana" w:hAnsi="Verdana" w:eastAsia="Times New Roman"/>
                <w:sz w:val="18"/>
                <w:szCs w:val="18"/>
                <w:lang w:val="en-US"/>
              </w:rPr>
              <w:t>(Q4 2025)</w:t>
            </w:r>
          </w:p>
        </w:tc>
        <w:tc>
          <w:tcPr>
            <w:tcW w:w="4678" w:type="dxa"/>
          </w:tcPr>
          <w:p w:rsidRPr="00D76BC8" w:rsidR="005D66A0" w:rsidP="007C26FD" w:rsidRDefault="00DA1A7F" w14:paraId="3E7764CA" w14:textId="2A9BDCE1">
            <w:pPr>
              <w:rPr>
                <w:rFonts w:ascii="Verdana" w:hAnsi="Verdana"/>
                <w:sz w:val="18"/>
                <w:szCs w:val="18"/>
              </w:rPr>
            </w:pPr>
            <w:r>
              <w:rPr>
                <w:rFonts w:ascii="Verdana" w:hAnsi="Verdana"/>
                <w:sz w:val="18"/>
                <w:szCs w:val="18"/>
              </w:rPr>
              <w:t>De r</w:t>
            </w:r>
            <w:r w:rsidRPr="00D76BC8" w:rsidR="005D66A0">
              <w:rPr>
                <w:rFonts w:ascii="Verdana" w:hAnsi="Verdana"/>
                <w:sz w:val="18"/>
                <w:szCs w:val="18"/>
              </w:rPr>
              <w:t>eikwijdte van het voorstel</w:t>
            </w:r>
            <w:r>
              <w:rPr>
                <w:rFonts w:ascii="Verdana" w:hAnsi="Verdana"/>
                <w:sz w:val="18"/>
                <w:szCs w:val="18"/>
              </w:rPr>
              <w:t xml:space="preserve"> is</w:t>
            </w:r>
            <w:r w:rsidRPr="00D76BC8" w:rsidR="005D66A0">
              <w:rPr>
                <w:rFonts w:ascii="Verdana" w:hAnsi="Verdana"/>
                <w:sz w:val="18"/>
                <w:szCs w:val="18"/>
              </w:rPr>
              <w:t xml:space="preserve"> momenteel nog niet bekend, vermoedelijk betreft het de herziening van de Cyber Security Act (vereenvoudiging door versimpeling rapportageverplichtingen). </w:t>
            </w:r>
          </w:p>
        </w:tc>
        <w:tc>
          <w:tcPr>
            <w:tcW w:w="5812" w:type="dxa"/>
          </w:tcPr>
          <w:p w:rsidRPr="00D76BC8" w:rsidR="005D66A0" w:rsidP="007C26FD" w:rsidRDefault="001F380A" w14:paraId="05627027" w14:textId="0E590957">
            <w:pPr>
              <w:rPr>
                <w:rFonts w:ascii="Verdana" w:hAnsi="Verdana"/>
                <w:sz w:val="18"/>
                <w:szCs w:val="18"/>
              </w:rPr>
            </w:pPr>
            <w:r>
              <w:rPr>
                <w:rFonts w:ascii="Verdana" w:hAnsi="Verdana"/>
                <w:sz w:val="18"/>
                <w:szCs w:val="18"/>
              </w:rPr>
              <w:t xml:space="preserve">Het kabinet onderschrijft het doel van regeldrukvermindering. </w:t>
            </w:r>
            <w:r w:rsidRPr="00D76BC8" w:rsidR="005D66A0">
              <w:rPr>
                <w:rFonts w:ascii="Verdana" w:hAnsi="Verdana"/>
                <w:sz w:val="18"/>
                <w:szCs w:val="18"/>
              </w:rPr>
              <w:t xml:space="preserve">Het kabinet verwelkomt daarom inspanningen om </w:t>
            </w:r>
            <w:r w:rsidR="00544103">
              <w:rPr>
                <w:rFonts w:ascii="Verdana" w:hAnsi="Verdana"/>
                <w:sz w:val="18"/>
                <w:szCs w:val="18"/>
              </w:rPr>
              <w:t xml:space="preserve">het functioneren van het digitale wetboek </w:t>
            </w:r>
            <w:r w:rsidRPr="00D76BC8" w:rsidR="005D66A0">
              <w:rPr>
                <w:rFonts w:ascii="Verdana" w:hAnsi="Verdana"/>
                <w:sz w:val="18"/>
                <w:szCs w:val="18"/>
              </w:rPr>
              <w:t>te stroomlijnen, zonder de daarmee verband houdende beleidsdoelstellingen te ondermijnen.</w:t>
            </w:r>
            <w:r w:rsidR="00544103">
              <w:rPr>
                <w:rFonts w:ascii="Verdana" w:hAnsi="Verdana"/>
                <w:sz w:val="18"/>
                <w:szCs w:val="18"/>
              </w:rPr>
              <w:t xml:space="preserve"> </w:t>
            </w:r>
          </w:p>
        </w:tc>
        <w:tc>
          <w:tcPr>
            <w:tcW w:w="1984" w:type="dxa"/>
          </w:tcPr>
          <w:p w:rsidRPr="00D76BC8" w:rsidR="005D66A0" w:rsidP="007C26FD" w:rsidRDefault="005D66A0" w14:paraId="2C7548AF" w14:textId="4ED2058B">
            <w:pPr>
              <w:rPr>
                <w:rFonts w:ascii="Verdana" w:hAnsi="Verdana" w:cstheme="minorHAnsi"/>
                <w:color w:val="000000"/>
                <w:sz w:val="18"/>
                <w:szCs w:val="18"/>
                <w:lang w:val="en-US"/>
              </w:rPr>
            </w:pPr>
            <w:r w:rsidRPr="00D76BC8">
              <w:rPr>
                <w:rFonts w:ascii="Verdana" w:hAnsi="Verdana" w:cstheme="minorHAnsi"/>
                <w:color w:val="000000"/>
                <w:sz w:val="18"/>
                <w:szCs w:val="18"/>
              </w:rPr>
              <w:t>Wetgevend (incl. impact assessment)</w:t>
            </w:r>
          </w:p>
        </w:tc>
      </w:tr>
      <w:tr w:rsidRPr="00D76BC8" w:rsidR="005D66A0" w:rsidTr="0086334D" w14:paraId="7C54617B" w14:textId="77777777">
        <w:trPr>
          <w:trHeight w:val="895"/>
        </w:trPr>
        <w:tc>
          <w:tcPr>
            <w:tcW w:w="567" w:type="dxa"/>
          </w:tcPr>
          <w:p w:rsidRPr="00D76BC8" w:rsidR="005D66A0" w:rsidP="007C26FD" w:rsidRDefault="005D66A0" w14:paraId="030A479A" w14:textId="5B23D7F4">
            <w:pPr>
              <w:rPr>
                <w:rFonts w:ascii="Verdana" w:hAnsi="Verdana" w:eastAsia="Times New Roman"/>
                <w:sz w:val="18"/>
                <w:szCs w:val="18"/>
              </w:rPr>
            </w:pPr>
            <w:r w:rsidRPr="00D76BC8">
              <w:rPr>
                <w:rFonts w:ascii="Verdana" w:hAnsi="Verdana" w:eastAsia="Times New Roman"/>
                <w:sz w:val="18"/>
                <w:szCs w:val="18"/>
              </w:rPr>
              <w:t>8.</w:t>
            </w:r>
          </w:p>
        </w:tc>
        <w:tc>
          <w:tcPr>
            <w:tcW w:w="2410" w:type="dxa"/>
          </w:tcPr>
          <w:p w:rsidRPr="0086334D" w:rsidR="005D66A0" w:rsidP="007C26FD" w:rsidRDefault="00A80351" w14:paraId="3C698E9A" w14:textId="77810CA8">
            <w:pPr>
              <w:rPr>
                <w:rFonts w:ascii="Verdana" w:hAnsi="Verdana" w:eastAsia="Times New Roman"/>
                <w:sz w:val="18"/>
                <w:szCs w:val="18"/>
              </w:rPr>
            </w:pPr>
            <w:r w:rsidRPr="0086334D">
              <w:rPr>
                <w:rFonts w:ascii="Verdana" w:hAnsi="Verdana" w:eastAsia="Times New Roman"/>
                <w:sz w:val="18"/>
                <w:szCs w:val="18"/>
              </w:rPr>
              <w:t xml:space="preserve">Europese portemonnee voor ondernemingen </w:t>
            </w:r>
            <w:r>
              <w:rPr>
                <w:rFonts w:ascii="Verdana" w:hAnsi="Verdana" w:eastAsia="Times New Roman"/>
                <w:sz w:val="18"/>
                <w:szCs w:val="18"/>
              </w:rPr>
              <w:t>(</w:t>
            </w:r>
            <w:r w:rsidRPr="0086334D" w:rsidR="005D66A0">
              <w:rPr>
                <w:rFonts w:ascii="Verdana" w:hAnsi="Verdana" w:eastAsia="Times New Roman"/>
                <w:sz w:val="18"/>
                <w:szCs w:val="18"/>
              </w:rPr>
              <w:t>European Business Wallet</w:t>
            </w:r>
            <w:r>
              <w:rPr>
                <w:rFonts w:ascii="Verdana" w:hAnsi="Verdana" w:eastAsia="Times New Roman"/>
                <w:sz w:val="18"/>
                <w:szCs w:val="18"/>
              </w:rPr>
              <w:t>)</w:t>
            </w:r>
            <w:r w:rsidRPr="0086334D" w:rsidR="005D66A0">
              <w:rPr>
                <w:rFonts w:ascii="Verdana" w:hAnsi="Verdana" w:eastAsia="Times New Roman"/>
                <w:sz w:val="18"/>
                <w:szCs w:val="18"/>
              </w:rPr>
              <w:t xml:space="preserve"> (Q4 2025)</w:t>
            </w:r>
          </w:p>
        </w:tc>
        <w:tc>
          <w:tcPr>
            <w:tcW w:w="4678" w:type="dxa"/>
          </w:tcPr>
          <w:p w:rsidRPr="00D76BC8" w:rsidR="005D66A0" w:rsidP="007C26FD" w:rsidRDefault="005D66A0" w14:paraId="38907181" w14:textId="2E82226F">
            <w:pPr>
              <w:rPr>
                <w:rFonts w:ascii="Verdana" w:hAnsi="Verdana"/>
                <w:sz w:val="18"/>
                <w:szCs w:val="18"/>
              </w:rPr>
            </w:pPr>
            <w:r w:rsidRPr="00D76BC8">
              <w:rPr>
                <w:rFonts w:ascii="Verdana" w:hAnsi="Verdana" w:cs="Calibri"/>
                <w:sz w:val="18"/>
                <w:szCs w:val="18"/>
              </w:rPr>
              <w:t xml:space="preserve">Business </w:t>
            </w:r>
            <w:proofErr w:type="spellStart"/>
            <w:r w:rsidRPr="00D76BC8">
              <w:rPr>
                <w:rFonts w:ascii="Verdana" w:hAnsi="Verdana" w:cs="Calibri"/>
                <w:sz w:val="18"/>
                <w:szCs w:val="18"/>
              </w:rPr>
              <w:t>wallets</w:t>
            </w:r>
            <w:proofErr w:type="spellEnd"/>
            <w:r w:rsidRPr="00D76BC8">
              <w:rPr>
                <w:rFonts w:ascii="Verdana" w:hAnsi="Verdana" w:cs="Calibri"/>
                <w:sz w:val="18"/>
                <w:szCs w:val="18"/>
              </w:rPr>
              <w:t xml:space="preserve"> maken deel uit van een nieuw plan voor duurzame welvaart en concurrentievermogen in Europa. </w:t>
            </w:r>
            <w:r w:rsidRPr="00D76BC8">
              <w:rPr>
                <w:rFonts w:ascii="Verdana" w:hAnsi="Verdana"/>
                <w:sz w:val="18"/>
                <w:szCs w:val="18"/>
              </w:rPr>
              <w:t xml:space="preserve">De European Business Wallet heeft als doel transacties tussen </w:t>
            </w:r>
            <w:r w:rsidR="000A2C96">
              <w:rPr>
                <w:rFonts w:ascii="Verdana" w:hAnsi="Verdana"/>
                <w:sz w:val="18"/>
                <w:szCs w:val="18"/>
              </w:rPr>
              <w:t xml:space="preserve">bedrijven aan bedrijven </w:t>
            </w:r>
            <w:r w:rsidRPr="00D76BC8">
              <w:rPr>
                <w:rFonts w:ascii="Verdana" w:hAnsi="Verdana"/>
                <w:sz w:val="18"/>
                <w:szCs w:val="18"/>
              </w:rPr>
              <w:t>en</w:t>
            </w:r>
            <w:r w:rsidR="000A2C96">
              <w:rPr>
                <w:rFonts w:ascii="Verdana" w:hAnsi="Verdana"/>
                <w:sz w:val="18"/>
                <w:szCs w:val="18"/>
              </w:rPr>
              <w:t xml:space="preserve"> </w:t>
            </w:r>
            <w:r w:rsidR="00ED7D40">
              <w:rPr>
                <w:rFonts w:ascii="Verdana" w:hAnsi="Verdana"/>
                <w:sz w:val="18"/>
                <w:szCs w:val="18"/>
              </w:rPr>
              <w:t xml:space="preserve">van </w:t>
            </w:r>
            <w:r w:rsidR="000A2C96">
              <w:rPr>
                <w:rFonts w:ascii="Verdana" w:hAnsi="Verdana"/>
                <w:sz w:val="18"/>
                <w:szCs w:val="18"/>
              </w:rPr>
              <w:t xml:space="preserve">bedrijven aan overheidsinstanties </w:t>
            </w:r>
            <w:r w:rsidRPr="00D76BC8">
              <w:rPr>
                <w:rFonts w:ascii="Verdana" w:hAnsi="Verdana"/>
                <w:sz w:val="18"/>
                <w:szCs w:val="18"/>
              </w:rPr>
              <w:t>te vereenvoudigen. Naast het faciliteren van veilige gegevensuitwisseling zal de wallet nieuwe zakelijke kansen creëren voor aanbieders van vertrouwensdiensten.</w:t>
            </w:r>
          </w:p>
        </w:tc>
        <w:tc>
          <w:tcPr>
            <w:tcW w:w="5812" w:type="dxa"/>
          </w:tcPr>
          <w:p w:rsidRPr="00D76BC8" w:rsidR="005D66A0" w:rsidP="007C26FD" w:rsidRDefault="000A2C96" w14:paraId="185F3E41" w14:textId="1872BF4A">
            <w:pPr>
              <w:rPr>
                <w:rFonts w:ascii="Verdana" w:hAnsi="Verdana"/>
                <w:sz w:val="18"/>
                <w:szCs w:val="18"/>
              </w:rPr>
            </w:pPr>
            <w:r>
              <w:rPr>
                <w:rFonts w:ascii="Verdana" w:hAnsi="Verdana" w:cs="Calibri"/>
                <w:sz w:val="18"/>
                <w:szCs w:val="18"/>
              </w:rPr>
              <w:t>Het kabinet</w:t>
            </w:r>
            <w:r w:rsidRPr="00D76BC8">
              <w:rPr>
                <w:rFonts w:ascii="Verdana" w:hAnsi="Verdana" w:cs="Calibri"/>
                <w:sz w:val="18"/>
                <w:szCs w:val="18"/>
              </w:rPr>
              <w:t xml:space="preserve"> </w:t>
            </w:r>
            <w:r w:rsidRPr="00D76BC8" w:rsidR="005D66A0">
              <w:rPr>
                <w:rFonts w:ascii="Verdana" w:hAnsi="Verdana" w:cs="Calibri"/>
                <w:sz w:val="18"/>
                <w:szCs w:val="18"/>
              </w:rPr>
              <w:t xml:space="preserve">staat positief tegenover de verdere ontwikkeling van business </w:t>
            </w:r>
            <w:proofErr w:type="spellStart"/>
            <w:r w:rsidRPr="00D76BC8" w:rsidR="005D66A0">
              <w:rPr>
                <w:rFonts w:ascii="Verdana" w:hAnsi="Verdana" w:cs="Calibri"/>
                <w:sz w:val="18"/>
                <w:szCs w:val="18"/>
              </w:rPr>
              <w:t>wallets</w:t>
            </w:r>
            <w:proofErr w:type="spellEnd"/>
            <w:r w:rsidRPr="00D76BC8" w:rsidR="005D66A0">
              <w:rPr>
                <w:rFonts w:ascii="Verdana" w:hAnsi="Verdana" w:cs="Calibri"/>
                <w:sz w:val="18"/>
                <w:szCs w:val="18"/>
              </w:rPr>
              <w:t xml:space="preserve">. </w:t>
            </w:r>
            <w:r w:rsidR="00D76BC8">
              <w:rPr>
                <w:rFonts w:ascii="Verdana" w:hAnsi="Verdana" w:cs="Calibri"/>
                <w:sz w:val="18"/>
                <w:szCs w:val="18"/>
              </w:rPr>
              <w:t>Deze</w:t>
            </w:r>
            <w:r w:rsidRPr="00D76BC8" w:rsidR="005D66A0">
              <w:rPr>
                <w:rFonts w:ascii="Verdana" w:hAnsi="Verdana" w:cs="Calibri"/>
                <w:sz w:val="18"/>
                <w:szCs w:val="18"/>
              </w:rPr>
              <w:t xml:space="preserve"> kunnen het Nederlandse bedrijfsleven helpen bij het verlagen van de administratieve lasten, het vereenvoudigen en realiseren van veilige en betrouwbare gegevensuitwisseling en het aanjagen van de digitale economie. Het kader vanuit de </w:t>
            </w:r>
            <w:proofErr w:type="spellStart"/>
            <w:r w:rsidRPr="00D76BC8" w:rsidR="005D66A0">
              <w:rPr>
                <w:rFonts w:ascii="Verdana" w:hAnsi="Verdana" w:cs="Calibri"/>
                <w:sz w:val="18"/>
                <w:szCs w:val="18"/>
              </w:rPr>
              <w:t>eIDAS</w:t>
            </w:r>
            <w:proofErr w:type="spellEnd"/>
            <w:r>
              <w:rPr>
                <w:rFonts w:ascii="Verdana" w:hAnsi="Verdana" w:cs="Calibri"/>
                <w:sz w:val="18"/>
                <w:szCs w:val="18"/>
              </w:rPr>
              <w:t>-</w:t>
            </w:r>
            <w:r w:rsidRPr="00D76BC8" w:rsidR="005D66A0">
              <w:rPr>
                <w:rFonts w:ascii="Verdana" w:hAnsi="Verdana" w:cs="Calibri"/>
                <w:sz w:val="18"/>
                <w:szCs w:val="18"/>
              </w:rPr>
              <w:t xml:space="preserve">verordening geeft al een adequate wettelijke basis. Om business </w:t>
            </w:r>
            <w:proofErr w:type="spellStart"/>
            <w:r w:rsidRPr="00D76BC8" w:rsidR="005D66A0">
              <w:rPr>
                <w:rFonts w:ascii="Verdana" w:hAnsi="Verdana" w:cs="Calibri"/>
                <w:sz w:val="18"/>
                <w:szCs w:val="18"/>
              </w:rPr>
              <w:t>wallets</w:t>
            </w:r>
            <w:proofErr w:type="spellEnd"/>
            <w:r w:rsidRPr="00D76BC8" w:rsidR="005D66A0">
              <w:rPr>
                <w:rFonts w:ascii="Verdana" w:hAnsi="Verdana" w:cs="Calibri"/>
                <w:sz w:val="18"/>
                <w:szCs w:val="18"/>
              </w:rPr>
              <w:t xml:space="preserve"> succesvol te maken is een </w:t>
            </w:r>
            <w:proofErr w:type="spellStart"/>
            <w:r w:rsidRPr="0086334D" w:rsidR="005D66A0">
              <w:rPr>
                <w:rFonts w:ascii="Verdana" w:hAnsi="Verdana" w:cs="Calibri"/>
                <w:i/>
                <w:iCs/>
                <w:sz w:val="18"/>
                <w:szCs w:val="18"/>
              </w:rPr>
              <w:t>use</w:t>
            </w:r>
            <w:proofErr w:type="spellEnd"/>
            <w:r w:rsidRPr="0086334D" w:rsidR="005D66A0">
              <w:rPr>
                <w:rFonts w:ascii="Verdana" w:hAnsi="Verdana" w:cs="Calibri"/>
                <w:i/>
                <w:iCs/>
                <w:sz w:val="18"/>
                <w:szCs w:val="18"/>
              </w:rPr>
              <w:t xml:space="preserve"> case</w:t>
            </w:r>
            <w:r w:rsidRPr="00D76BC8" w:rsidR="005D66A0">
              <w:rPr>
                <w:rFonts w:ascii="Verdana" w:hAnsi="Verdana" w:cs="Calibri"/>
                <w:sz w:val="18"/>
                <w:szCs w:val="18"/>
              </w:rPr>
              <w:t xml:space="preserve"> gerichte aanpak nodig</w:t>
            </w:r>
            <w:r w:rsidR="009F1824">
              <w:rPr>
                <w:rFonts w:ascii="Verdana" w:hAnsi="Verdana" w:cs="Calibri"/>
                <w:sz w:val="18"/>
                <w:szCs w:val="18"/>
              </w:rPr>
              <w:t xml:space="preserve"> (</w:t>
            </w:r>
            <w:r w:rsidRPr="009F1824" w:rsidR="009F1824">
              <w:rPr>
                <w:rFonts w:ascii="Verdana" w:hAnsi="Verdana" w:cs="Calibri"/>
                <w:sz w:val="18"/>
                <w:szCs w:val="18"/>
              </w:rPr>
              <w:t>concrete gebruiksscenario’s</w:t>
            </w:r>
            <w:r w:rsidR="009F1824">
              <w:rPr>
                <w:rFonts w:ascii="Verdana" w:hAnsi="Verdana" w:cs="Calibri"/>
                <w:sz w:val="18"/>
                <w:szCs w:val="18"/>
              </w:rPr>
              <w:t>)</w:t>
            </w:r>
            <w:r w:rsidRPr="00D76BC8" w:rsidR="005D66A0">
              <w:rPr>
                <w:rFonts w:ascii="Verdana" w:hAnsi="Verdana" w:cs="Calibri"/>
                <w:sz w:val="18"/>
                <w:szCs w:val="18"/>
              </w:rPr>
              <w:t xml:space="preserve">, met betrokkenheid van het hele ecosysteem. Nederland zal hieraan in nationaal en Europees verband bijdragen, onder andere middels deelname aan Large </w:t>
            </w:r>
            <w:proofErr w:type="spellStart"/>
            <w:r w:rsidRPr="00D76BC8" w:rsidR="005D66A0">
              <w:rPr>
                <w:rFonts w:ascii="Verdana" w:hAnsi="Verdana" w:cs="Calibri"/>
                <w:sz w:val="18"/>
                <w:szCs w:val="18"/>
              </w:rPr>
              <w:t>Scale</w:t>
            </w:r>
            <w:proofErr w:type="spellEnd"/>
            <w:r w:rsidRPr="00D76BC8" w:rsidR="005D66A0">
              <w:rPr>
                <w:rFonts w:ascii="Verdana" w:hAnsi="Verdana" w:cs="Calibri"/>
                <w:sz w:val="18"/>
                <w:szCs w:val="18"/>
              </w:rPr>
              <w:t xml:space="preserve"> Pilots. </w:t>
            </w:r>
          </w:p>
        </w:tc>
        <w:tc>
          <w:tcPr>
            <w:tcW w:w="1984" w:type="dxa"/>
          </w:tcPr>
          <w:p w:rsidRPr="00D76BC8" w:rsidR="005D66A0" w:rsidP="007C26FD" w:rsidRDefault="005D66A0" w14:paraId="18E3F5AB" w14:textId="6018E419">
            <w:pPr>
              <w:rPr>
                <w:rFonts w:ascii="Verdana" w:hAnsi="Verdana" w:cstheme="minorHAnsi"/>
                <w:color w:val="000000"/>
                <w:sz w:val="18"/>
                <w:szCs w:val="18"/>
              </w:rPr>
            </w:pPr>
            <w:r w:rsidRPr="00D76BC8">
              <w:rPr>
                <w:rFonts w:ascii="Verdana" w:hAnsi="Verdana" w:cstheme="minorHAnsi"/>
                <w:color w:val="000000"/>
                <w:sz w:val="18"/>
                <w:szCs w:val="18"/>
              </w:rPr>
              <w:t>Wetgevend (incl. impact assessment)</w:t>
            </w:r>
          </w:p>
        </w:tc>
      </w:tr>
      <w:tr w:rsidRPr="00D76BC8" w:rsidR="005D66A0" w:rsidTr="0086334D" w14:paraId="0CA59EF8" w14:textId="77777777">
        <w:trPr>
          <w:trHeight w:val="441"/>
        </w:trPr>
        <w:tc>
          <w:tcPr>
            <w:tcW w:w="567" w:type="dxa"/>
          </w:tcPr>
          <w:p w:rsidRPr="00D76BC8" w:rsidR="005D66A0" w:rsidP="007C26FD" w:rsidRDefault="005D66A0" w14:paraId="72642C58" w14:textId="0332C98F">
            <w:pPr>
              <w:rPr>
                <w:rFonts w:ascii="Verdana" w:hAnsi="Verdana" w:eastAsia="Times New Roman"/>
                <w:sz w:val="18"/>
                <w:szCs w:val="18"/>
              </w:rPr>
            </w:pPr>
            <w:r w:rsidRPr="00D76BC8">
              <w:rPr>
                <w:rFonts w:ascii="Verdana" w:hAnsi="Verdana" w:eastAsia="Times New Roman"/>
                <w:sz w:val="18"/>
                <w:szCs w:val="18"/>
              </w:rPr>
              <w:t>9</w:t>
            </w:r>
            <w:r w:rsidRPr="00D76BC8" w:rsidR="0024513B">
              <w:rPr>
                <w:rFonts w:ascii="Verdana" w:hAnsi="Verdana" w:eastAsia="Times New Roman"/>
                <w:sz w:val="18"/>
                <w:szCs w:val="18"/>
              </w:rPr>
              <w:t>a</w:t>
            </w:r>
            <w:r w:rsidRPr="00D76BC8">
              <w:rPr>
                <w:rFonts w:ascii="Verdana" w:hAnsi="Verdana" w:eastAsia="Times New Roman"/>
                <w:sz w:val="18"/>
                <w:szCs w:val="18"/>
              </w:rPr>
              <w:t>.</w:t>
            </w:r>
          </w:p>
        </w:tc>
        <w:tc>
          <w:tcPr>
            <w:tcW w:w="2410" w:type="dxa"/>
          </w:tcPr>
          <w:p w:rsidRPr="00D76BC8" w:rsidR="005D66A0" w:rsidP="007C26FD" w:rsidRDefault="005D66A0" w14:paraId="03919E03" w14:textId="77777777">
            <w:pPr>
              <w:rPr>
                <w:rFonts w:ascii="Verdana" w:hAnsi="Verdana" w:eastAsia="Times New Roman"/>
                <w:sz w:val="18"/>
                <w:szCs w:val="18"/>
                <w:lang w:val="en-US"/>
              </w:rPr>
            </w:pPr>
            <w:r w:rsidRPr="00D76BC8">
              <w:rPr>
                <w:rFonts w:ascii="Verdana" w:hAnsi="Verdana" w:eastAsia="Times New Roman"/>
                <w:sz w:val="18"/>
                <w:szCs w:val="18"/>
                <w:lang w:val="en-US"/>
              </w:rPr>
              <w:t>Clean Industrial Deal (Q1 2025)</w:t>
            </w:r>
          </w:p>
          <w:p w:rsidRPr="00D76BC8" w:rsidR="005D66A0" w:rsidP="007C26FD" w:rsidRDefault="005D66A0" w14:paraId="1326ACBF" w14:textId="77777777">
            <w:pPr>
              <w:rPr>
                <w:rFonts w:ascii="Verdana" w:hAnsi="Verdana" w:eastAsia="Times New Roman"/>
                <w:sz w:val="18"/>
                <w:szCs w:val="18"/>
                <w:lang w:val="en-US"/>
              </w:rPr>
            </w:pPr>
          </w:p>
          <w:p w:rsidRPr="00D76BC8" w:rsidR="005D66A0" w:rsidP="007C26FD" w:rsidRDefault="005D66A0" w14:paraId="08060E34" w14:textId="3A0A16C3">
            <w:pPr>
              <w:rPr>
                <w:rFonts w:ascii="Verdana" w:hAnsi="Verdana" w:eastAsia="Times New Roman"/>
                <w:sz w:val="18"/>
                <w:szCs w:val="18"/>
                <w:lang w:val="en-US"/>
              </w:rPr>
            </w:pPr>
          </w:p>
        </w:tc>
        <w:tc>
          <w:tcPr>
            <w:tcW w:w="4678" w:type="dxa"/>
          </w:tcPr>
          <w:p w:rsidRPr="00D76BC8" w:rsidR="005D66A0" w:rsidP="007C26FD" w:rsidRDefault="0024513B" w14:paraId="6B5B9976" w14:textId="4711D12C">
            <w:pPr>
              <w:rPr>
                <w:rFonts w:ascii="Verdana" w:hAnsi="Verdana"/>
                <w:sz w:val="18"/>
                <w:szCs w:val="18"/>
              </w:rPr>
            </w:pPr>
            <w:r w:rsidRPr="0086334D">
              <w:rPr>
                <w:rFonts w:ascii="Verdana" w:hAnsi="Verdana"/>
                <w:sz w:val="18"/>
                <w:szCs w:val="18"/>
              </w:rPr>
              <w:t xml:space="preserve">De </w:t>
            </w:r>
            <w:r w:rsidRPr="0086334D" w:rsidR="005D66A0">
              <w:rPr>
                <w:rFonts w:ascii="Verdana" w:hAnsi="Verdana"/>
                <w:sz w:val="18"/>
                <w:szCs w:val="18"/>
              </w:rPr>
              <w:t>Clean Industrial Deal</w:t>
            </w:r>
            <w:r w:rsidRPr="00D76BC8">
              <w:rPr>
                <w:rFonts w:ascii="Verdana" w:hAnsi="Verdana"/>
                <w:sz w:val="18"/>
                <w:szCs w:val="18"/>
              </w:rPr>
              <w:t xml:space="preserve"> (</w:t>
            </w:r>
            <w:r w:rsidRPr="00D76BC8" w:rsidR="005D66A0">
              <w:rPr>
                <w:rFonts w:ascii="Verdana" w:hAnsi="Verdana"/>
                <w:sz w:val="18"/>
                <w:szCs w:val="18"/>
              </w:rPr>
              <w:t>CID</w:t>
            </w:r>
            <w:r w:rsidRPr="00D76BC8">
              <w:rPr>
                <w:rFonts w:ascii="Verdana" w:hAnsi="Verdana"/>
                <w:sz w:val="18"/>
                <w:szCs w:val="18"/>
              </w:rPr>
              <w:t>)</w:t>
            </w:r>
            <w:r w:rsidRPr="00D76BC8" w:rsidR="005D66A0">
              <w:rPr>
                <w:rFonts w:ascii="Verdana" w:hAnsi="Verdana"/>
                <w:sz w:val="18"/>
                <w:szCs w:val="18"/>
              </w:rPr>
              <w:t xml:space="preserve"> is een </w:t>
            </w:r>
            <w:r w:rsidR="000A2C96">
              <w:rPr>
                <w:rFonts w:ascii="Verdana" w:hAnsi="Verdana"/>
                <w:sz w:val="18"/>
                <w:szCs w:val="18"/>
              </w:rPr>
              <w:t>mededeling</w:t>
            </w:r>
            <w:r w:rsidRPr="00D76BC8" w:rsidR="005D66A0">
              <w:rPr>
                <w:rFonts w:ascii="Verdana" w:hAnsi="Verdana"/>
                <w:sz w:val="18"/>
                <w:szCs w:val="18"/>
              </w:rPr>
              <w:t xml:space="preserve"> </w:t>
            </w:r>
            <w:r w:rsidR="000A2C96">
              <w:rPr>
                <w:rFonts w:ascii="Verdana" w:hAnsi="Verdana"/>
                <w:sz w:val="18"/>
                <w:szCs w:val="18"/>
              </w:rPr>
              <w:t xml:space="preserve">met </w:t>
            </w:r>
            <w:r w:rsidR="00D50EEA">
              <w:rPr>
                <w:rFonts w:ascii="Verdana" w:hAnsi="Verdana"/>
                <w:sz w:val="18"/>
                <w:szCs w:val="18"/>
              </w:rPr>
              <w:t>als</w:t>
            </w:r>
            <w:r w:rsidR="000A2C96">
              <w:rPr>
                <w:rFonts w:ascii="Verdana" w:hAnsi="Verdana"/>
                <w:sz w:val="18"/>
                <w:szCs w:val="18"/>
              </w:rPr>
              <w:t xml:space="preserve"> centrale doelstelling het verstevigen van</w:t>
            </w:r>
            <w:r w:rsidRPr="00D76BC8" w:rsidR="005D66A0">
              <w:rPr>
                <w:rFonts w:ascii="Verdana" w:hAnsi="Verdana"/>
                <w:sz w:val="18"/>
                <w:szCs w:val="18"/>
              </w:rPr>
              <w:t xml:space="preserve"> concurrentievermogen en weerbaarheid in de context van het behalen</w:t>
            </w:r>
            <w:r w:rsidR="00D50EEA">
              <w:rPr>
                <w:rFonts w:ascii="Verdana" w:hAnsi="Verdana"/>
                <w:sz w:val="18"/>
                <w:szCs w:val="18"/>
              </w:rPr>
              <w:t xml:space="preserve"> </w:t>
            </w:r>
            <w:r w:rsidRPr="00D76BC8" w:rsidR="005D66A0">
              <w:rPr>
                <w:rFonts w:ascii="Verdana" w:hAnsi="Verdana"/>
                <w:sz w:val="18"/>
                <w:szCs w:val="18"/>
              </w:rPr>
              <w:t xml:space="preserve">van de klimaatdoelstellingen. </w:t>
            </w:r>
            <w:r w:rsidR="00D50EEA">
              <w:rPr>
                <w:rFonts w:ascii="Verdana" w:hAnsi="Verdana"/>
                <w:sz w:val="18"/>
                <w:szCs w:val="18"/>
              </w:rPr>
              <w:t xml:space="preserve">De </w:t>
            </w:r>
            <w:r w:rsidRPr="00D76BC8" w:rsidR="005D66A0">
              <w:rPr>
                <w:rFonts w:ascii="Verdana" w:hAnsi="Verdana"/>
                <w:sz w:val="18"/>
                <w:szCs w:val="18"/>
              </w:rPr>
              <w:t xml:space="preserve">CID bestaat uit </w:t>
            </w:r>
            <w:r w:rsidRPr="00C11C92" w:rsidR="00C11C92">
              <w:rPr>
                <w:rFonts w:ascii="Verdana" w:hAnsi="Verdana"/>
                <w:sz w:val="18"/>
                <w:szCs w:val="18"/>
              </w:rPr>
              <w:t>zeven</w:t>
            </w:r>
            <w:r w:rsidRPr="00D76BC8" w:rsidR="0049508B">
              <w:rPr>
                <w:rFonts w:ascii="Verdana" w:hAnsi="Verdana"/>
                <w:sz w:val="18"/>
                <w:szCs w:val="18"/>
              </w:rPr>
              <w:t xml:space="preserve"> </w:t>
            </w:r>
            <w:r w:rsidR="00D50EEA">
              <w:rPr>
                <w:rFonts w:ascii="Verdana" w:hAnsi="Verdana"/>
                <w:sz w:val="18"/>
                <w:szCs w:val="18"/>
              </w:rPr>
              <w:t>drijfveren</w:t>
            </w:r>
            <w:r w:rsidRPr="00D76BC8" w:rsidR="005D66A0">
              <w:rPr>
                <w:rFonts w:ascii="Verdana" w:hAnsi="Verdana"/>
                <w:sz w:val="18"/>
                <w:szCs w:val="18"/>
              </w:rPr>
              <w:t xml:space="preserve">: </w:t>
            </w:r>
            <w:r w:rsidR="00D50EEA">
              <w:rPr>
                <w:rFonts w:ascii="Verdana" w:hAnsi="Verdana"/>
                <w:sz w:val="18"/>
                <w:szCs w:val="18"/>
              </w:rPr>
              <w:t>1</w:t>
            </w:r>
            <w:r w:rsidRPr="00D76BC8">
              <w:rPr>
                <w:rFonts w:ascii="Verdana" w:hAnsi="Verdana"/>
                <w:sz w:val="18"/>
                <w:szCs w:val="18"/>
              </w:rPr>
              <w:t xml:space="preserve">) </w:t>
            </w:r>
            <w:r w:rsidR="00F75B41">
              <w:rPr>
                <w:rFonts w:ascii="Verdana" w:hAnsi="Verdana"/>
                <w:sz w:val="18"/>
                <w:szCs w:val="18"/>
              </w:rPr>
              <w:t xml:space="preserve">lead </w:t>
            </w:r>
            <w:r w:rsidR="00A97D43">
              <w:rPr>
                <w:rFonts w:ascii="Verdana" w:hAnsi="Verdana"/>
                <w:sz w:val="18"/>
                <w:szCs w:val="18"/>
              </w:rPr>
              <w:t>markten</w:t>
            </w:r>
            <w:r w:rsidR="00D50EEA">
              <w:rPr>
                <w:rFonts w:ascii="Verdana" w:hAnsi="Verdana"/>
                <w:sz w:val="18"/>
                <w:szCs w:val="18"/>
              </w:rPr>
              <w:t xml:space="preserve">; </w:t>
            </w:r>
            <w:r w:rsidRPr="00C11C92" w:rsidR="00C11C92">
              <w:rPr>
                <w:rFonts w:ascii="Verdana" w:hAnsi="Verdana"/>
                <w:sz w:val="18"/>
                <w:szCs w:val="18"/>
              </w:rPr>
              <w:t>2</w:t>
            </w:r>
            <w:r w:rsidR="00D50EEA">
              <w:rPr>
                <w:rFonts w:ascii="Verdana" w:hAnsi="Verdana"/>
                <w:sz w:val="18"/>
                <w:szCs w:val="18"/>
              </w:rPr>
              <w:t>)</w:t>
            </w:r>
            <w:r w:rsidRPr="00D76BC8">
              <w:rPr>
                <w:rFonts w:ascii="Verdana" w:hAnsi="Verdana"/>
                <w:sz w:val="18"/>
                <w:szCs w:val="18"/>
              </w:rPr>
              <w:t xml:space="preserve"> </w:t>
            </w:r>
            <w:r w:rsidR="00D50EEA">
              <w:rPr>
                <w:rFonts w:ascii="Verdana" w:hAnsi="Verdana"/>
                <w:sz w:val="18"/>
                <w:szCs w:val="18"/>
              </w:rPr>
              <w:t xml:space="preserve">financiering; </w:t>
            </w:r>
            <w:r w:rsidRPr="00C11C92" w:rsidR="00C11C92">
              <w:rPr>
                <w:rFonts w:ascii="Verdana" w:hAnsi="Verdana"/>
                <w:sz w:val="18"/>
                <w:szCs w:val="18"/>
              </w:rPr>
              <w:t>3</w:t>
            </w:r>
            <w:r w:rsidR="00D50EEA">
              <w:rPr>
                <w:rFonts w:ascii="Verdana" w:hAnsi="Verdana"/>
                <w:sz w:val="18"/>
                <w:szCs w:val="18"/>
              </w:rPr>
              <w:t>) circulariteit en toegang tot</w:t>
            </w:r>
            <w:r w:rsidRPr="00D76BC8">
              <w:rPr>
                <w:rFonts w:ascii="Verdana" w:hAnsi="Verdana"/>
                <w:sz w:val="18"/>
                <w:szCs w:val="18"/>
              </w:rPr>
              <w:t xml:space="preserve"> </w:t>
            </w:r>
            <w:r w:rsidRPr="00D76BC8" w:rsidR="00D50EEA">
              <w:rPr>
                <w:rFonts w:ascii="Verdana" w:hAnsi="Verdana"/>
                <w:sz w:val="18"/>
                <w:szCs w:val="18"/>
              </w:rPr>
              <w:t>materialen en grondstoffen</w:t>
            </w:r>
            <w:r w:rsidR="00D50EEA">
              <w:rPr>
                <w:rFonts w:ascii="Verdana" w:hAnsi="Verdana"/>
                <w:sz w:val="18"/>
                <w:szCs w:val="18"/>
              </w:rPr>
              <w:t xml:space="preserve">; </w:t>
            </w:r>
            <w:r w:rsidRPr="00C11C92" w:rsidR="00C11C92">
              <w:rPr>
                <w:rFonts w:ascii="Verdana" w:hAnsi="Verdana"/>
                <w:sz w:val="18"/>
                <w:szCs w:val="18"/>
              </w:rPr>
              <w:t>4</w:t>
            </w:r>
            <w:r w:rsidR="00D50EEA">
              <w:rPr>
                <w:rFonts w:ascii="Verdana" w:hAnsi="Verdana"/>
                <w:sz w:val="18"/>
                <w:szCs w:val="18"/>
              </w:rPr>
              <w:t xml:space="preserve">) internationale </w:t>
            </w:r>
            <w:r w:rsidR="00D50EEA">
              <w:rPr>
                <w:rFonts w:ascii="Verdana" w:hAnsi="Verdana"/>
                <w:sz w:val="18"/>
                <w:szCs w:val="18"/>
              </w:rPr>
              <w:lastRenderedPageBreak/>
              <w:t xml:space="preserve">markten en partnerschappen; </w:t>
            </w:r>
            <w:r w:rsidRPr="00C11C92" w:rsidR="00C11C92">
              <w:rPr>
                <w:rFonts w:ascii="Verdana" w:hAnsi="Verdana"/>
                <w:sz w:val="18"/>
                <w:szCs w:val="18"/>
              </w:rPr>
              <w:t xml:space="preserve">5) rechtvaardige transitie en vaardigheden; </w:t>
            </w:r>
            <w:r w:rsidR="00D50EEA">
              <w:rPr>
                <w:rFonts w:ascii="Verdana" w:hAnsi="Verdana"/>
                <w:sz w:val="18"/>
                <w:szCs w:val="18"/>
              </w:rPr>
              <w:t xml:space="preserve">6) </w:t>
            </w:r>
            <w:r w:rsidRPr="00C11C92" w:rsidR="00C11C92">
              <w:rPr>
                <w:rFonts w:ascii="Verdana" w:hAnsi="Verdana"/>
                <w:sz w:val="18"/>
                <w:szCs w:val="18"/>
              </w:rPr>
              <w:t>implementatie CID in verschillende sectoren; en 7) betaalbare energie (verder uitgewerkt in het Actieplan voor betaalbare energie).</w:t>
            </w:r>
          </w:p>
        </w:tc>
        <w:tc>
          <w:tcPr>
            <w:tcW w:w="5812" w:type="dxa"/>
          </w:tcPr>
          <w:p w:rsidRPr="00D76BC8" w:rsidR="005D66A0" w:rsidP="004D06A2" w:rsidRDefault="004D06A2" w14:paraId="341B2307" w14:textId="4C6DDE78">
            <w:pPr>
              <w:rPr>
                <w:rFonts w:ascii="Verdana" w:hAnsi="Verdana"/>
                <w:sz w:val="18"/>
                <w:szCs w:val="18"/>
              </w:rPr>
            </w:pPr>
            <w:r>
              <w:rPr>
                <w:rFonts w:ascii="Verdana" w:hAnsi="Verdana"/>
                <w:sz w:val="18"/>
                <w:szCs w:val="18"/>
              </w:rPr>
              <w:lastRenderedPageBreak/>
              <w:t xml:space="preserve">Het kabinet </w:t>
            </w:r>
            <w:r w:rsidR="00632E50">
              <w:rPr>
                <w:rFonts w:ascii="Verdana" w:hAnsi="Verdana"/>
                <w:sz w:val="18"/>
                <w:szCs w:val="18"/>
              </w:rPr>
              <w:t>vraagt</w:t>
            </w:r>
            <w:r w:rsidRPr="00D76BC8" w:rsidR="00632E50">
              <w:rPr>
                <w:rFonts w:ascii="Verdana" w:hAnsi="Verdana"/>
                <w:sz w:val="18"/>
                <w:szCs w:val="18"/>
              </w:rPr>
              <w:t xml:space="preserve"> </w:t>
            </w:r>
            <w:r>
              <w:rPr>
                <w:rFonts w:ascii="Verdana" w:hAnsi="Verdana"/>
                <w:sz w:val="18"/>
                <w:szCs w:val="18"/>
              </w:rPr>
              <w:t xml:space="preserve">aandacht voor de ontwikkeling van </w:t>
            </w:r>
            <w:r w:rsidRPr="00D76BC8">
              <w:rPr>
                <w:rFonts w:ascii="Verdana" w:hAnsi="Verdana"/>
                <w:sz w:val="18"/>
                <w:szCs w:val="18"/>
              </w:rPr>
              <w:t xml:space="preserve">een duidelijk kader voor Europees industriebeleid met oog </w:t>
            </w:r>
            <w:r w:rsidR="00D24C52">
              <w:rPr>
                <w:rFonts w:ascii="Verdana" w:hAnsi="Verdana"/>
                <w:sz w:val="18"/>
                <w:szCs w:val="18"/>
              </w:rPr>
              <w:t>voor</w:t>
            </w:r>
            <w:r w:rsidRPr="00D76BC8">
              <w:rPr>
                <w:rFonts w:ascii="Verdana" w:hAnsi="Verdana"/>
                <w:sz w:val="18"/>
                <w:szCs w:val="18"/>
              </w:rPr>
              <w:t xml:space="preserve"> </w:t>
            </w:r>
            <w:proofErr w:type="spellStart"/>
            <w:r w:rsidRPr="00D76BC8">
              <w:rPr>
                <w:rFonts w:ascii="Verdana" w:hAnsi="Verdana"/>
                <w:sz w:val="18"/>
                <w:szCs w:val="18"/>
              </w:rPr>
              <w:t>decarbonisatie</w:t>
            </w:r>
            <w:proofErr w:type="spellEnd"/>
            <w:r>
              <w:rPr>
                <w:rFonts w:ascii="Verdana" w:hAnsi="Verdana"/>
                <w:sz w:val="18"/>
                <w:szCs w:val="18"/>
              </w:rPr>
              <w:t xml:space="preserve"> </w:t>
            </w:r>
            <w:r w:rsidR="00C11C92">
              <w:rPr>
                <w:rFonts w:ascii="Verdana" w:hAnsi="Verdana"/>
                <w:sz w:val="18"/>
                <w:szCs w:val="18"/>
              </w:rPr>
              <w:t>van</w:t>
            </w:r>
            <w:r w:rsidRPr="00D76BC8" w:rsidDel="004D06A2">
              <w:rPr>
                <w:rFonts w:ascii="Verdana" w:hAnsi="Verdana"/>
                <w:sz w:val="18"/>
                <w:szCs w:val="18"/>
              </w:rPr>
              <w:t xml:space="preserve"> </w:t>
            </w:r>
            <w:r>
              <w:rPr>
                <w:rFonts w:ascii="Verdana" w:hAnsi="Verdana"/>
                <w:sz w:val="18"/>
                <w:szCs w:val="18"/>
              </w:rPr>
              <w:t>de</w:t>
            </w:r>
            <w:r w:rsidRPr="00D76BC8" w:rsidR="005D66A0">
              <w:rPr>
                <w:rFonts w:ascii="Verdana" w:hAnsi="Verdana"/>
                <w:sz w:val="18"/>
                <w:szCs w:val="18"/>
              </w:rPr>
              <w:t xml:space="preserve"> </w:t>
            </w:r>
            <w:r>
              <w:rPr>
                <w:rFonts w:ascii="Verdana" w:hAnsi="Verdana"/>
                <w:sz w:val="18"/>
                <w:szCs w:val="18"/>
              </w:rPr>
              <w:t>Nederlandse</w:t>
            </w:r>
            <w:r w:rsidRPr="00D76BC8" w:rsidR="0024513B">
              <w:rPr>
                <w:rFonts w:ascii="Verdana" w:hAnsi="Verdana"/>
                <w:sz w:val="18"/>
                <w:szCs w:val="18"/>
              </w:rPr>
              <w:t xml:space="preserve"> </w:t>
            </w:r>
            <w:r w:rsidRPr="00D76BC8" w:rsidR="005D66A0">
              <w:rPr>
                <w:rFonts w:ascii="Verdana" w:hAnsi="Verdana"/>
                <w:sz w:val="18"/>
                <w:szCs w:val="18"/>
              </w:rPr>
              <w:t xml:space="preserve">industrieën. </w:t>
            </w:r>
            <w:r w:rsidRPr="00D76BC8" w:rsidR="0024513B">
              <w:rPr>
                <w:rFonts w:ascii="Verdana" w:hAnsi="Verdana"/>
                <w:sz w:val="18"/>
                <w:szCs w:val="18"/>
              </w:rPr>
              <w:t>E</w:t>
            </w:r>
            <w:r w:rsidRPr="00D76BC8" w:rsidR="005D66A0">
              <w:rPr>
                <w:rFonts w:ascii="Verdana" w:hAnsi="Verdana"/>
                <w:sz w:val="18"/>
                <w:szCs w:val="18"/>
              </w:rPr>
              <w:t>en coherent kader ter coördinatie van de CID en andere aangekondigde voorstellen die op industrie betrekking hebben</w:t>
            </w:r>
            <w:r w:rsidR="00934843">
              <w:rPr>
                <w:rFonts w:ascii="Verdana" w:hAnsi="Verdana"/>
                <w:sz w:val="18"/>
                <w:szCs w:val="18"/>
              </w:rPr>
              <w:t xml:space="preserve"> zijn voor het kabinet</w:t>
            </w:r>
            <w:r w:rsidRPr="00D76BC8" w:rsidR="005D66A0">
              <w:rPr>
                <w:rFonts w:ascii="Verdana" w:hAnsi="Verdana"/>
                <w:sz w:val="18"/>
                <w:szCs w:val="18"/>
              </w:rPr>
              <w:t xml:space="preserve"> belangrijk. Verder zal </w:t>
            </w:r>
            <w:r w:rsidRPr="00D76BC8" w:rsidR="0024513B">
              <w:rPr>
                <w:rFonts w:ascii="Verdana" w:hAnsi="Verdana"/>
                <w:sz w:val="18"/>
                <w:szCs w:val="18"/>
              </w:rPr>
              <w:t xml:space="preserve">het kabinet </w:t>
            </w:r>
            <w:r w:rsidRPr="00D76BC8" w:rsidR="005D66A0">
              <w:rPr>
                <w:rFonts w:ascii="Verdana" w:hAnsi="Verdana"/>
                <w:sz w:val="18"/>
                <w:szCs w:val="18"/>
              </w:rPr>
              <w:t xml:space="preserve">zich inzetten op groene marktcreatie op </w:t>
            </w:r>
            <w:r w:rsidRPr="00934843" w:rsidR="005D66A0">
              <w:rPr>
                <w:rFonts w:ascii="Verdana" w:hAnsi="Verdana"/>
                <w:sz w:val="18"/>
                <w:szCs w:val="18"/>
              </w:rPr>
              <w:t xml:space="preserve">Europees niveau en versterkte inzet op </w:t>
            </w:r>
            <w:r w:rsidRPr="0086334D" w:rsidR="005D66A0">
              <w:rPr>
                <w:rFonts w:ascii="Verdana" w:hAnsi="Verdana"/>
                <w:i/>
                <w:iCs/>
                <w:sz w:val="18"/>
                <w:szCs w:val="18"/>
              </w:rPr>
              <w:t xml:space="preserve">clean </w:t>
            </w:r>
            <w:proofErr w:type="spellStart"/>
            <w:r w:rsidRPr="0086334D" w:rsidR="005D66A0">
              <w:rPr>
                <w:rFonts w:ascii="Verdana" w:hAnsi="Verdana"/>
                <w:i/>
                <w:iCs/>
                <w:sz w:val="18"/>
                <w:szCs w:val="18"/>
              </w:rPr>
              <w:t>tech</w:t>
            </w:r>
            <w:proofErr w:type="spellEnd"/>
            <w:r w:rsidRPr="00934843" w:rsidR="005D66A0">
              <w:rPr>
                <w:rFonts w:ascii="Verdana" w:hAnsi="Verdana"/>
                <w:sz w:val="18"/>
                <w:szCs w:val="18"/>
              </w:rPr>
              <w:t>, o.a. door enerzijds (</w:t>
            </w:r>
            <w:proofErr w:type="spellStart"/>
            <w:r w:rsidRPr="00934843" w:rsidR="005D66A0">
              <w:rPr>
                <w:rFonts w:ascii="Verdana" w:hAnsi="Verdana"/>
                <w:sz w:val="18"/>
                <w:szCs w:val="18"/>
              </w:rPr>
              <w:t>duurzaamheids</w:t>
            </w:r>
            <w:proofErr w:type="spellEnd"/>
            <w:r w:rsidRPr="00934843" w:rsidR="005D66A0">
              <w:rPr>
                <w:rFonts w:ascii="Verdana" w:hAnsi="Verdana"/>
                <w:sz w:val="18"/>
                <w:szCs w:val="18"/>
              </w:rPr>
              <w:t xml:space="preserve">)eisen aan </w:t>
            </w:r>
            <w:r w:rsidRPr="00934843" w:rsidR="005D66A0">
              <w:rPr>
                <w:rFonts w:ascii="Verdana" w:hAnsi="Verdana"/>
                <w:sz w:val="18"/>
                <w:szCs w:val="18"/>
              </w:rPr>
              <w:lastRenderedPageBreak/>
              <w:t xml:space="preserve">producten te stellen en anderzijds markttoegang tot de Europese interne markt van groene bedrijven te stimuleren, bijvoorbeeld door standaardisatie en/of verbetering van regelgeving ten behoeve van </w:t>
            </w:r>
            <w:r w:rsidRPr="00934843">
              <w:rPr>
                <w:rFonts w:ascii="Verdana" w:hAnsi="Verdana"/>
                <w:sz w:val="18"/>
                <w:szCs w:val="18"/>
              </w:rPr>
              <w:t xml:space="preserve">het Nederlandse </w:t>
            </w:r>
            <w:r w:rsidRPr="00934843" w:rsidR="005D66A0">
              <w:rPr>
                <w:rFonts w:ascii="Verdana" w:hAnsi="Verdana"/>
                <w:sz w:val="18"/>
                <w:szCs w:val="18"/>
              </w:rPr>
              <w:t xml:space="preserve">vestigingsklimaat en </w:t>
            </w:r>
            <w:r w:rsidRPr="00934843">
              <w:rPr>
                <w:rFonts w:ascii="Verdana" w:hAnsi="Verdana"/>
                <w:sz w:val="18"/>
                <w:szCs w:val="18"/>
              </w:rPr>
              <w:t xml:space="preserve">een mondiaal </w:t>
            </w:r>
            <w:r w:rsidRPr="00934843" w:rsidR="005D66A0">
              <w:rPr>
                <w:rFonts w:ascii="Verdana" w:hAnsi="Verdana"/>
                <w:sz w:val="18"/>
                <w:szCs w:val="18"/>
              </w:rPr>
              <w:t>gelijk speelveld</w:t>
            </w:r>
            <w:r w:rsidRPr="00934843" w:rsidR="0024513B">
              <w:rPr>
                <w:rFonts w:ascii="Verdana" w:hAnsi="Verdana"/>
                <w:sz w:val="18"/>
                <w:szCs w:val="18"/>
              </w:rPr>
              <w:t>.</w:t>
            </w:r>
            <w:r w:rsidRPr="00934843" w:rsidR="005D66A0">
              <w:rPr>
                <w:rFonts w:ascii="Verdana" w:hAnsi="Verdana"/>
                <w:sz w:val="18"/>
                <w:szCs w:val="18"/>
              </w:rPr>
              <w:t xml:space="preserve"> </w:t>
            </w:r>
            <w:r w:rsidR="00C11C92">
              <w:rPr>
                <w:rFonts w:ascii="Verdana" w:hAnsi="Verdana"/>
                <w:sz w:val="18"/>
                <w:szCs w:val="18"/>
              </w:rPr>
              <w:t>Het kabinet houdt hierbij de beschikbaarheid van essentiële producten in het oog.</w:t>
            </w:r>
            <w:r w:rsidRPr="00934843" w:rsidR="00C11C92">
              <w:rPr>
                <w:rFonts w:ascii="Verdana" w:hAnsi="Verdana"/>
                <w:sz w:val="18"/>
                <w:szCs w:val="18"/>
              </w:rPr>
              <w:t xml:space="preserve"> </w:t>
            </w:r>
            <w:r w:rsidRPr="00934843" w:rsidR="004470F7">
              <w:rPr>
                <w:rFonts w:ascii="Verdana" w:hAnsi="Verdana"/>
                <w:sz w:val="18"/>
                <w:szCs w:val="18"/>
              </w:rPr>
              <w:t>Ook verwelkomt het kabinet de aandacht</w:t>
            </w:r>
            <w:r w:rsidRPr="00934843" w:rsidR="00CF28B4">
              <w:rPr>
                <w:rFonts w:ascii="Verdana" w:hAnsi="Verdana"/>
                <w:sz w:val="18"/>
                <w:szCs w:val="18"/>
              </w:rPr>
              <w:t xml:space="preserve"> voor </w:t>
            </w:r>
            <w:r w:rsidRPr="0086334D" w:rsidR="004470F7">
              <w:rPr>
                <w:rFonts w:ascii="Verdana" w:hAnsi="Verdana" w:eastAsia="Times New Roman"/>
                <w:sz w:val="18"/>
                <w:szCs w:val="18"/>
              </w:rPr>
              <w:t>economische veiligheid en de circulaire economie t.b.v. toegang tot materialen en grondstoffen.</w:t>
            </w:r>
          </w:p>
        </w:tc>
        <w:tc>
          <w:tcPr>
            <w:tcW w:w="1984" w:type="dxa"/>
          </w:tcPr>
          <w:p w:rsidRPr="00D76BC8" w:rsidR="005D66A0" w:rsidP="007C26FD" w:rsidRDefault="005D66A0" w14:paraId="7A914422" w14:textId="77777777">
            <w:pPr>
              <w:rPr>
                <w:rFonts w:ascii="Verdana" w:hAnsi="Verdana" w:cstheme="minorHAnsi"/>
                <w:color w:val="000000"/>
                <w:sz w:val="18"/>
                <w:szCs w:val="18"/>
              </w:rPr>
            </w:pPr>
            <w:r w:rsidRPr="00D76BC8">
              <w:rPr>
                <w:rFonts w:ascii="Verdana" w:hAnsi="Verdana" w:cstheme="minorHAnsi"/>
                <w:color w:val="000000"/>
                <w:sz w:val="18"/>
                <w:szCs w:val="18"/>
              </w:rPr>
              <w:lastRenderedPageBreak/>
              <w:t xml:space="preserve">Niet-wetgevend </w:t>
            </w:r>
          </w:p>
          <w:p w:rsidRPr="00D76BC8" w:rsidR="005D66A0" w:rsidP="007C26FD" w:rsidRDefault="005D66A0" w14:paraId="0DD2C65F" w14:textId="77777777">
            <w:pPr>
              <w:rPr>
                <w:rFonts w:ascii="Verdana" w:hAnsi="Verdana" w:cstheme="minorHAnsi"/>
                <w:color w:val="000000"/>
                <w:sz w:val="18"/>
                <w:szCs w:val="18"/>
                <w:lang w:val="en-US"/>
              </w:rPr>
            </w:pPr>
          </w:p>
          <w:p w:rsidRPr="00D76BC8" w:rsidR="005D66A0" w:rsidP="007C26FD" w:rsidRDefault="005D66A0" w14:paraId="254077A7" w14:textId="77777777">
            <w:pPr>
              <w:rPr>
                <w:rFonts w:ascii="Verdana" w:hAnsi="Verdana" w:cstheme="minorHAnsi"/>
                <w:color w:val="000000"/>
                <w:sz w:val="18"/>
                <w:szCs w:val="18"/>
                <w:lang w:val="en-US"/>
              </w:rPr>
            </w:pPr>
          </w:p>
          <w:p w:rsidRPr="00D76BC8" w:rsidR="005D66A0" w:rsidP="007C26FD" w:rsidRDefault="005D66A0" w14:paraId="33458DD2" w14:textId="77777777">
            <w:pPr>
              <w:rPr>
                <w:rFonts w:ascii="Verdana" w:hAnsi="Verdana" w:cstheme="minorHAnsi"/>
                <w:color w:val="000000"/>
                <w:sz w:val="18"/>
                <w:szCs w:val="18"/>
                <w:lang w:val="en-US"/>
              </w:rPr>
            </w:pPr>
          </w:p>
          <w:p w:rsidRPr="00D76BC8" w:rsidR="005D66A0" w:rsidP="007C26FD" w:rsidRDefault="005D66A0" w14:paraId="101B9166" w14:textId="77777777">
            <w:pPr>
              <w:rPr>
                <w:rFonts w:ascii="Verdana" w:hAnsi="Verdana" w:cstheme="minorHAnsi"/>
                <w:color w:val="000000"/>
                <w:sz w:val="18"/>
                <w:szCs w:val="18"/>
                <w:lang w:val="en-US"/>
              </w:rPr>
            </w:pPr>
          </w:p>
        </w:tc>
      </w:tr>
      <w:tr w:rsidRPr="00D76BC8" w:rsidR="0024513B" w:rsidTr="0086334D" w14:paraId="29A039D2" w14:textId="77777777">
        <w:trPr>
          <w:trHeight w:val="895"/>
        </w:trPr>
        <w:tc>
          <w:tcPr>
            <w:tcW w:w="567" w:type="dxa"/>
          </w:tcPr>
          <w:p w:rsidRPr="00D76BC8" w:rsidR="0024513B" w:rsidP="007C26FD" w:rsidRDefault="0024513B" w14:paraId="0C533DD0" w14:textId="5AB16616">
            <w:pPr>
              <w:rPr>
                <w:rFonts w:ascii="Verdana" w:hAnsi="Verdana" w:eastAsia="Times New Roman"/>
                <w:sz w:val="18"/>
                <w:szCs w:val="18"/>
              </w:rPr>
            </w:pPr>
            <w:r w:rsidRPr="00D76BC8">
              <w:rPr>
                <w:rFonts w:ascii="Verdana" w:hAnsi="Verdana" w:eastAsia="Times New Roman"/>
                <w:sz w:val="18"/>
                <w:szCs w:val="18"/>
              </w:rPr>
              <w:t>9b.</w:t>
            </w:r>
          </w:p>
        </w:tc>
        <w:tc>
          <w:tcPr>
            <w:tcW w:w="2410" w:type="dxa"/>
          </w:tcPr>
          <w:p w:rsidRPr="0086334D" w:rsidR="0024513B" w:rsidP="007C26FD" w:rsidRDefault="00A80351" w14:paraId="7076FC46" w14:textId="0D196BAD">
            <w:pPr>
              <w:rPr>
                <w:rFonts w:ascii="Verdana" w:hAnsi="Verdana" w:eastAsia="Times New Roman"/>
                <w:sz w:val="18"/>
                <w:szCs w:val="18"/>
              </w:rPr>
            </w:pPr>
            <w:r w:rsidRPr="0086334D">
              <w:rPr>
                <w:rFonts w:ascii="Verdana" w:hAnsi="Verdana" w:eastAsia="Times New Roman"/>
                <w:sz w:val="18"/>
                <w:szCs w:val="18"/>
              </w:rPr>
              <w:t>Actieplan voor betaalbare energie</w:t>
            </w:r>
            <w:r w:rsidRPr="0086334D" w:rsidDel="00A80351">
              <w:rPr>
                <w:rFonts w:ascii="Verdana" w:hAnsi="Verdana" w:eastAsia="Times New Roman"/>
                <w:sz w:val="18"/>
                <w:szCs w:val="18"/>
              </w:rPr>
              <w:t xml:space="preserve"> </w:t>
            </w:r>
            <w:r w:rsidRPr="0086334D" w:rsidR="0024513B">
              <w:rPr>
                <w:rFonts w:ascii="Verdana" w:hAnsi="Verdana" w:eastAsia="Times New Roman"/>
                <w:sz w:val="18"/>
                <w:szCs w:val="18"/>
              </w:rPr>
              <w:t>(Q1 2025)</w:t>
            </w:r>
          </w:p>
        </w:tc>
        <w:tc>
          <w:tcPr>
            <w:tcW w:w="4678" w:type="dxa"/>
          </w:tcPr>
          <w:p w:rsidRPr="00D76BC8" w:rsidR="0024513B" w:rsidP="007C26FD" w:rsidRDefault="0024513B" w14:paraId="1FB8ED9C" w14:textId="1E52BB39">
            <w:pPr>
              <w:rPr>
                <w:rFonts w:ascii="Verdana" w:hAnsi="Verdana"/>
                <w:i/>
                <w:iCs/>
                <w:sz w:val="18"/>
                <w:szCs w:val="18"/>
              </w:rPr>
            </w:pPr>
            <w:r w:rsidRPr="0086334D">
              <w:rPr>
                <w:rFonts w:ascii="Verdana" w:hAnsi="Verdana"/>
                <w:sz w:val="18"/>
                <w:szCs w:val="18"/>
              </w:rPr>
              <w:t xml:space="preserve">Met het </w:t>
            </w:r>
            <w:r w:rsidR="00A80351">
              <w:rPr>
                <w:rFonts w:ascii="Verdana" w:hAnsi="Verdana"/>
                <w:sz w:val="18"/>
                <w:szCs w:val="18"/>
              </w:rPr>
              <w:t>a</w:t>
            </w:r>
            <w:r w:rsidRPr="00A80351" w:rsidR="00A80351">
              <w:rPr>
                <w:rFonts w:ascii="Verdana" w:hAnsi="Verdana"/>
                <w:sz w:val="18"/>
                <w:szCs w:val="18"/>
              </w:rPr>
              <w:t>ctieplan voor betaalbare energie</w:t>
            </w:r>
            <w:r w:rsidRPr="00D76BC8">
              <w:rPr>
                <w:rFonts w:ascii="Verdana" w:hAnsi="Verdana"/>
                <w:sz w:val="18"/>
                <w:szCs w:val="18"/>
              </w:rPr>
              <w:t xml:space="preserve"> stelt de Commissie een actieplan voor om energie</w:t>
            </w:r>
            <w:r w:rsidR="00306259">
              <w:rPr>
                <w:rFonts w:ascii="Verdana" w:hAnsi="Verdana"/>
                <w:sz w:val="18"/>
                <w:szCs w:val="18"/>
              </w:rPr>
              <w:t>prijzen</w:t>
            </w:r>
            <w:r w:rsidRPr="00D76BC8">
              <w:rPr>
                <w:rFonts w:ascii="Verdana" w:hAnsi="Verdana"/>
                <w:sz w:val="18"/>
                <w:szCs w:val="18"/>
              </w:rPr>
              <w:t xml:space="preserve"> voor bedrijven en huishoudens</w:t>
            </w:r>
            <w:r w:rsidR="00306259">
              <w:rPr>
                <w:rFonts w:ascii="Verdana" w:hAnsi="Verdana"/>
                <w:sz w:val="18"/>
                <w:szCs w:val="18"/>
              </w:rPr>
              <w:t xml:space="preserve"> te verlagen</w:t>
            </w:r>
            <w:r w:rsidRPr="00D76BC8">
              <w:rPr>
                <w:rFonts w:ascii="Verdana" w:hAnsi="Verdana"/>
                <w:sz w:val="18"/>
                <w:szCs w:val="18"/>
              </w:rPr>
              <w:t>.</w:t>
            </w:r>
          </w:p>
        </w:tc>
        <w:tc>
          <w:tcPr>
            <w:tcW w:w="5812" w:type="dxa"/>
          </w:tcPr>
          <w:p w:rsidRPr="00D76BC8" w:rsidR="0024513B" w:rsidP="007C26FD" w:rsidRDefault="009A2924" w14:paraId="14804DF8" w14:textId="2B302B5C">
            <w:pPr>
              <w:rPr>
                <w:rFonts w:ascii="Verdana" w:hAnsi="Verdana"/>
                <w:i/>
                <w:iCs/>
                <w:sz w:val="18"/>
                <w:szCs w:val="18"/>
              </w:rPr>
            </w:pPr>
            <w:r>
              <w:rPr>
                <w:rFonts w:ascii="Verdana" w:hAnsi="Verdana"/>
                <w:sz w:val="18"/>
                <w:szCs w:val="18"/>
              </w:rPr>
              <w:t>Het kabinet</w:t>
            </w:r>
            <w:r w:rsidRPr="00D76BC8" w:rsidR="0024513B">
              <w:rPr>
                <w:rFonts w:ascii="Verdana" w:hAnsi="Verdana"/>
                <w:sz w:val="18"/>
                <w:szCs w:val="18"/>
              </w:rPr>
              <w:t xml:space="preserve"> verwelkomt het streven van de Commissie. Het kabinet </w:t>
            </w:r>
            <w:r w:rsidR="00E262D7">
              <w:rPr>
                <w:rFonts w:ascii="Verdana" w:hAnsi="Verdana"/>
                <w:sz w:val="18"/>
                <w:szCs w:val="18"/>
              </w:rPr>
              <w:t>zet zich in</w:t>
            </w:r>
            <w:r w:rsidRPr="00D76BC8" w:rsidR="0024513B">
              <w:rPr>
                <w:rFonts w:ascii="Verdana" w:hAnsi="Verdana"/>
                <w:sz w:val="18"/>
                <w:szCs w:val="18"/>
              </w:rPr>
              <w:t xml:space="preserve"> om op korte termijn en structureel (bijv. door versterking interne markt, stroomlijnen vergunningverlening) de energieprijzen te verlagen, waarbij onnodig ingrijpen op de werking van de energiemarkt (bijvoorbeeld het instellen van prijslimieten op de groothandelsmarkt voor gas) voorkomen moet worden.</w:t>
            </w:r>
          </w:p>
        </w:tc>
        <w:tc>
          <w:tcPr>
            <w:tcW w:w="1984" w:type="dxa"/>
          </w:tcPr>
          <w:p w:rsidRPr="00D76BC8" w:rsidR="00F615D4" w:rsidP="007C26FD" w:rsidRDefault="00F615D4" w14:paraId="411268F8" w14:textId="77777777">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p w:rsidRPr="00D76BC8" w:rsidR="0024513B" w:rsidP="007C26FD" w:rsidRDefault="0024513B" w14:paraId="193BE3D6" w14:textId="77777777">
            <w:pPr>
              <w:rPr>
                <w:rFonts w:ascii="Verdana" w:hAnsi="Verdana" w:cstheme="minorHAnsi"/>
                <w:color w:val="000000"/>
                <w:sz w:val="18"/>
                <w:szCs w:val="18"/>
              </w:rPr>
            </w:pPr>
          </w:p>
        </w:tc>
      </w:tr>
      <w:tr w:rsidRPr="00D76BC8" w:rsidR="005D66A0" w:rsidTr="0086334D" w14:paraId="333B0387" w14:textId="77777777">
        <w:trPr>
          <w:trHeight w:val="895"/>
        </w:trPr>
        <w:tc>
          <w:tcPr>
            <w:tcW w:w="567" w:type="dxa"/>
          </w:tcPr>
          <w:p w:rsidRPr="00D76BC8" w:rsidR="005D66A0" w:rsidP="007C26FD" w:rsidRDefault="005D66A0" w14:paraId="0B349C76" w14:textId="3AE93BF9">
            <w:pPr>
              <w:rPr>
                <w:rFonts w:ascii="Verdana" w:hAnsi="Verdana" w:eastAsia="Times New Roman"/>
                <w:sz w:val="18"/>
                <w:szCs w:val="18"/>
              </w:rPr>
            </w:pPr>
            <w:r w:rsidRPr="00D76BC8">
              <w:rPr>
                <w:rFonts w:ascii="Verdana" w:hAnsi="Verdana" w:eastAsia="Times New Roman"/>
                <w:sz w:val="18"/>
                <w:szCs w:val="18"/>
              </w:rPr>
              <w:t>10.</w:t>
            </w:r>
          </w:p>
        </w:tc>
        <w:tc>
          <w:tcPr>
            <w:tcW w:w="2410" w:type="dxa"/>
          </w:tcPr>
          <w:p w:rsidRPr="0086334D" w:rsidR="005D66A0" w:rsidP="007C26FD" w:rsidRDefault="00A80351" w14:paraId="7C631E86" w14:textId="71FC43D5">
            <w:pPr>
              <w:rPr>
                <w:rFonts w:ascii="Verdana" w:hAnsi="Verdana" w:eastAsia="Times New Roman"/>
                <w:sz w:val="18"/>
                <w:szCs w:val="18"/>
              </w:rPr>
            </w:pPr>
            <w:r w:rsidRPr="0086334D">
              <w:rPr>
                <w:rFonts w:ascii="Verdana" w:hAnsi="Verdana" w:eastAsia="Times New Roman"/>
                <w:sz w:val="18"/>
                <w:szCs w:val="18"/>
              </w:rPr>
              <w:t xml:space="preserve">Wetgeving inzake een versnelling van industriële </w:t>
            </w:r>
            <w:proofErr w:type="spellStart"/>
            <w:r w:rsidRPr="0086334D">
              <w:rPr>
                <w:rFonts w:ascii="Verdana" w:hAnsi="Verdana" w:eastAsia="Times New Roman"/>
                <w:sz w:val="18"/>
                <w:szCs w:val="18"/>
              </w:rPr>
              <w:t>decarbonisatie</w:t>
            </w:r>
            <w:proofErr w:type="spellEnd"/>
            <w:r w:rsidRPr="0086334D" w:rsidDel="00A80351">
              <w:rPr>
                <w:rFonts w:ascii="Verdana" w:hAnsi="Verdana" w:eastAsia="Times New Roman"/>
                <w:sz w:val="18"/>
                <w:szCs w:val="18"/>
              </w:rPr>
              <w:t xml:space="preserve"> </w:t>
            </w:r>
            <w:r w:rsidRPr="0086334D" w:rsidR="005D66A0">
              <w:rPr>
                <w:rFonts w:ascii="Verdana" w:hAnsi="Verdana" w:eastAsia="Times New Roman"/>
                <w:sz w:val="18"/>
                <w:szCs w:val="18"/>
              </w:rPr>
              <w:t>(Q4 2025)</w:t>
            </w:r>
          </w:p>
        </w:tc>
        <w:tc>
          <w:tcPr>
            <w:tcW w:w="4678" w:type="dxa"/>
          </w:tcPr>
          <w:p w:rsidRPr="00D76BC8" w:rsidR="005D66A0" w:rsidP="007C26FD" w:rsidRDefault="0024513B" w14:paraId="0196FBB6" w14:textId="14704BB1">
            <w:pPr>
              <w:rPr>
                <w:rFonts w:ascii="Verdana" w:hAnsi="Verdana"/>
                <w:sz w:val="18"/>
                <w:szCs w:val="18"/>
              </w:rPr>
            </w:pPr>
            <w:r w:rsidRPr="00D76BC8">
              <w:rPr>
                <w:rFonts w:ascii="Verdana" w:hAnsi="Verdana"/>
                <w:sz w:val="18"/>
                <w:szCs w:val="18"/>
              </w:rPr>
              <w:t>Centraal in dit pakket staat het s</w:t>
            </w:r>
            <w:r w:rsidRPr="00D76BC8" w:rsidR="005D66A0">
              <w:rPr>
                <w:rFonts w:ascii="Verdana" w:hAnsi="Verdana"/>
                <w:sz w:val="18"/>
                <w:szCs w:val="18"/>
              </w:rPr>
              <w:t xml:space="preserve">timuleren van investeringen in de </w:t>
            </w:r>
            <w:r w:rsidRPr="00D76BC8">
              <w:rPr>
                <w:rFonts w:ascii="Verdana" w:hAnsi="Verdana"/>
                <w:sz w:val="18"/>
                <w:szCs w:val="18"/>
              </w:rPr>
              <w:t xml:space="preserve">concurrentiekracht </w:t>
            </w:r>
            <w:r w:rsidRPr="00D76BC8" w:rsidR="005D66A0">
              <w:rPr>
                <w:rFonts w:ascii="Verdana" w:hAnsi="Verdana"/>
                <w:sz w:val="18"/>
                <w:szCs w:val="18"/>
              </w:rPr>
              <w:t xml:space="preserve">en verduurzaming van de </w:t>
            </w:r>
            <w:r w:rsidRPr="00D76BC8">
              <w:rPr>
                <w:rFonts w:ascii="Verdana" w:hAnsi="Verdana"/>
                <w:sz w:val="18"/>
                <w:szCs w:val="18"/>
              </w:rPr>
              <w:t xml:space="preserve">staal, cement en keramiek </w:t>
            </w:r>
            <w:r w:rsidRPr="00D76BC8" w:rsidR="005D66A0">
              <w:rPr>
                <w:rFonts w:ascii="Verdana" w:hAnsi="Verdana"/>
                <w:sz w:val="18"/>
                <w:szCs w:val="18"/>
              </w:rPr>
              <w:t>industrie</w:t>
            </w:r>
            <w:r w:rsidRPr="00D76BC8">
              <w:rPr>
                <w:rFonts w:ascii="Verdana" w:hAnsi="Verdana"/>
                <w:sz w:val="18"/>
                <w:szCs w:val="18"/>
              </w:rPr>
              <w:t xml:space="preserve"> </w:t>
            </w:r>
            <w:r w:rsidRPr="00D76BC8" w:rsidR="005D66A0">
              <w:rPr>
                <w:rFonts w:ascii="Verdana" w:hAnsi="Verdana"/>
                <w:sz w:val="18"/>
                <w:szCs w:val="18"/>
              </w:rPr>
              <w:t xml:space="preserve">richting 2050. </w:t>
            </w:r>
            <w:r w:rsidRPr="00D76BC8">
              <w:rPr>
                <w:rFonts w:ascii="Verdana" w:hAnsi="Verdana"/>
                <w:sz w:val="18"/>
                <w:szCs w:val="18"/>
              </w:rPr>
              <w:t>Dit geldt zowel voor</w:t>
            </w:r>
            <w:r w:rsidRPr="00D76BC8" w:rsidR="005D66A0">
              <w:rPr>
                <w:rFonts w:ascii="Verdana" w:hAnsi="Verdana"/>
                <w:sz w:val="18"/>
                <w:szCs w:val="18"/>
              </w:rPr>
              <w:t xml:space="preserve"> stimulansen aan de vraagkant </w:t>
            </w:r>
            <w:r w:rsidRPr="00D76BC8">
              <w:rPr>
                <w:rFonts w:ascii="Verdana" w:hAnsi="Verdana"/>
                <w:sz w:val="18"/>
                <w:szCs w:val="18"/>
              </w:rPr>
              <w:t xml:space="preserve">(markttoegang) </w:t>
            </w:r>
            <w:r w:rsidRPr="00D76BC8" w:rsidR="009A5C3C">
              <w:rPr>
                <w:rFonts w:ascii="Verdana" w:hAnsi="Verdana"/>
                <w:sz w:val="18"/>
                <w:szCs w:val="18"/>
              </w:rPr>
              <w:t xml:space="preserve">als de </w:t>
            </w:r>
            <w:r w:rsidRPr="00D76BC8" w:rsidR="005D66A0">
              <w:rPr>
                <w:rFonts w:ascii="Verdana" w:hAnsi="Verdana"/>
                <w:sz w:val="18"/>
                <w:szCs w:val="18"/>
              </w:rPr>
              <w:t>aanbodkant (</w:t>
            </w:r>
            <w:r w:rsidRPr="00D76BC8" w:rsidR="009A5C3C">
              <w:rPr>
                <w:rFonts w:ascii="Verdana" w:hAnsi="Verdana"/>
                <w:sz w:val="18"/>
                <w:szCs w:val="18"/>
              </w:rPr>
              <w:t xml:space="preserve">o.a. </w:t>
            </w:r>
            <w:r w:rsidRPr="00D76BC8" w:rsidR="005D66A0">
              <w:rPr>
                <w:rFonts w:ascii="Verdana" w:hAnsi="Verdana"/>
                <w:sz w:val="18"/>
                <w:szCs w:val="18"/>
              </w:rPr>
              <w:t>toegang tot grondstoffen</w:t>
            </w:r>
            <w:r w:rsidR="00306259">
              <w:rPr>
                <w:rFonts w:ascii="Verdana" w:hAnsi="Verdana"/>
                <w:sz w:val="18"/>
                <w:szCs w:val="18"/>
              </w:rPr>
              <w:t xml:space="preserve"> en </w:t>
            </w:r>
            <w:r w:rsidRPr="00D76BC8" w:rsidR="005D66A0">
              <w:rPr>
                <w:rFonts w:ascii="Verdana" w:hAnsi="Verdana"/>
                <w:sz w:val="18"/>
                <w:szCs w:val="18"/>
              </w:rPr>
              <w:t>infra</w:t>
            </w:r>
            <w:r w:rsidR="00306259">
              <w:rPr>
                <w:rFonts w:ascii="Verdana" w:hAnsi="Verdana"/>
                <w:sz w:val="18"/>
                <w:szCs w:val="18"/>
              </w:rPr>
              <w:t>structuur</w:t>
            </w:r>
            <w:r w:rsidRPr="00D76BC8" w:rsidR="005D66A0">
              <w:rPr>
                <w:rFonts w:ascii="Verdana" w:hAnsi="Verdana"/>
                <w:sz w:val="18"/>
                <w:szCs w:val="18"/>
              </w:rPr>
              <w:t xml:space="preserve">). </w:t>
            </w:r>
            <w:r w:rsidRPr="00D76BC8" w:rsidR="009A5C3C">
              <w:rPr>
                <w:rFonts w:ascii="Verdana" w:hAnsi="Verdana"/>
                <w:sz w:val="18"/>
                <w:szCs w:val="18"/>
              </w:rPr>
              <w:t>Met een</w:t>
            </w:r>
            <w:r w:rsidRPr="00D76BC8" w:rsidR="005D66A0">
              <w:rPr>
                <w:rFonts w:ascii="Verdana" w:hAnsi="Verdana"/>
                <w:sz w:val="18"/>
                <w:szCs w:val="18"/>
              </w:rPr>
              <w:t xml:space="preserve"> focus op energie</w:t>
            </w:r>
            <w:r w:rsidR="009A2924">
              <w:rPr>
                <w:rFonts w:ascii="Verdana" w:hAnsi="Verdana"/>
                <w:sz w:val="18"/>
                <w:szCs w:val="18"/>
              </w:rPr>
              <w:t>-</w:t>
            </w:r>
            <w:r w:rsidRPr="00D76BC8" w:rsidR="005D66A0">
              <w:rPr>
                <w:rFonts w:ascii="Verdana" w:hAnsi="Verdana"/>
                <w:sz w:val="18"/>
                <w:szCs w:val="18"/>
              </w:rPr>
              <w:t xml:space="preserve">intensieve industrieën, </w:t>
            </w:r>
            <w:r w:rsidR="00810737">
              <w:rPr>
                <w:rFonts w:ascii="Verdana" w:hAnsi="Verdana"/>
                <w:sz w:val="18"/>
                <w:szCs w:val="18"/>
              </w:rPr>
              <w:t>beoogt de Commissie met</w:t>
            </w:r>
            <w:r w:rsidRPr="00D76BC8" w:rsidR="009A5C3C">
              <w:rPr>
                <w:rFonts w:ascii="Verdana" w:hAnsi="Verdana"/>
                <w:sz w:val="18"/>
                <w:szCs w:val="18"/>
              </w:rPr>
              <w:t xml:space="preserve"> het pakket </w:t>
            </w:r>
            <w:r w:rsidRPr="00D76BC8" w:rsidR="005D66A0">
              <w:rPr>
                <w:rFonts w:ascii="Verdana" w:hAnsi="Verdana"/>
                <w:sz w:val="18"/>
                <w:szCs w:val="18"/>
              </w:rPr>
              <w:t>snellere vergunningsverlening</w:t>
            </w:r>
            <w:r w:rsidRPr="00D76BC8" w:rsidR="009A5C3C">
              <w:rPr>
                <w:rFonts w:ascii="Verdana" w:hAnsi="Verdana"/>
                <w:sz w:val="18"/>
                <w:szCs w:val="18"/>
              </w:rPr>
              <w:t xml:space="preserve">, </w:t>
            </w:r>
            <w:r w:rsidRPr="00D76BC8" w:rsidR="005D66A0">
              <w:rPr>
                <w:rFonts w:ascii="Verdana" w:hAnsi="Verdana"/>
                <w:sz w:val="18"/>
                <w:szCs w:val="18"/>
              </w:rPr>
              <w:t>het bevorderen</w:t>
            </w:r>
            <w:r w:rsidR="009A2924">
              <w:rPr>
                <w:rFonts w:ascii="Verdana" w:hAnsi="Verdana"/>
                <w:sz w:val="18"/>
                <w:szCs w:val="18"/>
              </w:rPr>
              <w:t xml:space="preserve"> van groeimarkten</w:t>
            </w:r>
            <w:r w:rsidRPr="00D76BC8" w:rsidR="009A5C3C">
              <w:rPr>
                <w:rFonts w:ascii="Verdana" w:hAnsi="Verdana"/>
                <w:sz w:val="18"/>
                <w:szCs w:val="18"/>
              </w:rPr>
              <w:t xml:space="preserve"> en </w:t>
            </w:r>
            <w:r w:rsidRPr="00D76BC8" w:rsidR="005D66A0">
              <w:rPr>
                <w:rFonts w:ascii="Verdana" w:hAnsi="Verdana"/>
                <w:sz w:val="18"/>
                <w:szCs w:val="18"/>
              </w:rPr>
              <w:t>publieke aanbesteding</w:t>
            </w:r>
            <w:r w:rsidRPr="00D76BC8" w:rsidR="009A5C3C">
              <w:rPr>
                <w:rFonts w:ascii="Verdana" w:hAnsi="Verdana"/>
                <w:sz w:val="18"/>
                <w:szCs w:val="18"/>
              </w:rPr>
              <w:t>.</w:t>
            </w:r>
          </w:p>
        </w:tc>
        <w:tc>
          <w:tcPr>
            <w:tcW w:w="5812" w:type="dxa"/>
          </w:tcPr>
          <w:p w:rsidRPr="00D76BC8" w:rsidR="005D66A0" w:rsidP="007C26FD" w:rsidRDefault="009A5C3C" w14:paraId="18432081" w14:textId="05164E19">
            <w:pPr>
              <w:rPr>
                <w:rFonts w:ascii="Verdana" w:hAnsi="Verdana"/>
                <w:sz w:val="18"/>
                <w:szCs w:val="18"/>
              </w:rPr>
            </w:pPr>
            <w:r w:rsidRPr="00D76BC8">
              <w:rPr>
                <w:rFonts w:ascii="Verdana" w:hAnsi="Verdana"/>
                <w:sz w:val="18"/>
                <w:szCs w:val="18"/>
              </w:rPr>
              <w:t xml:space="preserve">Het kabinet </w:t>
            </w:r>
            <w:r w:rsidRPr="00D76BC8" w:rsidR="005D66A0">
              <w:rPr>
                <w:rFonts w:ascii="Verdana" w:hAnsi="Verdana"/>
                <w:sz w:val="18"/>
                <w:szCs w:val="18"/>
              </w:rPr>
              <w:t xml:space="preserve">zal zich inzetten om </w:t>
            </w:r>
            <w:r w:rsidRPr="00D76BC8">
              <w:rPr>
                <w:rFonts w:ascii="Verdana" w:hAnsi="Verdana"/>
                <w:sz w:val="18"/>
                <w:szCs w:val="18"/>
              </w:rPr>
              <w:t xml:space="preserve">Nederlandse </w:t>
            </w:r>
            <w:r w:rsidRPr="00D76BC8" w:rsidR="005D66A0">
              <w:rPr>
                <w:rFonts w:ascii="Verdana" w:hAnsi="Verdana"/>
                <w:sz w:val="18"/>
                <w:szCs w:val="18"/>
              </w:rPr>
              <w:t xml:space="preserve">industrieën als </w:t>
            </w:r>
            <w:r w:rsidR="009A2924">
              <w:rPr>
                <w:rFonts w:ascii="Verdana" w:hAnsi="Verdana"/>
                <w:sz w:val="18"/>
                <w:szCs w:val="18"/>
              </w:rPr>
              <w:t>groeimarkten</w:t>
            </w:r>
            <w:r w:rsidRPr="00D76BC8" w:rsidR="005D66A0">
              <w:rPr>
                <w:rFonts w:ascii="Verdana" w:hAnsi="Verdana"/>
                <w:sz w:val="18"/>
                <w:szCs w:val="18"/>
              </w:rPr>
              <w:t xml:space="preserve"> neer te zetten en om de knelpunten in de verduurzaming van de energie-intensieve industrie te adresseren.</w:t>
            </w:r>
            <w:r w:rsidRPr="00D76BC8">
              <w:rPr>
                <w:rFonts w:ascii="Verdana" w:hAnsi="Verdana"/>
                <w:sz w:val="18"/>
                <w:szCs w:val="18"/>
              </w:rPr>
              <w:t xml:space="preserve"> Dit betreft onder andere de vergunningverlening </w:t>
            </w:r>
            <w:r w:rsidR="001F50AD">
              <w:rPr>
                <w:rFonts w:ascii="Verdana" w:hAnsi="Verdana"/>
                <w:sz w:val="18"/>
                <w:szCs w:val="18"/>
              </w:rPr>
              <w:t>en</w:t>
            </w:r>
            <w:r w:rsidRPr="00D76BC8">
              <w:rPr>
                <w:rFonts w:ascii="Verdana" w:hAnsi="Verdana"/>
                <w:sz w:val="18"/>
                <w:szCs w:val="18"/>
              </w:rPr>
              <w:t xml:space="preserve"> toegang tot financiering.</w:t>
            </w:r>
            <w:r w:rsidR="00C11C92">
              <w:rPr>
                <w:rFonts w:ascii="Verdana" w:hAnsi="Verdana"/>
                <w:sz w:val="18"/>
                <w:szCs w:val="18"/>
              </w:rPr>
              <w:t xml:space="preserve"> Het kabinet houdt hierbij de beschikbaarheid van essentiële producten in het oog.</w:t>
            </w:r>
          </w:p>
        </w:tc>
        <w:tc>
          <w:tcPr>
            <w:tcW w:w="1984" w:type="dxa"/>
          </w:tcPr>
          <w:p w:rsidRPr="00D76BC8" w:rsidR="005D66A0" w:rsidP="007C26FD" w:rsidRDefault="005D66A0" w14:paraId="6242AEDB" w14:textId="016B1368">
            <w:pPr>
              <w:rPr>
                <w:rFonts w:ascii="Verdana" w:hAnsi="Verdana" w:cstheme="minorHAnsi"/>
                <w:color w:val="000000"/>
                <w:sz w:val="18"/>
                <w:szCs w:val="18"/>
              </w:rPr>
            </w:pPr>
            <w:r w:rsidRPr="00D76BC8">
              <w:rPr>
                <w:rFonts w:ascii="Verdana" w:hAnsi="Verdana" w:cstheme="minorHAnsi"/>
                <w:color w:val="000000"/>
                <w:sz w:val="18"/>
                <w:szCs w:val="18"/>
              </w:rPr>
              <w:t>Wetgevend (incl. impact assessment)</w:t>
            </w:r>
          </w:p>
        </w:tc>
      </w:tr>
      <w:tr w:rsidRPr="00D76BC8" w:rsidR="005D66A0" w:rsidTr="0086334D" w14:paraId="1F1E2499" w14:textId="77777777">
        <w:trPr>
          <w:trHeight w:val="895"/>
        </w:trPr>
        <w:tc>
          <w:tcPr>
            <w:tcW w:w="567" w:type="dxa"/>
          </w:tcPr>
          <w:p w:rsidRPr="00D76BC8" w:rsidR="005D66A0" w:rsidP="007C26FD" w:rsidRDefault="005D66A0" w14:paraId="6EB7C8A0" w14:textId="79EFA7FA">
            <w:pPr>
              <w:rPr>
                <w:rFonts w:ascii="Verdana" w:hAnsi="Verdana" w:eastAsia="Times New Roman"/>
                <w:sz w:val="18"/>
                <w:szCs w:val="18"/>
              </w:rPr>
            </w:pPr>
            <w:r w:rsidRPr="00D76BC8">
              <w:rPr>
                <w:rFonts w:ascii="Verdana" w:hAnsi="Verdana" w:eastAsia="Times New Roman"/>
                <w:sz w:val="18"/>
                <w:szCs w:val="18"/>
              </w:rPr>
              <w:t>11.</w:t>
            </w:r>
          </w:p>
        </w:tc>
        <w:tc>
          <w:tcPr>
            <w:tcW w:w="2410" w:type="dxa"/>
          </w:tcPr>
          <w:p w:rsidRPr="0086334D" w:rsidR="005D66A0" w:rsidP="007C26FD" w:rsidRDefault="00A80351" w14:paraId="1B9881A9" w14:textId="12FAED20">
            <w:pPr>
              <w:rPr>
                <w:rFonts w:ascii="Verdana" w:hAnsi="Verdana" w:eastAsia="Times New Roman"/>
                <w:sz w:val="18"/>
                <w:szCs w:val="18"/>
              </w:rPr>
            </w:pPr>
            <w:r w:rsidRPr="0086334D">
              <w:rPr>
                <w:rFonts w:ascii="Verdana" w:hAnsi="Verdana" w:eastAsia="Times New Roman"/>
                <w:sz w:val="18"/>
                <w:szCs w:val="18"/>
              </w:rPr>
              <w:t>EU-strategie voor startende en opschalende bedrijven</w:t>
            </w:r>
            <w:r w:rsidRPr="0086334D" w:rsidDel="00A80351">
              <w:rPr>
                <w:rFonts w:ascii="Verdana" w:hAnsi="Verdana" w:eastAsia="Times New Roman"/>
                <w:sz w:val="18"/>
                <w:szCs w:val="18"/>
              </w:rPr>
              <w:t xml:space="preserve"> </w:t>
            </w:r>
            <w:r w:rsidRPr="0086334D" w:rsidR="005D66A0">
              <w:rPr>
                <w:rFonts w:ascii="Verdana" w:hAnsi="Verdana" w:eastAsia="Times New Roman"/>
                <w:sz w:val="18"/>
                <w:szCs w:val="18"/>
              </w:rPr>
              <w:t>(Q2 2025)</w:t>
            </w:r>
          </w:p>
        </w:tc>
        <w:tc>
          <w:tcPr>
            <w:tcW w:w="4678" w:type="dxa"/>
            <w:tcBorders>
              <w:bottom w:val="single" w:color="auto" w:sz="4" w:space="0"/>
            </w:tcBorders>
          </w:tcPr>
          <w:p w:rsidRPr="00D76BC8" w:rsidR="005D66A0" w:rsidP="007C26FD" w:rsidRDefault="005D66A0" w14:paraId="44B2FAA6" w14:textId="0C3E8CBC">
            <w:pPr>
              <w:rPr>
                <w:rFonts w:ascii="Verdana" w:hAnsi="Verdana"/>
                <w:sz w:val="18"/>
                <w:szCs w:val="18"/>
              </w:rPr>
            </w:pPr>
            <w:r w:rsidRPr="00D76BC8">
              <w:rPr>
                <w:rFonts w:ascii="Verdana" w:hAnsi="Verdana"/>
                <w:sz w:val="18"/>
                <w:szCs w:val="18"/>
              </w:rPr>
              <w:t xml:space="preserve">Deze </w:t>
            </w:r>
            <w:r w:rsidRPr="00D76BC8" w:rsidR="009A5C3C">
              <w:rPr>
                <w:rFonts w:ascii="Verdana" w:hAnsi="Verdana"/>
                <w:sz w:val="18"/>
                <w:szCs w:val="18"/>
              </w:rPr>
              <w:t>s</w:t>
            </w:r>
            <w:r w:rsidRPr="00D76BC8">
              <w:rPr>
                <w:rFonts w:ascii="Verdana" w:hAnsi="Verdana"/>
                <w:sz w:val="18"/>
                <w:szCs w:val="18"/>
              </w:rPr>
              <w:t xml:space="preserve">trategie </w:t>
            </w:r>
            <w:r w:rsidRPr="00D76BC8" w:rsidR="009A5C3C">
              <w:rPr>
                <w:rFonts w:ascii="Verdana" w:hAnsi="Verdana"/>
                <w:sz w:val="18"/>
                <w:szCs w:val="18"/>
              </w:rPr>
              <w:t>richt zich</w:t>
            </w:r>
            <w:r w:rsidRPr="00D76BC8">
              <w:rPr>
                <w:rFonts w:ascii="Verdana" w:hAnsi="Verdana"/>
                <w:sz w:val="18"/>
                <w:szCs w:val="18"/>
              </w:rPr>
              <w:t xml:space="preserve"> op nieuwe en groeiende bedrijven</w:t>
            </w:r>
            <w:r w:rsidRPr="00D76BC8" w:rsidR="009A5C3C">
              <w:rPr>
                <w:rFonts w:ascii="Verdana" w:hAnsi="Verdana"/>
                <w:sz w:val="18"/>
                <w:szCs w:val="18"/>
              </w:rPr>
              <w:t xml:space="preserve"> en het faciliteren van </w:t>
            </w:r>
            <w:r w:rsidRPr="00D76BC8">
              <w:rPr>
                <w:rFonts w:ascii="Verdana" w:hAnsi="Verdana"/>
                <w:sz w:val="18"/>
                <w:szCs w:val="18"/>
              </w:rPr>
              <w:t>toegang tot financiering en infrastructuur, het betreden van nieuwe markten</w:t>
            </w:r>
            <w:r w:rsidR="008230C9">
              <w:rPr>
                <w:rFonts w:ascii="Verdana" w:hAnsi="Verdana"/>
                <w:sz w:val="18"/>
                <w:szCs w:val="18"/>
              </w:rPr>
              <w:t xml:space="preserve"> </w:t>
            </w:r>
            <w:r w:rsidRPr="00D76BC8">
              <w:rPr>
                <w:rFonts w:ascii="Verdana" w:hAnsi="Verdana"/>
                <w:sz w:val="18"/>
                <w:szCs w:val="18"/>
              </w:rPr>
              <w:t>, het verkrijgen van data en het aantrekken van het benodigde talent. Deze strategie vormt de basis voor de een latere voorstel voor een</w:t>
            </w:r>
            <w:r w:rsidR="008230C9">
              <w:rPr>
                <w:rFonts w:ascii="Verdana" w:hAnsi="Verdana"/>
                <w:sz w:val="18"/>
                <w:szCs w:val="18"/>
              </w:rPr>
              <w:t xml:space="preserve"> EU</w:t>
            </w:r>
            <w:r w:rsidRPr="00D76BC8">
              <w:rPr>
                <w:rFonts w:ascii="Verdana" w:hAnsi="Verdana"/>
                <w:sz w:val="18"/>
                <w:szCs w:val="18"/>
              </w:rPr>
              <w:t xml:space="preserve"> Innovatiewet.</w:t>
            </w:r>
          </w:p>
        </w:tc>
        <w:tc>
          <w:tcPr>
            <w:tcW w:w="5812" w:type="dxa"/>
          </w:tcPr>
          <w:p w:rsidRPr="00D76BC8" w:rsidR="005D66A0" w:rsidP="007C26FD" w:rsidRDefault="0052570D" w14:paraId="21468C5F" w14:textId="56A9C4B0">
            <w:pPr>
              <w:rPr>
                <w:rFonts w:ascii="Verdana" w:hAnsi="Verdana"/>
                <w:sz w:val="18"/>
                <w:szCs w:val="18"/>
              </w:rPr>
            </w:pPr>
            <w:r>
              <w:rPr>
                <w:rFonts w:ascii="Verdana" w:hAnsi="Verdana"/>
                <w:sz w:val="18"/>
                <w:szCs w:val="18"/>
              </w:rPr>
              <w:t>Het kabinet</w:t>
            </w:r>
            <w:r w:rsidRPr="00D76BC8">
              <w:rPr>
                <w:rFonts w:ascii="Verdana" w:hAnsi="Verdana"/>
                <w:sz w:val="18"/>
                <w:szCs w:val="18"/>
              </w:rPr>
              <w:t xml:space="preserve"> </w:t>
            </w:r>
            <w:r w:rsidRPr="00D76BC8" w:rsidR="005D66A0">
              <w:rPr>
                <w:rFonts w:ascii="Verdana" w:hAnsi="Verdana"/>
                <w:sz w:val="18"/>
                <w:szCs w:val="18"/>
              </w:rPr>
              <w:t>zal zich inzetten om innovatie en ondernemerschap te stimuleren en innovatieve bedrijven te ondersteunen bij toegang tot financiering, infrastructuur en internationale markten.</w:t>
            </w:r>
          </w:p>
        </w:tc>
        <w:tc>
          <w:tcPr>
            <w:tcW w:w="1984" w:type="dxa"/>
          </w:tcPr>
          <w:p w:rsidRPr="00D76BC8" w:rsidR="005D66A0" w:rsidP="007C26FD" w:rsidRDefault="005D66A0" w14:paraId="65B3EE2D" w14:textId="77777777">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p w:rsidRPr="00D76BC8" w:rsidR="005D66A0" w:rsidP="007C26FD" w:rsidRDefault="005D66A0" w14:paraId="2A83D8BA" w14:textId="77777777">
            <w:pPr>
              <w:rPr>
                <w:rFonts w:ascii="Verdana" w:hAnsi="Verdana" w:cstheme="minorHAnsi"/>
                <w:color w:val="000000"/>
                <w:sz w:val="18"/>
                <w:szCs w:val="18"/>
                <w:lang w:val="en-US"/>
              </w:rPr>
            </w:pPr>
          </w:p>
        </w:tc>
      </w:tr>
      <w:tr w:rsidRPr="00D76BC8" w:rsidR="009C2FF7" w:rsidTr="00831C63" w14:paraId="753F5D8D" w14:textId="77777777">
        <w:trPr>
          <w:trHeight w:val="441"/>
        </w:trPr>
        <w:tc>
          <w:tcPr>
            <w:tcW w:w="567" w:type="dxa"/>
          </w:tcPr>
          <w:p w:rsidRPr="00D76BC8" w:rsidR="009C2FF7" w:rsidP="007C26FD" w:rsidRDefault="009C2FF7" w14:paraId="1ED07D52" w14:textId="1A86AA15">
            <w:pPr>
              <w:rPr>
                <w:rFonts w:ascii="Verdana" w:hAnsi="Verdana" w:eastAsia="Times New Roman"/>
                <w:sz w:val="18"/>
                <w:szCs w:val="18"/>
              </w:rPr>
            </w:pPr>
            <w:r w:rsidRPr="00D76BC8">
              <w:rPr>
                <w:rFonts w:ascii="Verdana" w:hAnsi="Verdana" w:eastAsia="Times New Roman"/>
                <w:sz w:val="18"/>
                <w:szCs w:val="18"/>
              </w:rPr>
              <w:t>12</w:t>
            </w:r>
            <w:r w:rsidR="000C6048">
              <w:rPr>
                <w:rFonts w:ascii="Verdana" w:hAnsi="Verdana" w:eastAsia="Times New Roman"/>
                <w:sz w:val="18"/>
                <w:szCs w:val="18"/>
              </w:rPr>
              <w:t>a</w:t>
            </w:r>
          </w:p>
        </w:tc>
        <w:tc>
          <w:tcPr>
            <w:tcW w:w="2410" w:type="dxa"/>
          </w:tcPr>
          <w:p w:rsidRPr="0086334D" w:rsidR="009C2FF7" w:rsidP="007C26FD" w:rsidRDefault="00A80351" w14:paraId="6D3F61DB" w14:textId="49EB7D36">
            <w:pPr>
              <w:rPr>
                <w:rFonts w:ascii="Verdana" w:hAnsi="Verdana" w:eastAsia="Times New Roman"/>
                <w:sz w:val="18"/>
                <w:szCs w:val="18"/>
              </w:rPr>
            </w:pPr>
            <w:r w:rsidRPr="0086334D">
              <w:rPr>
                <w:rFonts w:ascii="Verdana" w:hAnsi="Verdana" w:eastAsia="Times New Roman"/>
                <w:sz w:val="18"/>
                <w:szCs w:val="18"/>
              </w:rPr>
              <w:t>Mededeling over een spaar- en investeringsunie</w:t>
            </w:r>
            <w:r w:rsidRPr="0086334D" w:rsidDel="00A80351">
              <w:rPr>
                <w:rFonts w:ascii="Verdana" w:hAnsi="Verdana" w:eastAsia="Times New Roman"/>
                <w:sz w:val="18"/>
                <w:szCs w:val="18"/>
              </w:rPr>
              <w:t xml:space="preserve"> </w:t>
            </w:r>
            <w:r w:rsidRPr="0086334D" w:rsidR="009C2FF7">
              <w:rPr>
                <w:rFonts w:ascii="Verdana" w:hAnsi="Verdana" w:eastAsia="Times New Roman"/>
                <w:sz w:val="18"/>
                <w:szCs w:val="18"/>
              </w:rPr>
              <w:t>(Q1 2025)</w:t>
            </w:r>
          </w:p>
          <w:p w:rsidRPr="0086334D" w:rsidR="009C2FF7" w:rsidP="007C26FD" w:rsidRDefault="009C2FF7" w14:paraId="382C80E7" w14:textId="77777777">
            <w:pPr>
              <w:rPr>
                <w:rFonts w:ascii="Verdana" w:hAnsi="Verdana" w:eastAsia="Times New Roman"/>
                <w:sz w:val="18"/>
                <w:szCs w:val="18"/>
              </w:rPr>
            </w:pPr>
          </w:p>
          <w:p w:rsidRPr="0086334D" w:rsidR="009C2FF7" w:rsidP="007C26FD" w:rsidRDefault="009C2FF7" w14:paraId="3F647015" w14:textId="40003718">
            <w:pPr>
              <w:rPr>
                <w:rFonts w:ascii="Verdana" w:hAnsi="Verdana" w:eastAsia="Times New Roman"/>
                <w:sz w:val="18"/>
                <w:szCs w:val="18"/>
              </w:rPr>
            </w:pPr>
          </w:p>
        </w:tc>
        <w:tc>
          <w:tcPr>
            <w:tcW w:w="4678" w:type="dxa"/>
            <w:tcBorders>
              <w:bottom w:val="single" w:color="auto" w:sz="4" w:space="0"/>
            </w:tcBorders>
            <w:shd w:val="clear" w:color="auto" w:fill="auto"/>
          </w:tcPr>
          <w:p w:rsidRPr="00927891" w:rsidR="009C2FF7" w:rsidP="00927891" w:rsidRDefault="00D76BC8" w14:paraId="0B2C9F70" w14:textId="6A2F6252">
            <w:pPr>
              <w:spacing w:after="160"/>
              <w:rPr>
                <w:rFonts w:ascii="Verdana" w:hAnsi="Verdana" w:eastAsiaTheme="minorHAnsi" w:cstheme="minorBidi"/>
                <w:sz w:val="18"/>
                <w:szCs w:val="18"/>
                <w:lang w:eastAsia="en-US"/>
              </w:rPr>
            </w:pPr>
            <w:r w:rsidRPr="00927891">
              <w:rPr>
                <w:rFonts w:ascii="Verdana" w:hAnsi="Verdana"/>
                <w:sz w:val="18"/>
                <w:szCs w:val="18"/>
              </w:rPr>
              <w:t>Dit betreft een m</w:t>
            </w:r>
            <w:r w:rsidRPr="00927891" w:rsidR="00F615D4">
              <w:rPr>
                <w:rFonts w:ascii="Verdana" w:hAnsi="Verdana"/>
                <w:sz w:val="18"/>
                <w:szCs w:val="18"/>
              </w:rPr>
              <w:t>ededeling over de spaar- en investeringsunie, een overkoepelend begrip voor de kapitaalmarktunie en bankenunie, waarin wetgevende en niet-wetgevende acties (aanbevelingen aan lidstaten) worden aangekondigd.</w:t>
            </w:r>
            <w:r w:rsidRPr="00927891" w:rsidR="00927891">
              <w:rPr>
                <w:rFonts w:ascii="Verdana" w:hAnsi="Verdana"/>
                <w:sz w:val="18"/>
                <w:szCs w:val="18"/>
              </w:rPr>
              <w:t xml:space="preserve"> Deze acties zullen gericht zijn </w:t>
            </w:r>
            <w:r w:rsidRPr="0086334D" w:rsidR="00927891">
              <w:rPr>
                <w:rFonts w:ascii="Verdana" w:hAnsi="Verdana"/>
                <w:sz w:val="18"/>
                <w:szCs w:val="18"/>
              </w:rPr>
              <w:t xml:space="preserve">op mobiliseren van spaargeld, vergroten van investeringsmogelijkheden voor innovatieve </w:t>
            </w:r>
            <w:r w:rsidRPr="0086334D" w:rsidR="00927891">
              <w:rPr>
                <w:rFonts w:ascii="Verdana" w:hAnsi="Verdana"/>
                <w:sz w:val="18"/>
                <w:szCs w:val="18"/>
              </w:rPr>
              <w:lastRenderedPageBreak/>
              <w:t>bedrijven, bevorderen van marktintegratie en verbeteren van toezicht</w:t>
            </w:r>
            <w:r w:rsidR="00927891">
              <w:rPr>
                <w:rFonts w:ascii="Verdana" w:hAnsi="Verdana"/>
                <w:sz w:val="18"/>
                <w:szCs w:val="18"/>
              </w:rPr>
              <w:t>.</w:t>
            </w:r>
          </w:p>
        </w:tc>
        <w:tc>
          <w:tcPr>
            <w:tcW w:w="5812" w:type="dxa"/>
          </w:tcPr>
          <w:p w:rsidRPr="00D76BC8" w:rsidR="009C2FF7" w:rsidP="007C26FD" w:rsidRDefault="00F615D4" w14:paraId="49ED3BF1" w14:textId="1755978B">
            <w:pPr>
              <w:spacing w:after="160"/>
              <w:rPr>
                <w:rFonts w:ascii="Verdana" w:hAnsi="Verdana" w:eastAsiaTheme="minorHAnsi" w:cstheme="minorBidi"/>
                <w:i/>
                <w:iCs/>
                <w:sz w:val="18"/>
                <w:szCs w:val="18"/>
                <w:lang w:eastAsia="en-US"/>
              </w:rPr>
            </w:pPr>
            <w:r w:rsidRPr="00D76BC8">
              <w:rPr>
                <w:rFonts w:ascii="Verdana" w:hAnsi="Verdana"/>
                <w:sz w:val="18"/>
                <w:szCs w:val="18"/>
              </w:rPr>
              <w:lastRenderedPageBreak/>
              <w:t>Het kabinet is ambitieus t.a.v. de kapitaalmarktunie en acht een plan voor versterking van de kapitaalmarkt cruciaal voor het EU</w:t>
            </w:r>
            <w:r w:rsidR="0052570D">
              <w:rPr>
                <w:rFonts w:ascii="Verdana" w:hAnsi="Verdana"/>
                <w:sz w:val="18"/>
                <w:szCs w:val="18"/>
              </w:rPr>
              <w:t>-</w:t>
            </w:r>
            <w:r w:rsidRPr="00D76BC8">
              <w:rPr>
                <w:rFonts w:ascii="Verdana" w:hAnsi="Verdana"/>
                <w:sz w:val="18"/>
                <w:szCs w:val="18"/>
              </w:rPr>
              <w:t xml:space="preserve">concurrentievermogen. </w:t>
            </w:r>
            <w:r w:rsidR="000C6048">
              <w:rPr>
                <w:rFonts w:ascii="Verdana" w:hAnsi="Verdana"/>
                <w:sz w:val="18"/>
                <w:szCs w:val="18"/>
              </w:rPr>
              <w:t xml:space="preserve">Het komt daartoe ook met haar eigen visie. </w:t>
            </w:r>
            <w:r w:rsidRPr="00D76BC8">
              <w:rPr>
                <w:rFonts w:ascii="Verdana" w:hAnsi="Verdana"/>
                <w:sz w:val="18"/>
                <w:szCs w:val="18"/>
              </w:rPr>
              <w:t xml:space="preserve">Details van beoogde maatregelen (zoals versterking toezicht, stimuleren </w:t>
            </w:r>
            <w:proofErr w:type="spellStart"/>
            <w:r w:rsidRPr="00D76BC8">
              <w:rPr>
                <w:rFonts w:ascii="Verdana" w:hAnsi="Verdana"/>
                <w:sz w:val="18"/>
                <w:szCs w:val="18"/>
              </w:rPr>
              <w:t>retail</w:t>
            </w:r>
            <w:proofErr w:type="spellEnd"/>
            <w:r w:rsidRPr="00D76BC8">
              <w:rPr>
                <w:rFonts w:ascii="Verdana" w:hAnsi="Verdana"/>
                <w:sz w:val="18"/>
                <w:szCs w:val="18"/>
              </w:rPr>
              <w:t xml:space="preserve"> beleggen, harmonisatie regelgeving) zijn nog onbekend, waardoor nog niet beoordeeld kan worden of de doelstellingen gehaald kunnen worden. Ook is het kabinet voorstander van voltooiing van </w:t>
            </w:r>
            <w:r w:rsidRPr="00D76BC8">
              <w:rPr>
                <w:rFonts w:ascii="Verdana" w:hAnsi="Verdana"/>
                <w:sz w:val="18"/>
                <w:szCs w:val="18"/>
              </w:rPr>
              <w:lastRenderedPageBreak/>
              <w:t>de bankenunie, waar het aanpakken van de risico’s van staatsobligaties op bankbalansen onderdeel van uitmaakt.</w:t>
            </w:r>
          </w:p>
        </w:tc>
        <w:tc>
          <w:tcPr>
            <w:tcW w:w="1984" w:type="dxa"/>
          </w:tcPr>
          <w:p w:rsidRPr="00D76BC8" w:rsidR="009C2FF7" w:rsidP="007C26FD" w:rsidRDefault="009C2FF7" w14:paraId="6C8BFA59" w14:textId="77777777">
            <w:pPr>
              <w:rPr>
                <w:rFonts w:ascii="Verdana" w:hAnsi="Verdana" w:cstheme="minorHAnsi"/>
                <w:color w:val="000000"/>
                <w:sz w:val="18"/>
                <w:szCs w:val="18"/>
              </w:rPr>
            </w:pPr>
            <w:r w:rsidRPr="00D76BC8">
              <w:rPr>
                <w:rFonts w:ascii="Verdana" w:hAnsi="Verdana" w:cstheme="minorHAnsi"/>
                <w:color w:val="000000"/>
                <w:sz w:val="18"/>
                <w:szCs w:val="18"/>
              </w:rPr>
              <w:lastRenderedPageBreak/>
              <w:t xml:space="preserve">Niet-wetgevend </w:t>
            </w:r>
          </w:p>
          <w:p w:rsidRPr="00D76BC8" w:rsidR="009C2FF7" w:rsidP="007C26FD" w:rsidRDefault="009C2FF7" w14:paraId="70C545FC" w14:textId="77777777">
            <w:pPr>
              <w:rPr>
                <w:rFonts w:ascii="Verdana" w:hAnsi="Verdana" w:cstheme="minorHAnsi"/>
                <w:color w:val="000000"/>
                <w:sz w:val="18"/>
                <w:szCs w:val="18"/>
              </w:rPr>
            </w:pPr>
          </w:p>
          <w:p w:rsidRPr="00D76BC8" w:rsidR="009C2FF7" w:rsidP="007C26FD" w:rsidRDefault="009C2FF7" w14:paraId="632F3B96" w14:textId="77777777">
            <w:pPr>
              <w:rPr>
                <w:rFonts w:ascii="Verdana" w:hAnsi="Verdana" w:cstheme="minorHAnsi"/>
                <w:color w:val="000000"/>
                <w:sz w:val="18"/>
                <w:szCs w:val="18"/>
              </w:rPr>
            </w:pPr>
          </w:p>
          <w:p w:rsidRPr="00D76BC8" w:rsidR="009C2FF7" w:rsidP="007C26FD" w:rsidRDefault="009C2FF7" w14:paraId="2D21657E" w14:textId="5D21679B">
            <w:pPr>
              <w:rPr>
                <w:rFonts w:ascii="Verdana" w:hAnsi="Verdana" w:cstheme="minorHAnsi"/>
                <w:color w:val="000000"/>
                <w:sz w:val="18"/>
                <w:szCs w:val="18"/>
              </w:rPr>
            </w:pPr>
          </w:p>
        </w:tc>
      </w:tr>
      <w:tr w:rsidRPr="00D76BC8" w:rsidR="00F615D4" w:rsidTr="0086334D" w14:paraId="409E61EC" w14:textId="77777777">
        <w:trPr>
          <w:trHeight w:val="895"/>
        </w:trPr>
        <w:tc>
          <w:tcPr>
            <w:tcW w:w="567" w:type="dxa"/>
          </w:tcPr>
          <w:p w:rsidRPr="00D76BC8" w:rsidR="00F615D4" w:rsidP="007C26FD" w:rsidRDefault="000C6048" w14:paraId="26B14031" w14:textId="7BFE2B0A">
            <w:pPr>
              <w:rPr>
                <w:rFonts w:ascii="Verdana" w:hAnsi="Verdana" w:eastAsia="Times New Roman"/>
                <w:sz w:val="18"/>
                <w:szCs w:val="18"/>
              </w:rPr>
            </w:pPr>
            <w:r>
              <w:rPr>
                <w:rFonts w:ascii="Verdana" w:hAnsi="Verdana" w:eastAsia="Times New Roman"/>
                <w:sz w:val="18"/>
                <w:szCs w:val="18"/>
              </w:rPr>
              <w:t>12b</w:t>
            </w:r>
          </w:p>
        </w:tc>
        <w:tc>
          <w:tcPr>
            <w:tcW w:w="2410" w:type="dxa"/>
          </w:tcPr>
          <w:p w:rsidRPr="0086334D" w:rsidR="00F615D4" w:rsidP="007C26FD" w:rsidRDefault="00A80351" w14:paraId="78F853AA" w14:textId="2BF76242">
            <w:pPr>
              <w:rPr>
                <w:rFonts w:ascii="Verdana" w:hAnsi="Verdana" w:eastAsia="Times New Roman"/>
                <w:sz w:val="18"/>
                <w:szCs w:val="18"/>
              </w:rPr>
            </w:pPr>
            <w:r w:rsidRPr="0086334D">
              <w:rPr>
                <w:rFonts w:ascii="Verdana" w:hAnsi="Verdana" w:eastAsia="Times New Roman"/>
                <w:sz w:val="18"/>
                <w:szCs w:val="18"/>
              </w:rPr>
              <w:t xml:space="preserve">Evaluatie van het </w:t>
            </w:r>
            <w:proofErr w:type="spellStart"/>
            <w:r w:rsidRPr="0086334D">
              <w:rPr>
                <w:rFonts w:ascii="Verdana" w:hAnsi="Verdana" w:eastAsia="Times New Roman"/>
                <w:sz w:val="18"/>
                <w:szCs w:val="18"/>
              </w:rPr>
              <w:t>securitisatiekader</w:t>
            </w:r>
            <w:proofErr w:type="spellEnd"/>
            <w:r w:rsidRPr="0086334D" w:rsidDel="00A80351">
              <w:rPr>
                <w:rFonts w:ascii="Verdana" w:hAnsi="Verdana" w:eastAsia="Times New Roman"/>
                <w:sz w:val="18"/>
                <w:szCs w:val="18"/>
              </w:rPr>
              <w:t xml:space="preserve"> </w:t>
            </w:r>
            <w:r w:rsidRPr="0086334D" w:rsidR="00F615D4">
              <w:rPr>
                <w:rFonts w:ascii="Verdana" w:hAnsi="Verdana" w:eastAsia="Times New Roman"/>
                <w:sz w:val="18"/>
                <w:szCs w:val="18"/>
              </w:rPr>
              <w:t>(Q2 2025)</w:t>
            </w:r>
          </w:p>
        </w:tc>
        <w:tc>
          <w:tcPr>
            <w:tcW w:w="4678" w:type="dxa"/>
            <w:tcBorders>
              <w:top w:val="single" w:color="auto" w:sz="4" w:space="0"/>
            </w:tcBorders>
          </w:tcPr>
          <w:p w:rsidRPr="00D76BC8" w:rsidR="00F615D4" w:rsidP="007C26FD" w:rsidRDefault="00A25C63" w14:paraId="69AEA5FA" w14:textId="3A3DBDE4">
            <w:pPr>
              <w:spacing w:after="160"/>
              <w:rPr>
                <w:rFonts w:ascii="Verdana" w:hAnsi="Verdana"/>
                <w:sz w:val="18"/>
                <w:szCs w:val="18"/>
              </w:rPr>
            </w:pPr>
            <w:r>
              <w:rPr>
                <w:rFonts w:ascii="Verdana" w:hAnsi="Verdana"/>
                <w:sz w:val="18"/>
                <w:szCs w:val="18"/>
              </w:rPr>
              <w:t>Dit betreft een h</w:t>
            </w:r>
            <w:r w:rsidRPr="00D76BC8" w:rsidR="00F615D4">
              <w:rPr>
                <w:rFonts w:ascii="Verdana" w:hAnsi="Verdana"/>
                <w:sz w:val="18"/>
                <w:szCs w:val="18"/>
              </w:rPr>
              <w:t xml:space="preserve">erziening van het regelgevend raamwerk voor </w:t>
            </w:r>
            <w:proofErr w:type="spellStart"/>
            <w:r w:rsidRPr="00CB0FDC" w:rsidR="00CB0FDC">
              <w:rPr>
                <w:rFonts w:ascii="Verdana" w:hAnsi="Verdana"/>
                <w:i/>
                <w:iCs/>
                <w:sz w:val="18"/>
                <w:szCs w:val="18"/>
              </w:rPr>
              <w:t>securitisatie</w:t>
            </w:r>
            <w:proofErr w:type="spellEnd"/>
            <w:r w:rsidR="00CB0FDC">
              <w:rPr>
                <w:rFonts w:ascii="Verdana" w:hAnsi="Verdana"/>
                <w:sz w:val="18"/>
                <w:szCs w:val="18"/>
              </w:rPr>
              <w:t xml:space="preserve">, wat staat voor </w:t>
            </w:r>
            <w:r w:rsidRPr="00CB0FDC">
              <w:rPr>
                <w:rFonts w:ascii="Verdana" w:hAnsi="Verdana"/>
                <w:sz w:val="18"/>
                <w:szCs w:val="18"/>
              </w:rPr>
              <w:t>het</w:t>
            </w:r>
            <w:r w:rsidRPr="00D76BC8" w:rsidR="00F615D4">
              <w:rPr>
                <w:rFonts w:ascii="Verdana" w:hAnsi="Verdana"/>
                <w:sz w:val="18"/>
                <w:szCs w:val="18"/>
              </w:rPr>
              <w:t xml:space="preserve"> </w:t>
            </w:r>
            <w:proofErr w:type="spellStart"/>
            <w:r w:rsidRPr="00D76BC8" w:rsidR="00F615D4">
              <w:rPr>
                <w:rFonts w:ascii="Verdana" w:hAnsi="Verdana"/>
                <w:sz w:val="18"/>
                <w:szCs w:val="18"/>
              </w:rPr>
              <w:t>herverpakken</w:t>
            </w:r>
            <w:proofErr w:type="spellEnd"/>
            <w:r w:rsidRPr="00D76BC8" w:rsidR="00F615D4">
              <w:rPr>
                <w:rFonts w:ascii="Verdana" w:hAnsi="Verdana"/>
                <w:sz w:val="18"/>
                <w:szCs w:val="18"/>
              </w:rPr>
              <w:t xml:space="preserve"> en doorverkopen van (bancaire) leningen aan derden.</w:t>
            </w:r>
          </w:p>
        </w:tc>
        <w:tc>
          <w:tcPr>
            <w:tcW w:w="5812" w:type="dxa"/>
          </w:tcPr>
          <w:p w:rsidRPr="00D76BC8" w:rsidR="00F615D4" w:rsidP="007C26FD" w:rsidRDefault="00F615D4" w14:paraId="6C226686" w14:textId="6DAAA0ED">
            <w:pPr>
              <w:rPr>
                <w:rFonts w:ascii="Verdana" w:hAnsi="Verdana"/>
                <w:sz w:val="18"/>
                <w:szCs w:val="18"/>
              </w:rPr>
            </w:pPr>
            <w:r w:rsidRPr="00D76BC8">
              <w:rPr>
                <w:rFonts w:ascii="Verdana" w:hAnsi="Verdana"/>
                <w:sz w:val="18"/>
                <w:szCs w:val="18"/>
              </w:rPr>
              <w:t xml:space="preserve">Het kabinet steunt een herziening met als doel om de barrières te verlagen voor een bredere doelgroep van institutionele beleggers. Zij pleit hierbij voor meer proportionele regelgeving, staat open voor een Europees platform zonder publieke garanties, en voor gerichte aanpassingen aan de </w:t>
            </w:r>
            <w:proofErr w:type="spellStart"/>
            <w:r w:rsidRPr="00D76BC8">
              <w:rPr>
                <w:rFonts w:ascii="Verdana" w:hAnsi="Verdana"/>
                <w:sz w:val="18"/>
                <w:szCs w:val="18"/>
              </w:rPr>
              <w:t>prudentiële</w:t>
            </w:r>
            <w:proofErr w:type="spellEnd"/>
            <w:r w:rsidRPr="00D76BC8">
              <w:rPr>
                <w:rFonts w:ascii="Verdana" w:hAnsi="Verdana"/>
                <w:sz w:val="18"/>
                <w:szCs w:val="18"/>
              </w:rPr>
              <w:t xml:space="preserve"> behandeling zolang het raamwerk </w:t>
            </w:r>
            <w:r w:rsidRPr="00D76BC8" w:rsidR="00CB0FDC">
              <w:rPr>
                <w:rFonts w:ascii="Verdana" w:hAnsi="Verdana"/>
                <w:sz w:val="18"/>
                <w:szCs w:val="18"/>
              </w:rPr>
              <w:t>risico gebaseerd</w:t>
            </w:r>
            <w:r w:rsidRPr="00D76BC8">
              <w:rPr>
                <w:rFonts w:ascii="Verdana" w:hAnsi="Verdana"/>
                <w:sz w:val="18"/>
                <w:szCs w:val="18"/>
              </w:rPr>
              <w:t xml:space="preserve"> blijft.</w:t>
            </w:r>
          </w:p>
        </w:tc>
        <w:tc>
          <w:tcPr>
            <w:tcW w:w="1984" w:type="dxa"/>
          </w:tcPr>
          <w:p w:rsidRPr="00D76BC8" w:rsidR="00F615D4" w:rsidP="007C26FD" w:rsidRDefault="00F615D4" w14:paraId="7EC4026F" w14:textId="0A4764FC">
            <w:pPr>
              <w:rPr>
                <w:rFonts w:ascii="Verdana" w:hAnsi="Verdana" w:cstheme="minorHAnsi"/>
                <w:color w:val="000000"/>
                <w:sz w:val="18"/>
                <w:szCs w:val="18"/>
              </w:rPr>
            </w:pPr>
            <w:r w:rsidRPr="00D76BC8">
              <w:rPr>
                <w:rFonts w:ascii="Verdana" w:hAnsi="Verdana" w:cstheme="minorHAnsi"/>
                <w:color w:val="000000"/>
                <w:sz w:val="18"/>
                <w:szCs w:val="18"/>
              </w:rPr>
              <w:t>Wetgevend (incl. impact assessment)</w:t>
            </w:r>
          </w:p>
        </w:tc>
      </w:tr>
      <w:tr w:rsidRPr="00D76BC8" w:rsidR="009A5C3C" w:rsidTr="0086334D" w14:paraId="4724E933" w14:textId="77777777">
        <w:trPr>
          <w:trHeight w:val="895"/>
        </w:trPr>
        <w:tc>
          <w:tcPr>
            <w:tcW w:w="567" w:type="dxa"/>
          </w:tcPr>
          <w:p w:rsidRPr="00D76BC8" w:rsidR="009A5C3C" w:rsidP="007C26FD" w:rsidRDefault="009A5C3C" w14:paraId="25FF18C1" w14:textId="7F5B37A6">
            <w:pPr>
              <w:rPr>
                <w:rFonts w:ascii="Verdana" w:hAnsi="Verdana" w:eastAsia="Times New Roman"/>
                <w:sz w:val="18"/>
                <w:szCs w:val="18"/>
              </w:rPr>
            </w:pPr>
            <w:r w:rsidRPr="00D76BC8">
              <w:rPr>
                <w:rFonts w:ascii="Verdana" w:hAnsi="Verdana" w:eastAsia="Times New Roman"/>
                <w:sz w:val="18"/>
                <w:szCs w:val="18"/>
              </w:rPr>
              <w:t>13.</w:t>
            </w:r>
          </w:p>
        </w:tc>
        <w:tc>
          <w:tcPr>
            <w:tcW w:w="2410" w:type="dxa"/>
          </w:tcPr>
          <w:p w:rsidRPr="0086334D" w:rsidR="009A5C3C" w:rsidP="007C26FD" w:rsidRDefault="00A80351" w14:paraId="46657BC8" w14:textId="45ECA0C7">
            <w:pPr>
              <w:rPr>
                <w:rFonts w:ascii="Verdana" w:hAnsi="Verdana" w:eastAsia="Times New Roman"/>
                <w:sz w:val="18"/>
                <w:szCs w:val="18"/>
              </w:rPr>
            </w:pPr>
            <w:r w:rsidRPr="0086334D">
              <w:rPr>
                <w:rFonts w:ascii="Verdana" w:hAnsi="Verdana" w:eastAsia="Times New Roman"/>
                <w:sz w:val="18"/>
                <w:szCs w:val="18"/>
              </w:rPr>
              <w:t>Wetgevingshandeling inzake digitale netwerken</w:t>
            </w:r>
            <w:r w:rsidRPr="0086334D" w:rsidDel="00A80351">
              <w:rPr>
                <w:rFonts w:ascii="Verdana" w:hAnsi="Verdana" w:eastAsia="Times New Roman"/>
                <w:sz w:val="18"/>
                <w:szCs w:val="18"/>
              </w:rPr>
              <w:t xml:space="preserve"> </w:t>
            </w:r>
            <w:r w:rsidRPr="0086334D" w:rsidR="009A5C3C">
              <w:rPr>
                <w:rFonts w:ascii="Verdana" w:hAnsi="Verdana" w:eastAsia="Times New Roman"/>
                <w:sz w:val="18"/>
                <w:szCs w:val="18"/>
              </w:rPr>
              <w:t>(Q4 2025)</w:t>
            </w:r>
          </w:p>
        </w:tc>
        <w:tc>
          <w:tcPr>
            <w:tcW w:w="4678" w:type="dxa"/>
          </w:tcPr>
          <w:p w:rsidRPr="00D76BC8" w:rsidR="009A5C3C" w:rsidP="007C26FD" w:rsidRDefault="009A5C3C" w14:paraId="3E4A6F10" w14:textId="649F6801">
            <w:pPr>
              <w:rPr>
                <w:rFonts w:ascii="Verdana" w:hAnsi="Verdana"/>
                <w:sz w:val="18"/>
                <w:szCs w:val="18"/>
              </w:rPr>
            </w:pPr>
            <w:r w:rsidRPr="00D76BC8">
              <w:rPr>
                <w:rFonts w:ascii="Verdana" w:hAnsi="Verdana"/>
                <w:sz w:val="18"/>
                <w:szCs w:val="18"/>
              </w:rPr>
              <w:t xml:space="preserve">De Commissie beoogt met dit voorstel </w:t>
            </w:r>
            <w:r w:rsidR="007262E8">
              <w:rPr>
                <w:rFonts w:ascii="Verdana" w:hAnsi="Verdana"/>
                <w:sz w:val="18"/>
                <w:szCs w:val="18"/>
              </w:rPr>
              <w:t xml:space="preserve">innovatie, veiligheid en weerbaarheid van </w:t>
            </w:r>
            <w:r w:rsidR="00F81A2E">
              <w:rPr>
                <w:rFonts w:ascii="Verdana" w:hAnsi="Verdana"/>
                <w:sz w:val="18"/>
                <w:szCs w:val="18"/>
              </w:rPr>
              <w:t>Europese</w:t>
            </w:r>
            <w:r w:rsidR="007262E8">
              <w:rPr>
                <w:rFonts w:ascii="Verdana" w:hAnsi="Verdana"/>
                <w:sz w:val="18"/>
                <w:szCs w:val="18"/>
              </w:rPr>
              <w:t xml:space="preserve"> digitale infrastructuren en connectiviteit te </w:t>
            </w:r>
            <w:r w:rsidRPr="00D76BC8">
              <w:rPr>
                <w:rFonts w:ascii="Verdana" w:hAnsi="Verdana"/>
                <w:sz w:val="18"/>
                <w:szCs w:val="18"/>
              </w:rPr>
              <w:t xml:space="preserve">stimuleren. </w:t>
            </w:r>
            <w:r w:rsidR="00F81A2E">
              <w:rPr>
                <w:rFonts w:ascii="Verdana" w:hAnsi="Verdana"/>
                <w:sz w:val="18"/>
                <w:szCs w:val="18"/>
              </w:rPr>
              <w:t>Naar verwachting</w:t>
            </w:r>
            <w:r w:rsidRPr="00D76BC8">
              <w:rPr>
                <w:rFonts w:ascii="Verdana" w:hAnsi="Verdana"/>
                <w:sz w:val="18"/>
                <w:szCs w:val="18"/>
              </w:rPr>
              <w:t xml:space="preserve"> denkt de Commissie hierbij onder meer aan het stimuleren van grensoverschrijdende fusies van telecombedrijven, een grotere rol van de Commissie ten aanzien van spectrumbeleid en het beperken van de verplichtingen voor dominante telecombedrijven om toegang aan concurrenten te geven.</w:t>
            </w:r>
          </w:p>
        </w:tc>
        <w:tc>
          <w:tcPr>
            <w:tcW w:w="5812" w:type="dxa"/>
          </w:tcPr>
          <w:p w:rsidRPr="00D76BC8" w:rsidR="009A5C3C" w:rsidP="007C26FD" w:rsidRDefault="005F2CE1" w14:paraId="4893969F" w14:textId="300B9E1C">
            <w:pPr>
              <w:rPr>
                <w:rFonts w:ascii="Verdana" w:hAnsi="Verdana"/>
                <w:sz w:val="18"/>
                <w:szCs w:val="18"/>
              </w:rPr>
            </w:pPr>
            <w:r>
              <w:rPr>
                <w:rFonts w:ascii="Verdana" w:hAnsi="Verdana"/>
                <w:sz w:val="18"/>
                <w:szCs w:val="18"/>
              </w:rPr>
              <w:t>Het kabinet</w:t>
            </w:r>
            <w:r w:rsidRPr="00D76BC8">
              <w:rPr>
                <w:rFonts w:ascii="Verdana" w:hAnsi="Verdana"/>
                <w:sz w:val="18"/>
                <w:szCs w:val="18"/>
              </w:rPr>
              <w:t xml:space="preserve"> </w:t>
            </w:r>
            <w:r w:rsidRPr="00D76BC8" w:rsidR="009A5C3C">
              <w:rPr>
                <w:rFonts w:ascii="Verdana" w:hAnsi="Verdana"/>
                <w:sz w:val="18"/>
                <w:szCs w:val="18"/>
              </w:rPr>
              <w:t xml:space="preserve">beschouwt </w:t>
            </w:r>
            <w:r w:rsidR="007262E8">
              <w:rPr>
                <w:rFonts w:ascii="Verdana" w:hAnsi="Verdana"/>
                <w:sz w:val="18"/>
                <w:szCs w:val="18"/>
              </w:rPr>
              <w:t xml:space="preserve">goede en betaalbare netwerken als ruggengraat van onze sterk gedigitaliseerde samenleving en economie. </w:t>
            </w:r>
            <w:r w:rsidR="00F81A2E">
              <w:rPr>
                <w:rFonts w:ascii="Verdana" w:hAnsi="Verdana"/>
                <w:sz w:val="18"/>
                <w:szCs w:val="18"/>
              </w:rPr>
              <w:t>Het kabinet</w:t>
            </w:r>
            <w:r w:rsidRPr="00D76BC8" w:rsidR="00F81A2E">
              <w:rPr>
                <w:rFonts w:ascii="Verdana" w:hAnsi="Verdana"/>
                <w:sz w:val="18"/>
                <w:szCs w:val="18"/>
              </w:rPr>
              <w:t xml:space="preserve"> </w:t>
            </w:r>
            <w:r w:rsidRPr="00D76BC8" w:rsidR="009A5C3C">
              <w:rPr>
                <w:rFonts w:ascii="Verdana" w:hAnsi="Verdana"/>
                <w:sz w:val="18"/>
                <w:szCs w:val="18"/>
              </w:rPr>
              <w:t>vindt het belangrijk dat de belangen van eindgebruikers (consumenten, bedrijven en overheden) centraal blijven staan.</w:t>
            </w:r>
            <w:r w:rsidR="007262E8">
              <w:rPr>
                <w:rFonts w:ascii="Verdana" w:hAnsi="Verdana"/>
                <w:sz w:val="18"/>
                <w:szCs w:val="18"/>
              </w:rPr>
              <w:t xml:space="preserve"> </w:t>
            </w:r>
          </w:p>
        </w:tc>
        <w:tc>
          <w:tcPr>
            <w:tcW w:w="1984" w:type="dxa"/>
          </w:tcPr>
          <w:p w:rsidRPr="00D76BC8" w:rsidR="009A5C3C" w:rsidP="007C26FD" w:rsidRDefault="009A5C3C" w14:paraId="61063B7C" w14:textId="143733D1">
            <w:pPr>
              <w:rPr>
                <w:rFonts w:ascii="Verdana" w:hAnsi="Verdana" w:cstheme="minorHAnsi"/>
                <w:color w:val="000000"/>
                <w:sz w:val="18"/>
                <w:szCs w:val="18"/>
              </w:rPr>
            </w:pPr>
            <w:proofErr w:type="spellStart"/>
            <w:r w:rsidRPr="00D76BC8">
              <w:rPr>
                <w:rFonts w:ascii="Verdana" w:hAnsi="Verdana" w:cstheme="minorHAnsi"/>
                <w:color w:val="000000"/>
                <w:sz w:val="18"/>
                <w:szCs w:val="18"/>
                <w:lang w:val="en-US"/>
              </w:rPr>
              <w:t>Wetgevend</w:t>
            </w:r>
            <w:proofErr w:type="spellEnd"/>
            <w:r w:rsidRPr="00D76BC8">
              <w:rPr>
                <w:rFonts w:ascii="Verdana" w:hAnsi="Verdana" w:cstheme="minorHAnsi"/>
                <w:color w:val="000000"/>
                <w:sz w:val="18"/>
                <w:szCs w:val="18"/>
                <w:lang w:val="en-US"/>
              </w:rPr>
              <w:t xml:space="preserve"> (incl. impact assessment)</w:t>
            </w:r>
          </w:p>
        </w:tc>
      </w:tr>
      <w:tr w:rsidRPr="00D76BC8" w:rsidR="009A5C3C" w:rsidTr="0086334D" w14:paraId="2CC5AC00" w14:textId="77777777">
        <w:trPr>
          <w:trHeight w:val="895"/>
        </w:trPr>
        <w:tc>
          <w:tcPr>
            <w:tcW w:w="567" w:type="dxa"/>
          </w:tcPr>
          <w:p w:rsidRPr="00D76BC8" w:rsidR="009A5C3C" w:rsidP="007C26FD" w:rsidRDefault="009A5C3C" w14:paraId="3DB9C695" w14:textId="4166DD78">
            <w:pPr>
              <w:rPr>
                <w:rFonts w:ascii="Verdana" w:hAnsi="Verdana" w:eastAsia="Times New Roman"/>
                <w:sz w:val="18"/>
                <w:szCs w:val="18"/>
              </w:rPr>
            </w:pPr>
            <w:r w:rsidRPr="00D76BC8">
              <w:rPr>
                <w:rFonts w:ascii="Verdana" w:hAnsi="Verdana" w:eastAsia="Times New Roman"/>
                <w:sz w:val="18"/>
                <w:szCs w:val="18"/>
              </w:rPr>
              <w:t>14.</w:t>
            </w:r>
          </w:p>
        </w:tc>
        <w:tc>
          <w:tcPr>
            <w:tcW w:w="2410" w:type="dxa"/>
          </w:tcPr>
          <w:p w:rsidRPr="0086334D" w:rsidR="009A5C3C" w:rsidP="007C26FD" w:rsidRDefault="00A80351" w14:paraId="1B04294F" w14:textId="25787E06">
            <w:pPr>
              <w:rPr>
                <w:rFonts w:ascii="Verdana" w:hAnsi="Verdana" w:eastAsia="Times New Roman"/>
                <w:sz w:val="18"/>
                <w:szCs w:val="18"/>
              </w:rPr>
            </w:pPr>
            <w:r w:rsidRPr="0086334D">
              <w:rPr>
                <w:rFonts w:ascii="Verdana" w:hAnsi="Verdana"/>
                <w:sz w:val="18"/>
                <w:szCs w:val="18"/>
              </w:rPr>
              <w:t>Actieplan voor het AI-continent</w:t>
            </w:r>
            <w:r w:rsidRPr="0086334D" w:rsidDel="00A80351">
              <w:rPr>
                <w:rFonts w:ascii="Verdana" w:hAnsi="Verdana"/>
                <w:sz w:val="18"/>
                <w:szCs w:val="18"/>
              </w:rPr>
              <w:t xml:space="preserve"> </w:t>
            </w:r>
            <w:r w:rsidRPr="0086334D" w:rsidR="009A5C3C">
              <w:rPr>
                <w:rFonts w:ascii="Verdana" w:hAnsi="Verdana" w:eastAsia="Times New Roman"/>
                <w:sz w:val="18"/>
                <w:szCs w:val="18"/>
              </w:rPr>
              <w:t>(Q1 2025)</w:t>
            </w:r>
          </w:p>
        </w:tc>
        <w:tc>
          <w:tcPr>
            <w:tcW w:w="4678" w:type="dxa"/>
          </w:tcPr>
          <w:p w:rsidRPr="0086334D" w:rsidR="009A5C3C" w:rsidP="007C26FD" w:rsidRDefault="009A5C3C" w14:paraId="09B173C0" w14:textId="089B0065">
            <w:pPr>
              <w:rPr>
                <w:rFonts w:ascii="Verdana" w:hAnsi="Verdana"/>
                <w:sz w:val="18"/>
                <w:szCs w:val="18"/>
              </w:rPr>
            </w:pPr>
            <w:r w:rsidRPr="00D76BC8">
              <w:rPr>
                <w:rFonts w:ascii="Verdana" w:hAnsi="Verdana"/>
                <w:sz w:val="18"/>
                <w:szCs w:val="18"/>
              </w:rPr>
              <w:t xml:space="preserve">De Commissie wil de kansen die kunstmatige intelligentie biedt optimaal benutten. Het doel van een AI-continentactieplan is AI-ecosystemen in </w:t>
            </w:r>
            <w:r w:rsidR="00DF755F">
              <w:rPr>
                <w:rFonts w:ascii="Verdana" w:hAnsi="Verdana"/>
                <w:sz w:val="18"/>
                <w:szCs w:val="18"/>
              </w:rPr>
              <w:t>de EU</w:t>
            </w:r>
            <w:r w:rsidRPr="00D76BC8" w:rsidR="00DF755F">
              <w:rPr>
                <w:rFonts w:ascii="Verdana" w:hAnsi="Verdana"/>
                <w:sz w:val="18"/>
                <w:szCs w:val="18"/>
              </w:rPr>
              <w:t xml:space="preserve"> </w:t>
            </w:r>
            <w:r w:rsidRPr="00D76BC8">
              <w:rPr>
                <w:rFonts w:ascii="Verdana" w:hAnsi="Verdana"/>
                <w:sz w:val="18"/>
                <w:szCs w:val="18"/>
              </w:rPr>
              <w:t>te stimuleren (door AI-fabrieken</w:t>
            </w:r>
            <w:r w:rsidR="00DF755F">
              <w:rPr>
                <w:rFonts w:ascii="Verdana" w:hAnsi="Verdana"/>
                <w:sz w:val="18"/>
                <w:szCs w:val="18"/>
              </w:rPr>
              <w:t xml:space="preserve"> op te zetten</w:t>
            </w:r>
            <w:r w:rsidRPr="00D76BC8">
              <w:rPr>
                <w:rFonts w:ascii="Verdana" w:hAnsi="Verdana"/>
                <w:sz w:val="18"/>
                <w:szCs w:val="18"/>
              </w:rPr>
              <w:t xml:space="preserve">) en concurrerend </w:t>
            </w:r>
            <w:r w:rsidR="00DF755F">
              <w:rPr>
                <w:rFonts w:ascii="Verdana" w:hAnsi="Verdana"/>
                <w:sz w:val="18"/>
                <w:szCs w:val="18"/>
              </w:rPr>
              <w:t xml:space="preserve">te </w:t>
            </w:r>
            <w:r w:rsidRPr="00D76BC8">
              <w:rPr>
                <w:rFonts w:ascii="Verdana" w:hAnsi="Verdana"/>
                <w:sz w:val="18"/>
                <w:szCs w:val="18"/>
              </w:rPr>
              <w:t xml:space="preserve">maken (incl. </w:t>
            </w:r>
            <w:proofErr w:type="spellStart"/>
            <w:r w:rsidRPr="00D76BC8">
              <w:rPr>
                <w:rFonts w:ascii="Verdana" w:hAnsi="Verdana"/>
                <w:sz w:val="18"/>
                <w:szCs w:val="18"/>
              </w:rPr>
              <w:t>Apply</w:t>
            </w:r>
            <w:proofErr w:type="spellEnd"/>
            <w:r w:rsidRPr="00D76BC8">
              <w:rPr>
                <w:rFonts w:ascii="Verdana" w:hAnsi="Verdana"/>
                <w:sz w:val="18"/>
                <w:szCs w:val="18"/>
              </w:rPr>
              <w:t xml:space="preserve"> AI-strategie</w:t>
            </w:r>
            <w:r w:rsidR="00D92E80">
              <w:rPr>
                <w:rFonts w:ascii="Verdana" w:hAnsi="Verdana"/>
                <w:sz w:val="18"/>
                <w:szCs w:val="18"/>
              </w:rPr>
              <w:t xml:space="preserve"> voor toepassing AI in bepaalde sectoren, o.a. in de maakindustrie en de gezondheidszorg</w:t>
            </w:r>
            <w:r w:rsidRPr="00D76BC8">
              <w:rPr>
                <w:rFonts w:ascii="Verdana" w:hAnsi="Verdana"/>
                <w:sz w:val="18"/>
                <w:szCs w:val="18"/>
              </w:rPr>
              <w:t>).</w:t>
            </w:r>
          </w:p>
        </w:tc>
        <w:tc>
          <w:tcPr>
            <w:tcW w:w="5812" w:type="dxa"/>
          </w:tcPr>
          <w:p w:rsidRPr="00D76BC8" w:rsidR="009A5C3C" w:rsidP="007C26FD" w:rsidRDefault="005F2CE1" w14:paraId="77B23B21" w14:textId="4A9B142B">
            <w:pPr>
              <w:rPr>
                <w:rFonts w:ascii="Verdana" w:hAnsi="Verdana"/>
                <w:sz w:val="18"/>
                <w:szCs w:val="18"/>
              </w:rPr>
            </w:pPr>
            <w:r>
              <w:rPr>
                <w:rFonts w:ascii="Verdana" w:hAnsi="Verdana"/>
                <w:sz w:val="18"/>
                <w:szCs w:val="18"/>
              </w:rPr>
              <w:t>Het kabinet</w:t>
            </w:r>
            <w:r w:rsidRPr="00D76BC8">
              <w:rPr>
                <w:rFonts w:ascii="Verdana" w:hAnsi="Verdana"/>
                <w:sz w:val="18"/>
                <w:szCs w:val="18"/>
              </w:rPr>
              <w:t xml:space="preserve"> </w:t>
            </w:r>
            <w:r w:rsidRPr="00D76BC8" w:rsidR="009A5C3C">
              <w:rPr>
                <w:rFonts w:ascii="Verdana" w:hAnsi="Verdana"/>
                <w:sz w:val="18"/>
                <w:szCs w:val="18"/>
              </w:rPr>
              <w:t xml:space="preserve">zet zich in om het AI-ecosysteem te versterken. Daarom verkent </w:t>
            </w:r>
            <w:r>
              <w:rPr>
                <w:rFonts w:ascii="Verdana" w:hAnsi="Verdana"/>
                <w:sz w:val="18"/>
                <w:szCs w:val="18"/>
              </w:rPr>
              <w:t>het kabinet</w:t>
            </w:r>
            <w:r w:rsidRPr="00D76BC8">
              <w:rPr>
                <w:rFonts w:ascii="Verdana" w:hAnsi="Verdana"/>
                <w:sz w:val="18"/>
                <w:szCs w:val="18"/>
              </w:rPr>
              <w:t xml:space="preserve"> </w:t>
            </w:r>
            <w:r w:rsidRPr="00D76BC8" w:rsidR="009A5C3C">
              <w:rPr>
                <w:rFonts w:ascii="Verdana" w:hAnsi="Verdana"/>
                <w:sz w:val="18"/>
                <w:szCs w:val="18"/>
              </w:rPr>
              <w:t>de mogelijkheden van een AI-fabriek in Nederland</w:t>
            </w:r>
            <w:r w:rsidR="00BA7051">
              <w:rPr>
                <w:rFonts w:ascii="Verdana" w:hAnsi="Verdana"/>
                <w:sz w:val="18"/>
                <w:szCs w:val="18"/>
              </w:rPr>
              <w:t xml:space="preserve"> en kijkt </w:t>
            </w:r>
            <w:r w:rsidRPr="00D76BC8" w:rsidR="009A5C3C">
              <w:rPr>
                <w:rFonts w:ascii="Verdana" w:hAnsi="Verdana"/>
                <w:sz w:val="18"/>
                <w:szCs w:val="18"/>
              </w:rPr>
              <w:t xml:space="preserve"> </w:t>
            </w:r>
            <w:r w:rsidR="00BA7051">
              <w:rPr>
                <w:rFonts w:ascii="Verdana" w:hAnsi="Verdana"/>
                <w:sz w:val="18"/>
                <w:szCs w:val="18"/>
              </w:rPr>
              <w:t xml:space="preserve">het </w:t>
            </w:r>
            <w:r w:rsidRPr="00D76BC8" w:rsidR="009A5C3C">
              <w:rPr>
                <w:rFonts w:ascii="Verdana" w:hAnsi="Verdana"/>
                <w:sz w:val="18"/>
                <w:szCs w:val="18"/>
              </w:rPr>
              <w:t xml:space="preserve">uit naar </w:t>
            </w:r>
            <w:r w:rsidR="00030C43">
              <w:rPr>
                <w:rFonts w:ascii="Verdana" w:hAnsi="Verdana"/>
                <w:sz w:val="18"/>
                <w:szCs w:val="18"/>
              </w:rPr>
              <w:t>verdere</w:t>
            </w:r>
            <w:r w:rsidRPr="00D76BC8" w:rsidR="009A5C3C">
              <w:rPr>
                <w:rFonts w:ascii="Verdana" w:hAnsi="Verdana"/>
                <w:sz w:val="18"/>
                <w:szCs w:val="18"/>
              </w:rPr>
              <w:t xml:space="preserve"> plannen, waaronder de </w:t>
            </w:r>
            <w:proofErr w:type="spellStart"/>
            <w:r w:rsidRPr="00D76BC8" w:rsidR="009A5C3C">
              <w:rPr>
                <w:rFonts w:ascii="Verdana" w:hAnsi="Verdana"/>
                <w:sz w:val="18"/>
                <w:szCs w:val="18"/>
              </w:rPr>
              <w:t>Apply</w:t>
            </w:r>
            <w:proofErr w:type="spellEnd"/>
            <w:r w:rsidRPr="00D76BC8" w:rsidR="009A5C3C">
              <w:rPr>
                <w:rFonts w:ascii="Verdana" w:hAnsi="Verdana"/>
                <w:sz w:val="18"/>
                <w:szCs w:val="18"/>
              </w:rPr>
              <w:t xml:space="preserve"> AI-strategie.</w:t>
            </w:r>
          </w:p>
        </w:tc>
        <w:tc>
          <w:tcPr>
            <w:tcW w:w="1984" w:type="dxa"/>
          </w:tcPr>
          <w:p w:rsidRPr="00D76BC8" w:rsidR="009A5C3C" w:rsidP="007C26FD" w:rsidRDefault="009A5C3C" w14:paraId="49847C85" w14:textId="77777777">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p w:rsidRPr="00D76BC8" w:rsidR="009A5C3C" w:rsidP="007C26FD" w:rsidRDefault="009A5C3C" w14:paraId="0B934B8A" w14:textId="77777777">
            <w:pPr>
              <w:rPr>
                <w:rFonts w:ascii="Verdana" w:hAnsi="Verdana" w:cstheme="minorHAnsi"/>
                <w:color w:val="000000"/>
                <w:sz w:val="18"/>
                <w:szCs w:val="18"/>
                <w:lang w:val="en-US"/>
              </w:rPr>
            </w:pPr>
          </w:p>
        </w:tc>
      </w:tr>
      <w:tr w:rsidRPr="00D76BC8" w:rsidR="009A5C3C" w:rsidTr="0086334D" w14:paraId="779129B9" w14:textId="77777777">
        <w:trPr>
          <w:trHeight w:val="895"/>
        </w:trPr>
        <w:tc>
          <w:tcPr>
            <w:tcW w:w="567" w:type="dxa"/>
          </w:tcPr>
          <w:p w:rsidRPr="00D76BC8" w:rsidR="009A5C3C" w:rsidP="007C26FD" w:rsidRDefault="009A5C3C" w14:paraId="7CAB47A7" w14:textId="75731BEB">
            <w:pPr>
              <w:rPr>
                <w:rFonts w:ascii="Verdana" w:hAnsi="Verdana" w:eastAsia="Times New Roman"/>
                <w:sz w:val="18"/>
                <w:szCs w:val="18"/>
              </w:rPr>
            </w:pPr>
            <w:r w:rsidRPr="00D76BC8">
              <w:rPr>
                <w:rFonts w:ascii="Verdana" w:hAnsi="Verdana" w:eastAsia="Times New Roman"/>
                <w:sz w:val="18"/>
                <w:szCs w:val="18"/>
              </w:rPr>
              <w:t>15.</w:t>
            </w:r>
          </w:p>
        </w:tc>
        <w:tc>
          <w:tcPr>
            <w:tcW w:w="2410" w:type="dxa"/>
          </w:tcPr>
          <w:p w:rsidRPr="0086334D" w:rsidR="009A5C3C" w:rsidP="007C26FD" w:rsidRDefault="00A80351" w14:paraId="51E8D278" w14:textId="3A61880B">
            <w:pPr>
              <w:rPr>
                <w:rFonts w:ascii="Verdana" w:hAnsi="Verdana" w:eastAsia="Times New Roman"/>
                <w:sz w:val="18"/>
                <w:szCs w:val="18"/>
              </w:rPr>
            </w:pPr>
            <w:r w:rsidRPr="0086334D">
              <w:rPr>
                <w:rFonts w:ascii="Verdana" w:hAnsi="Verdana" w:eastAsia="Times New Roman"/>
                <w:sz w:val="18"/>
                <w:szCs w:val="18"/>
              </w:rPr>
              <w:t>Kwantumstrategie van de EU</w:t>
            </w:r>
            <w:r w:rsidRPr="0086334D" w:rsidDel="00A80351">
              <w:rPr>
                <w:rFonts w:ascii="Verdana" w:hAnsi="Verdana" w:eastAsia="Times New Roman"/>
                <w:sz w:val="18"/>
                <w:szCs w:val="18"/>
              </w:rPr>
              <w:t xml:space="preserve"> </w:t>
            </w:r>
            <w:r w:rsidRPr="0086334D" w:rsidR="009A5C3C">
              <w:rPr>
                <w:rFonts w:ascii="Verdana" w:hAnsi="Verdana" w:eastAsia="Times New Roman"/>
                <w:sz w:val="18"/>
                <w:szCs w:val="18"/>
              </w:rPr>
              <w:t>(Q2 2025)</w:t>
            </w:r>
          </w:p>
        </w:tc>
        <w:tc>
          <w:tcPr>
            <w:tcW w:w="4678" w:type="dxa"/>
          </w:tcPr>
          <w:p w:rsidRPr="00D76BC8" w:rsidR="009A5C3C" w:rsidP="007C26FD" w:rsidRDefault="009A5C3C" w14:paraId="6BDF28B9" w14:textId="343F9E81">
            <w:pPr>
              <w:rPr>
                <w:rFonts w:ascii="Verdana" w:hAnsi="Verdana"/>
                <w:sz w:val="18"/>
                <w:szCs w:val="18"/>
              </w:rPr>
            </w:pPr>
            <w:r w:rsidRPr="00D76BC8">
              <w:rPr>
                <w:rFonts w:ascii="Verdana" w:hAnsi="Verdana"/>
                <w:sz w:val="18"/>
                <w:szCs w:val="18"/>
              </w:rPr>
              <w:t xml:space="preserve">Met de EU-kwantumstrategie en de daaropvolgende </w:t>
            </w:r>
            <w:r w:rsidR="007B5100">
              <w:rPr>
                <w:rFonts w:ascii="Verdana" w:hAnsi="Verdana"/>
                <w:sz w:val="18"/>
                <w:szCs w:val="18"/>
              </w:rPr>
              <w:t>kwantumverordening</w:t>
            </w:r>
            <w:r w:rsidRPr="00D76BC8">
              <w:rPr>
                <w:rFonts w:ascii="Verdana" w:hAnsi="Verdana"/>
                <w:sz w:val="18"/>
                <w:szCs w:val="18"/>
              </w:rPr>
              <w:t xml:space="preserve"> wil de </w:t>
            </w:r>
            <w:r w:rsidR="006C2A0D">
              <w:rPr>
                <w:rFonts w:ascii="Verdana" w:hAnsi="Verdana"/>
                <w:sz w:val="18"/>
                <w:szCs w:val="18"/>
              </w:rPr>
              <w:t>Commissie</w:t>
            </w:r>
            <w:r w:rsidRPr="00D76BC8">
              <w:rPr>
                <w:rFonts w:ascii="Verdana" w:hAnsi="Verdana"/>
                <w:sz w:val="18"/>
                <w:szCs w:val="18"/>
              </w:rPr>
              <w:t xml:space="preserve"> een mondiale leidende positie in deze sector behouden. Deze strategie draagt bij aan de opbouw van eigen capaciteiten voor onderzoek, ontwikkeling en productie van kwantumtechnologieën en bijbehorende systemen.</w:t>
            </w:r>
          </w:p>
        </w:tc>
        <w:tc>
          <w:tcPr>
            <w:tcW w:w="5812" w:type="dxa"/>
          </w:tcPr>
          <w:p w:rsidRPr="00D76BC8" w:rsidR="009A5C3C" w:rsidP="007C26FD" w:rsidRDefault="005F2CE1" w14:paraId="6B2A26F5" w14:textId="1D4DFD0A">
            <w:pPr>
              <w:rPr>
                <w:rFonts w:ascii="Verdana" w:hAnsi="Verdana"/>
                <w:sz w:val="18"/>
                <w:szCs w:val="18"/>
              </w:rPr>
            </w:pPr>
            <w:r>
              <w:rPr>
                <w:rFonts w:ascii="Verdana" w:hAnsi="Verdana"/>
                <w:sz w:val="18"/>
                <w:szCs w:val="18"/>
              </w:rPr>
              <w:t>Het kabinet</w:t>
            </w:r>
            <w:r w:rsidRPr="00D76BC8">
              <w:rPr>
                <w:rFonts w:ascii="Verdana" w:hAnsi="Verdana"/>
                <w:sz w:val="18"/>
                <w:szCs w:val="18"/>
              </w:rPr>
              <w:t xml:space="preserve"> </w:t>
            </w:r>
            <w:r w:rsidRPr="00D76BC8" w:rsidR="009A5C3C">
              <w:rPr>
                <w:rFonts w:ascii="Verdana" w:hAnsi="Verdana"/>
                <w:sz w:val="18"/>
                <w:szCs w:val="18"/>
              </w:rPr>
              <w:t>zal zich actief inzetten om de EU</w:t>
            </w:r>
            <w:r>
              <w:rPr>
                <w:rFonts w:ascii="Verdana" w:hAnsi="Verdana"/>
                <w:sz w:val="18"/>
                <w:szCs w:val="18"/>
              </w:rPr>
              <w:t>-kwantum</w:t>
            </w:r>
            <w:r w:rsidRPr="00D76BC8" w:rsidR="009A5C3C">
              <w:rPr>
                <w:rFonts w:ascii="Verdana" w:hAnsi="Verdana"/>
                <w:sz w:val="18"/>
                <w:szCs w:val="18"/>
              </w:rPr>
              <w:t xml:space="preserve">strategie vorm te geven en te versterken. Dit betekent niet alleen investeren in onderzoek en infrastructuur, maar ook een leidende rol pakken in de strategische richting van het Europese </w:t>
            </w:r>
            <w:r>
              <w:rPr>
                <w:rFonts w:ascii="Verdana" w:hAnsi="Verdana"/>
                <w:sz w:val="18"/>
                <w:szCs w:val="18"/>
              </w:rPr>
              <w:t>kwantum</w:t>
            </w:r>
            <w:r w:rsidRPr="00D76BC8" w:rsidR="009A5C3C">
              <w:rPr>
                <w:rFonts w:ascii="Verdana" w:hAnsi="Verdana"/>
                <w:sz w:val="18"/>
                <w:szCs w:val="18"/>
              </w:rPr>
              <w:t xml:space="preserve">beleid. Door expertise in te brengen en door samen te werken met het Europese </w:t>
            </w:r>
            <w:r>
              <w:rPr>
                <w:rFonts w:ascii="Verdana" w:hAnsi="Verdana"/>
                <w:sz w:val="18"/>
                <w:szCs w:val="18"/>
              </w:rPr>
              <w:t>kwantum</w:t>
            </w:r>
            <w:r w:rsidRPr="00D76BC8" w:rsidR="009A5C3C">
              <w:rPr>
                <w:rFonts w:ascii="Verdana" w:hAnsi="Verdana"/>
                <w:sz w:val="18"/>
                <w:szCs w:val="18"/>
              </w:rPr>
              <w:t xml:space="preserve">ecosysteem, </w:t>
            </w:r>
            <w:r w:rsidR="00940D40">
              <w:rPr>
                <w:rFonts w:ascii="Verdana" w:hAnsi="Verdana"/>
                <w:sz w:val="18"/>
                <w:szCs w:val="18"/>
              </w:rPr>
              <w:t>wil</w:t>
            </w:r>
            <w:r w:rsidRPr="00D76BC8" w:rsidR="00940D40">
              <w:rPr>
                <w:rFonts w:ascii="Verdana" w:hAnsi="Verdana"/>
                <w:sz w:val="18"/>
                <w:szCs w:val="18"/>
              </w:rPr>
              <w:t xml:space="preserve"> </w:t>
            </w:r>
            <w:r w:rsidRPr="00D76BC8" w:rsidR="009A5C3C">
              <w:rPr>
                <w:rFonts w:ascii="Verdana" w:hAnsi="Verdana"/>
                <w:sz w:val="18"/>
                <w:szCs w:val="18"/>
              </w:rPr>
              <w:t>het kabinet bij</w:t>
            </w:r>
            <w:r w:rsidR="00940D40">
              <w:rPr>
                <w:rFonts w:ascii="Verdana" w:hAnsi="Verdana"/>
                <w:sz w:val="18"/>
                <w:szCs w:val="18"/>
              </w:rPr>
              <w:t xml:space="preserve">dragen </w:t>
            </w:r>
            <w:r w:rsidRPr="00D76BC8" w:rsidR="009A5C3C">
              <w:rPr>
                <w:rFonts w:ascii="Verdana" w:hAnsi="Verdana"/>
                <w:sz w:val="18"/>
                <w:szCs w:val="18"/>
              </w:rPr>
              <w:t xml:space="preserve">aan het ontwikkelen van een ambitieuze en haalbare koers voor </w:t>
            </w:r>
            <w:proofErr w:type="spellStart"/>
            <w:r w:rsidRPr="00D76BC8" w:rsidR="009A5C3C">
              <w:rPr>
                <w:rFonts w:ascii="Verdana" w:hAnsi="Verdana"/>
                <w:sz w:val="18"/>
                <w:szCs w:val="18"/>
              </w:rPr>
              <w:t>quantumtechnologie</w:t>
            </w:r>
            <w:proofErr w:type="spellEnd"/>
            <w:r w:rsidRPr="00D76BC8" w:rsidR="009A5C3C">
              <w:rPr>
                <w:rFonts w:ascii="Verdana" w:hAnsi="Verdana"/>
                <w:sz w:val="18"/>
                <w:szCs w:val="18"/>
              </w:rPr>
              <w:t xml:space="preserve"> in Nederland.</w:t>
            </w:r>
          </w:p>
        </w:tc>
        <w:tc>
          <w:tcPr>
            <w:tcW w:w="1984" w:type="dxa"/>
          </w:tcPr>
          <w:p w:rsidRPr="00D76BC8" w:rsidR="009A5C3C" w:rsidP="007C26FD" w:rsidRDefault="009A5C3C" w14:paraId="04110D96" w14:textId="77777777">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p w:rsidRPr="00D76BC8" w:rsidR="009A5C3C" w:rsidP="007C26FD" w:rsidRDefault="009A5C3C" w14:paraId="4B25789E" w14:textId="77777777">
            <w:pPr>
              <w:rPr>
                <w:rFonts w:ascii="Verdana" w:hAnsi="Verdana" w:cstheme="minorHAnsi"/>
                <w:color w:val="000000"/>
                <w:sz w:val="18"/>
                <w:szCs w:val="18"/>
              </w:rPr>
            </w:pPr>
          </w:p>
        </w:tc>
      </w:tr>
      <w:tr w:rsidRPr="00D76BC8" w:rsidR="009A5C3C" w:rsidTr="0086334D" w14:paraId="25FF0321" w14:textId="77777777">
        <w:trPr>
          <w:trHeight w:val="895"/>
        </w:trPr>
        <w:tc>
          <w:tcPr>
            <w:tcW w:w="567" w:type="dxa"/>
          </w:tcPr>
          <w:p w:rsidRPr="00D76BC8" w:rsidR="009A5C3C" w:rsidP="007C26FD" w:rsidRDefault="009A5C3C" w14:paraId="0447704E" w14:textId="6B5CA26F">
            <w:pPr>
              <w:rPr>
                <w:rFonts w:ascii="Verdana" w:hAnsi="Verdana" w:eastAsia="Times New Roman"/>
                <w:sz w:val="18"/>
                <w:szCs w:val="18"/>
              </w:rPr>
            </w:pPr>
            <w:r w:rsidRPr="00D76BC8">
              <w:rPr>
                <w:rFonts w:ascii="Verdana" w:hAnsi="Verdana" w:eastAsia="Times New Roman"/>
                <w:sz w:val="18"/>
                <w:szCs w:val="18"/>
              </w:rPr>
              <w:t>16.</w:t>
            </w:r>
          </w:p>
        </w:tc>
        <w:tc>
          <w:tcPr>
            <w:tcW w:w="2410" w:type="dxa"/>
          </w:tcPr>
          <w:p w:rsidRPr="0086334D" w:rsidR="009A5C3C" w:rsidP="007C26FD" w:rsidRDefault="00A80351" w14:paraId="43AC189B" w14:textId="53F122ED">
            <w:pPr>
              <w:rPr>
                <w:rFonts w:ascii="Verdana" w:hAnsi="Verdana" w:eastAsia="Times New Roman"/>
                <w:sz w:val="18"/>
                <w:szCs w:val="18"/>
              </w:rPr>
            </w:pPr>
            <w:r w:rsidRPr="0086334D">
              <w:rPr>
                <w:rFonts w:ascii="Verdana" w:hAnsi="Verdana" w:eastAsia="Times New Roman"/>
                <w:sz w:val="18"/>
                <w:szCs w:val="18"/>
              </w:rPr>
              <w:t>Wetgevingshandeling inzake de ruimtevaart</w:t>
            </w:r>
            <w:r w:rsidRPr="0086334D" w:rsidDel="00A80351">
              <w:rPr>
                <w:rFonts w:ascii="Verdana" w:hAnsi="Verdana" w:eastAsia="Times New Roman"/>
                <w:sz w:val="18"/>
                <w:szCs w:val="18"/>
              </w:rPr>
              <w:t xml:space="preserve"> </w:t>
            </w:r>
            <w:r w:rsidRPr="0086334D" w:rsidR="009A5C3C">
              <w:rPr>
                <w:rFonts w:ascii="Verdana" w:hAnsi="Verdana" w:eastAsia="Times New Roman"/>
                <w:sz w:val="18"/>
                <w:szCs w:val="18"/>
              </w:rPr>
              <w:t>(Q2 2025)</w:t>
            </w:r>
          </w:p>
        </w:tc>
        <w:tc>
          <w:tcPr>
            <w:tcW w:w="4678" w:type="dxa"/>
          </w:tcPr>
          <w:p w:rsidRPr="00D76BC8" w:rsidR="009A5C3C" w:rsidP="007C26FD" w:rsidRDefault="009A0DDB" w14:paraId="3C38DBF5" w14:textId="288D6048">
            <w:pPr>
              <w:rPr>
                <w:rFonts w:ascii="Verdana" w:hAnsi="Verdana"/>
                <w:sz w:val="18"/>
                <w:szCs w:val="18"/>
              </w:rPr>
            </w:pPr>
            <w:r>
              <w:rPr>
                <w:rFonts w:ascii="Verdana" w:hAnsi="Verdana"/>
                <w:sz w:val="18"/>
                <w:szCs w:val="18"/>
              </w:rPr>
              <w:t>De Commissie beoogt</w:t>
            </w:r>
            <w:r w:rsidRPr="00D76BC8" w:rsidR="009A5C3C">
              <w:rPr>
                <w:rFonts w:ascii="Verdana" w:hAnsi="Verdana"/>
                <w:sz w:val="18"/>
                <w:szCs w:val="18"/>
              </w:rPr>
              <w:t xml:space="preserve"> een juridisch kader te creëren voor Europese ruimtevaartexploitanten, waarmee een stabiele, voorspelbare en concurrerende sector wordt gewaarborgd. Daarnaast richt de </w:t>
            </w:r>
            <w:r w:rsidR="005F2CE1">
              <w:rPr>
                <w:rFonts w:ascii="Verdana" w:hAnsi="Verdana"/>
                <w:sz w:val="18"/>
                <w:szCs w:val="18"/>
              </w:rPr>
              <w:t>verordening</w:t>
            </w:r>
            <w:r w:rsidRPr="00D76BC8" w:rsidR="005F2CE1">
              <w:rPr>
                <w:rFonts w:ascii="Verdana" w:hAnsi="Verdana"/>
                <w:sz w:val="18"/>
                <w:szCs w:val="18"/>
              </w:rPr>
              <w:t xml:space="preserve"> </w:t>
            </w:r>
            <w:r w:rsidRPr="00D76BC8" w:rsidR="009A5C3C">
              <w:rPr>
                <w:rFonts w:ascii="Verdana" w:hAnsi="Verdana"/>
                <w:sz w:val="18"/>
                <w:szCs w:val="18"/>
              </w:rPr>
              <w:t xml:space="preserve">zich op het aanpakken van ruimteschroot en de </w:t>
            </w:r>
            <w:r w:rsidRPr="00D76BC8" w:rsidR="009A5C3C">
              <w:rPr>
                <w:rFonts w:ascii="Verdana" w:hAnsi="Verdana"/>
                <w:sz w:val="18"/>
                <w:szCs w:val="18"/>
              </w:rPr>
              <w:lastRenderedPageBreak/>
              <w:t>milieueffecten van ruimteactiviteiten, en stimuleert zij een optimaal economisch rendement uit de ruimtevaarteconomie.</w:t>
            </w:r>
          </w:p>
        </w:tc>
        <w:tc>
          <w:tcPr>
            <w:tcW w:w="5812" w:type="dxa"/>
          </w:tcPr>
          <w:p w:rsidRPr="00D76BC8" w:rsidR="009A5C3C" w:rsidP="007C26FD" w:rsidRDefault="009A0DDB" w14:paraId="6C5B2430" w14:textId="1C482418">
            <w:pPr>
              <w:rPr>
                <w:rFonts w:ascii="Verdana" w:hAnsi="Verdana"/>
                <w:sz w:val="18"/>
                <w:szCs w:val="18"/>
              </w:rPr>
            </w:pPr>
            <w:r>
              <w:rPr>
                <w:rFonts w:ascii="Verdana" w:hAnsi="Verdana"/>
                <w:sz w:val="18"/>
                <w:szCs w:val="18"/>
              </w:rPr>
              <w:lastRenderedPageBreak/>
              <w:t>Het kabinet</w:t>
            </w:r>
            <w:r w:rsidRPr="00D76BC8">
              <w:rPr>
                <w:rFonts w:ascii="Verdana" w:hAnsi="Verdana"/>
                <w:sz w:val="18"/>
                <w:szCs w:val="18"/>
              </w:rPr>
              <w:t xml:space="preserve"> </w:t>
            </w:r>
            <w:r w:rsidRPr="00D76BC8" w:rsidR="009A5C3C">
              <w:rPr>
                <w:rFonts w:ascii="Verdana" w:hAnsi="Verdana"/>
                <w:sz w:val="18"/>
                <w:szCs w:val="18"/>
              </w:rPr>
              <w:t>zet zich in voor een veilig en duurzaam gebruik van de ruimte en is voor</w:t>
            </w:r>
            <w:r w:rsidR="00BA7051">
              <w:rPr>
                <w:rFonts w:ascii="Verdana" w:hAnsi="Verdana"/>
                <w:sz w:val="18"/>
                <w:szCs w:val="18"/>
              </w:rPr>
              <w:t>stander van</w:t>
            </w:r>
            <w:r w:rsidRPr="00D76BC8" w:rsidR="009A5C3C">
              <w:rPr>
                <w:rFonts w:ascii="Verdana" w:hAnsi="Verdana"/>
                <w:sz w:val="18"/>
                <w:szCs w:val="18"/>
              </w:rPr>
              <w:t xml:space="preserve"> een internationaal regulerend kader. </w:t>
            </w:r>
            <w:r>
              <w:rPr>
                <w:rFonts w:ascii="Verdana" w:hAnsi="Verdana"/>
                <w:sz w:val="18"/>
                <w:szCs w:val="18"/>
              </w:rPr>
              <w:t>Het kabinet</w:t>
            </w:r>
            <w:r w:rsidRPr="00D76BC8" w:rsidR="00BA7051">
              <w:rPr>
                <w:rFonts w:ascii="Verdana" w:hAnsi="Verdana"/>
                <w:sz w:val="18"/>
                <w:szCs w:val="18"/>
              </w:rPr>
              <w:t xml:space="preserve"> </w:t>
            </w:r>
            <w:r w:rsidR="00664B09">
              <w:rPr>
                <w:rFonts w:ascii="Verdana" w:hAnsi="Verdana"/>
                <w:sz w:val="18"/>
                <w:szCs w:val="18"/>
              </w:rPr>
              <w:t xml:space="preserve">hecht </w:t>
            </w:r>
            <w:r w:rsidRPr="00D76BC8" w:rsidR="00BA7051">
              <w:rPr>
                <w:rFonts w:ascii="Verdana" w:hAnsi="Verdana"/>
                <w:sz w:val="18"/>
                <w:szCs w:val="18"/>
              </w:rPr>
              <w:t>vooral aan maatregelen gericht op groei en ontwikkeling van de EU-ruimtevaartsector</w:t>
            </w:r>
            <w:r w:rsidR="00664B09">
              <w:rPr>
                <w:rFonts w:ascii="Verdana" w:hAnsi="Verdana"/>
                <w:sz w:val="18"/>
                <w:szCs w:val="18"/>
              </w:rPr>
              <w:t xml:space="preserve"> en </w:t>
            </w:r>
            <w:r w:rsidRPr="00D76BC8" w:rsidR="00BA7051">
              <w:rPr>
                <w:rFonts w:ascii="Verdana" w:hAnsi="Verdana"/>
                <w:sz w:val="18"/>
                <w:szCs w:val="18"/>
              </w:rPr>
              <w:t xml:space="preserve">bevordering van </w:t>
            </w:r>
            <w:r>
              <w:rPr>
                <w:rFonts w:ascii="Verdana" w:hAnsi="Verdana"/>
                <w:sz w:val="18"/>
                <w:szCs w:val="18"/>
              </w:rPr>
              <w:t>het</w:t>
            </w:r>
            <w:r w:rsidRPr="00D76BC8" w:rsidR="00BA7051">
              <w:rPr>
                <w:rFonts w:ascii="Verdana" w:hAnsi="Verdana"/>
                <w:sz w:val="18"/>
                <w:szCs w:val="18"/>
              </w:rPr>
              <w:t xml:space="preserve"> concurrentievermogen</w:t>
            </w:r>
            <w:r w:rsidR="00C206B4">
              <w:rPr>
                <w:rFonts w:ascii="Verdana" w:hAnsi="Verdana"/>
                <w:sz w:val="18"/>
                <w:szCs w:val="18"/>
              </w:rPr>
              <w:t xml:space="preserve">. </w:t>
            </w:r>
            <w:r w:rsidR="00664B09">
              <w:rPr>
                <w:rFonts w:ascii="Verdana" w:hAnsi="Verdana"/>
                <w:sz w:val="18"/>
                <w:szCs w:val="18"/>
              </w:rPr>
              <w:t xml:space="preserve">De </w:t>
            </w:r>
            <w:r w:rsidR="00664B09">
              <w:rPr>
                <w:rFonts w:ascii="Verdana" w:hAnsi="Verdana"/>
                <w:sz w:val="18"/>
                <w:szCs w:val="18"/>
              </w:rPr>
              <w:lastRenderedPageBreak/>
              <w:t xml:space="preserve">ruimtevaartverordening dient niet in te gaan op de </w:t>
            </w:r>
            <w:r w:rsidRPr="00D76BC8" w:rsidR="009A5C3C">
              <w:rPr>
                <w:rFonts w:ascii="Verdana" w:hAnsi="Verdana"/>
                <w:sz w:val="18"/>
                <w:szCs w:val="18"/>
              </w:rPr>
              <w:t>nationale competenties</w:t>
            </w:r>
            <w:r w:rsidR="00664B09">
              <w:rPr>
                <w:rFonts w:ascii="Verdana" w:hAnsi="Verdana"/>
                <w:sz w:val="18"/>
                <w:szCs w:val="18"/>
              </w:rPr>
              <w:t xml:space="preserve"> van </w:t>
            </w:r>
            <w:r>
              <w:rPr>
                <w:rFonts w:ascii="Verdana" w:hAnsi="Verdana"/>
                <w:sz w:val="18"/>
                <w:szCs w:val="18"/>
              </w:rPr>
              <w:t>EU lidstaten</w:t>
            </w:r>
            <w:r w:rsidRPr="00D76BC8" w:rsidR="009A5C3C">
              <w:rPr>
                <w:rFonts w:ascii="Verdana" w:hAnsi="Verdana"/>
                <w:sz w:val="18"/>
                <w:szCs w:val="18"/>
              </w:rPr>
              <w:t xml:space="preserve">. </w:t>
            </w:r>
          </w:p>
        </w:tc>
        <w:tc>
          <w:tcPr>
            <w:tcW w:w="1984" w:type="dxa"/>
          </w:tcPr>
          <w:p w:rsidRPr="00D76BC8" w:rsidR="009A5C3C" w:rsidP="007C26FD" w:rsidRDefault="009A5C3C" w14:paraId="7F882BA3" w14:textId="1329D352">
            <w:pPr>
              <w:rPr>
                <w:rFonts w:ascii="Verdana" w:hAnsi="Verdana" w:cstheme="minorHAnsi"/>
                <w:color w:val="000000"/>
                <w:sz w:val="18"/>
                <w:szCs w:val="18"/>
                <w:lang w:val="en-US"/>
              </w:rPr>
            </w:pPr>
            <w:proofErr w:type="spellStart"/>
            <w:r w:rsidRPr="00D76BC8">
              <w:rPr>
                <w:rFonts w:ascii="Verdana" w:hAnsi="Verdana" w:cstheme="minorHAnsi"/>
                <w:color w:val="000000"/>
                <w:sz w:val="18"/>
                <w:szCs w:val="18"/>
                <w:lang w:val="en-US"/>
              </w:rPr>
              <w:lastRenderedPageBreak/>
              <w:t>Wetgevend</w:t>
            </w:r>
            <w:proofErr w:type="spellEnd"/>
            <w:r w:rsidRPr="00D76BC8">
              <w:rPr>
                <w:rFonts w:ascii="Verdana" w:hAnsi="Verdana" w:cstheme="minorHAnsi"/>
                <w:color w:val="000000"/>
                <w:sz w:val="18"/>
                <w:szCs w:val="18"/>
                <w:lang w:val="en-US"/>
              </w:rPr>
              <w:t xml:space="preserve"> (incl. impact assessment)</w:t>
            </w:r>
          </w:p>
        </w:tc>
      </w:tr>
      <w:tr w:rsidRPr="00D76BC8" w:rsidR="000A5CE8" w:rsidTr="0086334D" w14:paraId="0B38E523" w14:textId="77777777">
        <w:trPr>
          <w:trHeight w:val="441"/>
        </w:trPr>
        <w:tc>
          <w:tcPr>
            <w:tcW w:w="567" w:type="dxa"/>
          </w:tcPr>
          <w:p w:rsidRPr="00D76BC8" w:rsidR="000A5CE8" w:rsidP="007C26FD" w:rsidRDefault="000A5CE8" w14:paraId="50209731" w14:textId="6A72799F">
            <w:pPr>
              <w:rPr>
                <w:rFonts w:ascii="Verdana" w:hAnsi="Verdana" w:eastAsia="Times New Roman"/>
                <w:sz w:val="18"/>
                <w:szCs w:val="18"/>
              </w:rPr>
            </w:pPr>
            <w:r w:rsidRPr="00D76BC8">
              <w:rPr>
                <w:rFonts w:ascii="Verdana" w:hAnsi="Verdana" w:eastAsia="Times New Roman"/>
                <w:sz w:val="18"/>
                <w:szCs w:val="18"/>
              </w:rPr>
              <w:t>17.</w:t>
            </w:r>
          </w:p>
        </w:tc>
        <w:tc>
          <w:tcPr>
            <w:tcW w:w="2410" w:type="dxa"/>
          </w:tcPr>
          <w:p w:rsidRPr="0086334D" w:rsidR="000A5CE8" w:rsidP="007C26FD" w:rsidRDefault="00A80351" w14:paraId="40F6BFD7" w14:textId="318600E2">
            <w:pPr>
              <w:rPr>
                <w:rFonts w:ascii="Verdana" w:hAnsi="Verdana" w:eastAsia="Times New Roman"/>
                <w:sz w:val="18"/>
                <w:szCs w:val="18"/>
              </w:rPr>
            </w:pPr>
            <w:r w:rsidRPr="0086334D">
              <w:rPr>
                <w:rFonts w:ascii="Verdana" w:hAnsi="Verdana" w:eastAsia="Times New Roman"/>
                <w:sz w:val="18"/>
                <w:szCs w:val="18"/>
              </w:rPr>
              <w:t>Strategie voor de bio-economie</w:t>
            </w:r>
            <w:r w:rsidRPr="0086334D" w:rsidDel="00A80351">
              <w:rPr>
                <w:rFonts w:ascii="Verdana" w:hAnsi="Verdana" w:eastAsia="Times New Roman"/>
                <w:sz w:val="18"/>
                <w:szCs w:val="18"/>
              </w:rPr>
              <w:t xml:space="preserve"> </w:t>
            </w:r>
            <w:r w:rsidRPr="0086334D" w:rsidR="000A5CE8">
              <w:rPr>
                <w:rFonts w:ascii="Verdana" w:hAnsi="Verdana" w:eastAsia="Times New Roman"/>
                <w:sz w:val="18"/>
                <w:szCs w:val="18"/>
              </w:rPr>
              <w:t>(Q4 2025)</w:t>
            </w:r>
          </w:p>
          <w:p w:rsidRPr="0086334D" w:rsidR="000A5CE8" w:rsidP="007C26FD" w:rsidRDefault="000A5CE8" w14:paraId="0D55012E" w14:textId="52FE2D13">
            <w:pPr>
              <w:rPr>
                <w:rFonts w:ascii="Verdana" w:hAnsi="Verdana" w:eastAsia="Times New Roman"/>
                <w:sz w:val="18"/>
                <w:szCs w:val="18"/>
              </w:rPr>
            </w:pPr>
          </w:p>
        </w:tc>
        <w:tc>
          <w:tcPr>
            <w:tcW w:w="4678" w:type="dxa"/>
          </w:tcPr>
          <w:p w:rsidRPr="00D76BC8" w:rsidR="000A5CE8" w:rsidP="007C26FD" w:rsidRDefault="00D17D56" w14:paraId="111AF50A" w14:textId="3D407306">
            <w:pPr>
              <w:rPr>
                <w:rFonts w:ascii="Verdana" w:hAnsi="Verdana"/>
                <w:sz w:val="18"/>
                <w:szCs w:val="18"/>
              </w:rPr>
            </w:pPr>
            <w:r>
              <w:rPr>
                <w:rFonts w:ascii="Verdana" w:hAnsi="Verdana"/>
                <w:sz w:val="18"/>
                <w:szCs w:val="18"/>
              </w:rPr>
              <w:t>De Commissie beoogt</w:t>
            </w:r>
            <w:r w:rsidRPr="00D76BC8" w:rsidR="000A5CE8">
              <w:rPr>
                <w:rFonts w:ascii="Verdana" w:hAnsi="Verdana"/>
                <w:sz w:val="18"/>
                <w:szCs w:val="18"/>
              </w:rPr>
              <w:t xml:space="preserve"> de industriële leidende positie</w:t>
            </w:r>
            <w:r>
              <w:rPr>
                <w:rFonts w:ascii="Verdana" w:hAnsi="Verdana"/>
                <w:sz w:val="18"/>
                <w:szCs w:val="18"/>
              </w:rPr>
              <w:t xml:space="preserve"> van de EU</w:t>
            </w:r>
            <w:r w:rsidRPr="00D76BC8" w:rsidR="000A5CE8">
              <w:rPr>
                <w:rFonts w:ascii="Verdana" w:hAnsi="Verdana"/>
                <w:sz w:val="18"/>
                <w:szCs w:val="18"/>
              </w:rPr>
              <w:t xml:space="preserve"> te behouden en sectoren veerkrachtiger te maken tegen klimaatverandering, biodiversiteitsverlies en vervuiling. De strategie bevordert een circulaire en duurzame productie, gebruik en consumptie van biologische grondstoffen voor voedsel, materialen, energie en diensten.</w:t>
            </w:r>
          </w:p>
        </w:tc>
        <w:tc>
          <w:tcPr>
            <w:tcW w:w="5812" w:type="dxa"/>
          </w:tcPr>
          <w:p w:rsidR="00C11C92" w:rsidP="007C26FD" w:rsidRDefault="00D17D56" w14:paraId="5E70616E" w14:textId="77777777">
            <w:pPr>
              <w:rPr>
                <w:rFonts w:ascii="Verdana" w:hAnsi="Verdana"/>
                <w:sz w:val="18"/>
                <w:szCs w:val="18"/>
              </w:rPr>
            </w:pPr>
            <w:r>
              <w:rPr>
                <w:rFonts w:ascii="Verdana" w:hAnsi="Verdana"/>
                <w:sz w:val="18"/>
                <w:szCs w:val="18"/>
              </w:rPr>
              <w:t>Het kabinet</w:t>
            </w:r>
            <w:r w:rsidRPr="00D76BC8">
              <w:rPr>
                <w:rFonts w:ascii="Verdana" w:hAnsi="Verdana"/>
                <w:sz w:val="18"/>
                <w:szCs w:val="18"/>
              </w:rPr>
              <w:t xml:space="preserve"> </w:t>
            </w:r>
            <w:r w:rsidRPr="00D76BC8" w:rsidR="000A5CE8">
              <w:rPr>
                <w:rFonts w:ascii="Verdana" w:hAnsi="Verdana"/>
                <w:sz w:val="18"/>
                <w:szCs w:val="18"/>
              </w:rPr>
              <w:t>staat positief tegenover het doel van de strategie voor bio</w:t>
            </w:r>
            <w:r w:rsidR="00CB0FDC">
              <w:rPr>
                <w:rFonts w:ascii="Verdana" w:hAnsi="Verdana"/>
                <w:sz w:val="18"/>
                <w:szCs w:val="18"/>
              </w:rPr>
              <w:t>-</w:t>
            </w:r>
            <w:r w:rsidRPr="00D76BC8" w:rsidR="000A5CE8">
              <w:rPr>
                <w:rFonts w:ascii="Verdana" w:hAnsi="Verdana"/>
                <w:sz w:val="18"/>
                <w:szCs w:val="18"/>
              </w:rPr>
              <w:t>economie en kijkt uit naar de concrete voorstellen.</w:t>
            </w:r>
            <w:r w:rsidR="00442FF4">
              <w:rPr>
                <w:rFonts w:ascii="Verdana" w:hAnsi="Verdana"/>
                <w:sz w:val="18"/>
                <w:szCs w:val="18"/>
              </w:rPr>
              <w:t xml:space="preserve"> </w:t>
            </w:r>
          </w:p>
          <w:p w:rsidRPr="00D76BC8" w:rsidR="000A5CE8" w:rsidP="007C26FD" w:rsidRDefault="00442FF4" w14:paraId="5237445E" w14:textId="09EEF77B">
            <w:pPr>
              <w:rPr>
                <w:rFonts w:ascii="Verdana" w:hAnsi="Verdana"/>
                <w:sz w:val="18"/>
                <w:szCs w:val="18"/>
              </w:rPr>
            </w:pPr>
            <w:r w:rsidRPr="00442FF4">
              <w:rPr>
                <w:rFonts w:ascii="Verdana" w:hAnsi="Verdana"/>
                <w:sz w:val="18"/>
                <w:szCs w:val="18"/>
              </w:rPr>
              <w:t xml:space="preserve">Het stimuleren van de </w:t>
            </w:r>
            <w:proofErr w:type="spellStart"/>
            <w:r w:rsidRPr="00442FF4">
              <w:rPr>
                <w:rFonts w:ascii="Verdana" w:hAnsi="Verdana"/>
                <w:sz w:val="18"/>
                <w:szCs w:val="18"/>
              </w:rPr>
              <w:t>bioeconomie</w:t>
            </w:r>
            <w:proofErr w:type="spellEnd"/>
            <w:r w:rsidRPr="00442FF4">
              <w:rPr>
                <w:rFonts w:ascii="Verdana" w:hAnsi="Verdana"/>
                <w:sz w:val="18"/>
                <w:szCs w:val="18"/>
              </w:rPr>
              <w:t xml:space="preserve"> is belangrijk voor een </w:t>
            </w:r>
            <w:proofErr w:type="spellStart"/>
            <w:r w:rsidRPr="00442FF4">
              <w:rPr>
                <w:rFonts w:ascii="Verdana" w:hAnsi="Verdana"/>
                <w:sz w:val="18"/>
                <w:szCs w:val="18"/>
              </w:rPr>
              <w:t>klimaatneutrale</w:t>
            </w:r>
            <w:proofErr w:type="spellEnd"/>
            <w:r w:rsidRPr="00442FF4">
              <w:rPr>
                <w:rFonts w:ascii="Verdana" w:hAnsi="Verdana"/>
                <w:sz w:val="18"/>
                <w:szCs w:val="18"/>
              </w:rPr>
              <w:t xml:space="preserve"> en circulaire samenleving,</w:t>
            </w:r>
            <w:r w:rsidR="00904553">
              <w:rPr>
                <w:rFonts w:ascii="Verdana" w:hAnsi="Verdana"/>
                <w:sz w:val="18"/>
                <w:szCs w:val="18"/>
              </w:rPr>
              <w:t xml:space="preserve"> volksgezondheid,</w:t>
            </w:r>
            <w:r w:rsidRPr="00442FF4">
              <w:rPr>
                <w:rFonts w:ascii="Verdana" w:hAnsi="Verdana"/>
                <w:sz w:val="18"/>
                <w:szCs w:val="18"/>
              </w:rPr>
              <w:t xml:space="preserve"> voor een toekomstbestendig verdienmodel voor bedrijven en boeren en voor diversificatie van de landbouw. Nederland werkt nationaal aan een </w:t>
            </w:r>
            <w:proofErr w:type="spellStart"/>
            <w:r w:rsidRPr="00442FF4">
              <w:rPr>
                <w:rFonts w:ascii="Verdana" w:hAnsi="Verdana"/>
                <w:sz w:val="18"/>
                <w:szCs w:val="18"/>
              </w:rPr>
              <w:t>biogrondstoffenstrategie</w:t>
            </w:r>
            <w:proofErr w:type="spellEnd"/>
            <w:r w:rsidRPr="00442FF4">
              <w:rPr>
                <w:rFonts w:ascii="Verdana" w:hAnsi="Verdana"/>
                <w:sz w:val="18"/>
                <w:szCs w:val="18"/>
              </w:rPr>
              <w:t xml:space="preserve">, en aan een </w:t>
            </w:r>
            <w:r w:rsidRPr="00C11C92" w:rsidR="00C11C92">
              <w:rPr>
                <w:rFonts w:ascii="Verdana" w:hAnsi="Verdana"/>
                <w:sz w:val="18"/>
                <w:szCs w:val="18"/>
              </w:rPr>
              <w:t>kabinetsvisie</w:t>
            </w:r>
            <w:r w:rsidRPr="00442FF4">
              <w:rPr>
                <w:rFonts w:ascii="Verdana" w:hAnsi="Verdana"/>
                <w:sz w:val="18"/>
                <w:szCs w:val="18"/>
              </w:rPr>
              <w:t xml:space="preserve"> op biotechnologie. De </w:t>
            </w:r>
            <w:proofErr w:type="spellStart"/>
            <w:r w:rsidRPr="00442FF4">
              <w:rPr>
                <w:rFonts w:ascii="Verdana" w:hAnsi="Verdana"/>
                <w:sz w:val="18"/>
                <w:szCs w:val="18"/>
              </w:rPr>
              <w:t>Bioeconomy</w:t>
            </w:r>
            <w:proofErr w:type="spellEnd"/>
            <w:r w:rsidRPr="00442FF4">
              <w:rPr>
                <w:rFonts w:ascii="Verdana" w:hAnsi="Verdana"/>
                <w:sz w:val="18"/>
                <w:szCs w:val="18"/>
              </w:rPr>
              <w:t xml:space="preserve"> </w:t>
            </w:r>
            <w:proofErr w:type="spellStart"/>
            <w:r w:rsidRPr="00442FF4">
              <w:rPr>
                <w:rFonts w:ascii="Verdana" w:hAnsi="Verdana"/>
                <w:sz w:val="18"/>
                <w:szCs w:val="18"/>
              </w:rPr>
              <w:t>Strategy</w:t>
            </w:r>
            <w:proofErr w:type="spellEnd"/>
            <w:r w:rsidRPr="00442FF4">
              <w:rPr>
                <w:rFonts w:ascii="Verdana" w:hAnsi="Verdana"/>
                <w:sz w:val="18"/>
                <w:szCs w:val="18"/>
              </w:rPr>
              <w:t xml:space="preserve"> biedt een kans om een aantal voor Nederland belangrijke randvoorwaarden te agenderen, zoals het borgen van de duurzaamheid van </w:t>
            </w:r>
            <w:proofErr w:type="spellStart"/>
            <w:r w:rsidRPr="00442FF4">
              <w:rPr>
                <w:rFonts w:ascii="Verdana" w:hAnsi="Verdana"/>
                <w:sz w:val="18"/>
                <w:szCs w:val="18"/>
              </w:rPr>
              <w:t>biogrondstoffen</w:t>
            </w:r>
            <w:proofErr w:type="spellEnd"/>
            <w:r w:rsidRPr="00442FF4">
              <w:rPr>
                <w:rFonts w:ascii="Verdana" w:hAnsi="Verdana"/>
                <w:sz w:val="18"/>
                <w:szCs w:val="18"/>
              </w:rPr>
              <w:t>, de hoogwaardige inzet van deze grondstoffen en het creëren van een afzetmarkt voor duurzame producten.</w:t>
            </w:r>
          </w:p>
        </w:tc>
        <w:tc>
          <w:tcPr>
            <w:tcW w:w="1984" w:type="dxa"/>
          </w:tcPr>
          <w:p w:rsidRPr="00D76BC8" w:rsidR="000A5CE8" w:rsidP="007C26FD" w:rsidRDefault="000A5CE8" w14:paraId="74F9738A" w14:textId="77777777">
            <w:pPr>
              <w:rPr>
                <w:rFonts w:ascii="Verdana" w:hAnsi="Verdana" w:cstheme="minorHAnsi"/>
                <w:color w:val="000000"/>
                <w:sz w:val="18"/>
                <w:szCs w:val="18"/>
              </w:rPr>
            </w:pPr>
            <w:r w:rsidRPr="00D76BC8">
              <w:rPr>
                <w:rFonts w:ascii="Verdana" w:hAnsi="Verdana" w:cstheme="minorHAnsi"/>
                <w:color w:val="000000"/>
                <w:sz w:val="18"/>
                <w:szCs w:val="18"/>
              </w:rPr>
              <w:t>Niet-wetgevend of wetgevend</w:t>
            </w:r>
          </w:p>
          <w:p w:rsidRPr="00D76BC8" w:rsidR="000A5CE8" w:rsidP="007C26FD" w:rsidRDefault="000A5CE8" w14:paraId="2D46ABC8" w14:textId="0612BEDE">
            <w:pPr>
              <w:rPr>
                <w:rFonts w:ascii="Verdana" w:hAnsi="Verdana" w:cstheme="minorHAnsi"/>
                <w:color w:val="000000"/>
                <w:sz w:val="18"/>
                <w:szCs w:val="18"/>
              </w:rPr>
            </w:pPr>
          </w:p>
        </w:tc>
      </w:tr>
      <w:tr w:rsidRPr="00D76BC8" w:rsidR="009C2FF7" w:rsidTr="0086334D" w14:paraId="7570D97C" w14:textId="77777777">
        <w:trPr>
          <w:trHeight w:val="895"/>
        </w:trPr>
        <w:tc>
          <w:tcPr>
            <w:tcW w:w="567" w:type="dxa"/>
          </w:tcPr>
          <w:p w:rsidRPr="00D76BC8" w:rsidR="009C2FF7" w:rsidP="007C26FD" w:rsidRDefault="009C2FF7" w14:paraId="443D6DCE" w14:textId="6D03ADEE">
            <w:pPr>
              <w:rPr>
                <w:rFonts w:ascii="Verdana" w:hAnsi="Verdana" w:eastAsia="Times New Roman"/>
                <w:sz w:val="18"/>
                <w:szCs w:val="18"/>
              </w:rPr>
            </w:pPr>
            <w:r w:rsidRPr="00D76BC8">
              <w:rPr>
                <w:rFonts w:ascii="Verdana" w:hAnsi="Verdana" w:eastAsia="Times New Roman"/>
                <w:sz w:val="18"/>
                <w:szCs w:val="18"/>
              </w:rPr>
              <w:t>18.</w:t>
            </w:r>
          </w:p>
        </w:tc>
        <w:tc>
          <w:tcPr>
            <w:tcW w:w="2410" w:type="dxa"/>
          </w:tcPr>
          <w:p w:rsidRPr="0086334D" w:rsidR="009C2FF7" w:rsidP="007C26FD" w:rsidRDefault="00A80351" w14:paraId="03AA5BF2" w14:textId="721F0738">
            <w:pPr>
              <w:rPr>
                <w:rFonts w:ascii="Verdana" w:hAnsi="Verdana" w:eastAsia="Times New Roman"/>
                <w:sz w:val="18"/>
                <w:szCs w:val="18"/>
              </w:rPr>
            </w:pPr>
            <w:r w:rsidRPr="0086334D">
              <w:rPr>
                <w:rFonts w:ascii="Verdana" w:hAnsi="Verdana" w:eastAsia="Times New Roman"/>
                <w:sz w:val="18"/>
                <w:szCs w:val="18"/>
              </w:rPr>
              <w:t>Gerichte herziening van de Reach-verordening</w:t>
            </w:r>
            <w:r w:rsidRPr="0086334D" w:rsidDel="00A80351">
              <w:rPr>
                <w:rFonts w:ascii="Verdana" w:hAnsi="Verdana" w:eastAsia="Times New Roman"/>
                <w:sz w:val="18"/>
                <w:szCs w:val="18"/>
              </w:rPr>
              <w:t xml:space="preserve"> </w:t>
            </w:r>
            <w:r w:rsidRPr="0086334D" w:rsidR="009C2FF7">
              <w:rPr>
                <w:rFonts w:ascii="Verdana" w:hAnsi="Verdana" w:eastAsia="Times New Roman"/>
                <w:sz w:val="18"/>
                <w:szCs w:val="18"/>
              </w:rPr>
              <w:t>(Q4 2025)</w:t>
            </w:r>
          </w:p>
        </w:tc>
        <w:tc>
          <w:tcPr>
            <w:tcW w:w="4678" w:type="dxa"/>
          </w:tcPr>
          <w:p w:rsidRPr="00D76BC8" w:rsidR="009C2FF7" w:rsidP="007C26FD" w:rsidRDefault="00FA5F1E" w14:paraId="3995F9CD" w14:textId="5CBBA5FB">
            <w:pPr>
              <w:rPr>
                <w:rFonts w:ascii="Verdana" w:hAnsi="Verdana"/>
                <w:sz w:val="18"/>
                <w:szCs w:val="18"/>
              </w:rPr>
            </w:pPr>
            <w:r w:rsidRPr="00D76BC8">
              <w:rPr>
                <w:rFonts w:ascii="Verdana" w:hAnsi="Verdana" w:cstheme="minorHAnsi"/>
                <w:sz w:val="18"/>
                <w:szCs w:val="18"/>
              </w:rPr>
              <w:t xml:space="preserve">De Commissie wil met een gerichte herziening van de EU-regels voor chemische stoffen (REACH) bijdragen aan het vereenvoudigen van de regelgeving voor de chemische industrie, zonder afbreuk te doen aan veiligheid en milieubescherming. Deze herziening maakt deel uit van een breder pakket voor de chemische industrie binnen de Clean Industrial Deal. </w:t>
            </w:r>
            <w:r w:rsidRPr="001A1DA8" w:rsidR="00C11C92">
              <w:rPr>
                <w:rFonts w:ascii="Verdana" w:hAnsi="Verdana" w:cstheme="minorHAnsi"/>
                <w:sz w:val="18"/>
                <w:szCs w:val="18"/>
              </w:rPr>
              <w:t xml:space="preserve">Daarnaast wil de Commissie met dit pakket ook </w:t>
            </w:r>
            <w:r w:rsidRPr="00D7601D" w:rsidR="00C11C92">
              <w:rPr>
                <w:rFonts w:ascii="Verdana" w:hAnsi="Verdana" w:cstheme="minorHAnsi"/>
                <w:sz w:val="18"/>
                <w:szCs w:val="18"/>
              </w:rPr>
              <w:t>meer duidelijkheid bieden over het gebruik van PFAS.</w:t>
            </w:r>
          </w:p>
        </w:tc>
        <w:tc>
          <w:tcPr>
            <w:tcW w:w="5812" w:type="dxa"/>
          </w:tcPr>
          <w:p w:rsidRPr="00D76BC8" w:rsidR="009C2FF7" w:rsidP="007C26FD" w:rsidRDefault="00FA5F1E" w14:paraId="499D11BA" w14:textId="6D76238D">
            <w:pPr>
              <w:rPr>
                <w:rFonts w:ascii="Verdana" w:hAnsi="Verdana"/>
                <w:sz w:val="18"/>
                <w:szCs w:val="18"/>
              </w:rPr>
            </w:pPr>
            <w:r w:rsidRPr="00D76BC8">
              <w:rPr>
                <w:rFonts w:ascii="Verdana" w:hAnsi="Verdana" w:cstheme="minorHAnsi"/>
                <w:sz w:val="18"/>
                <w:szCs w:val="18"/>
              </w:rPr>
              <w:t xml:space="preserve">Het kabinet </w:t>
            </w:r>
            <w:r w:rsidR="00F26593">
              <w:rPr>
                <w:rFonts w:ascii="Verdana" w:hAnsi="Verdana" w:cstheme="minorHAnsi"/>
                <w:sz w:val="18"/>
                <w:szCs w:val="18"/>
              </w:rPr>
              <w:t>verwelkomt</w:t>
            </w:r>
            <w:r w:rsidRPr="00D76BC8">
              <w:rPr>
                <w:rFonts w:ascii="Verdana" w:hAnsi="Verdana" w:cstheme="minorHAnsi"/>
                <w:sz w:val="18"/>
                <w:szCs w:val="18"/>
              </w:rPr>
              <w:t xml:space="preserve"> de aangekondigde gerichte herziening van REACH. Het kabinet acht een </w:t>
            </w:r>
            <w:r w:rsidRPr="00C11C92" w:rsidR="00C11C92">
              <w:rPr>
                <w:rFonts w:ascii="Verdana" w:hAnsi="Verdana" w:cstheme="minorHAnsi"/>
                <w:sz w:val="18"/>
                <w:szCs w:val="18"/>
              </w:rPr>
              <w:t>vereenvoudiging</w:t>
            </w:r>
            <w:r w:rsidRPr="00D76BC8">
              <w:rPr>
                <w:rFonts w:ascii="Verdana" w:hAnsi="Verdana" w:cstheme="minorHAnsi"/>
                <w:sz w:val="18"/>
                <w:szCs w:val="18"/>
              </w:rPr>
              <w:t xml:space="preserve"> en verduidelijking van regelgeving hierbij van belang</w:t>
            </w:r>
            <w:r w:rsidRPr="00C11C92" w:rsidR="00C11C92">
              <w:rPr>
                <w:rFonts w:ascii="Verdana" w:hAnsi="Verdana" w:cstheme="minorHAnsi"/>
                <w:sz w:val="18"/>
                <w:szCs w:val="18"/>
              </w:rPr>
              <w:t>, ook in samenhang met andere toelatingskaders.</w:t>
            </w:r>
            <w:r w:rsidRPr="00D76BC8">
              <w:rPr>
                <w:rFonts w:ascii="Verdana" w:hAnsi="Verdana" w:cstheme="minorHAnsi"/>
                <w:sz w:val="18"/>
                <w:szCs w:val="18"/>
              </w:rPr>
              <w:t xml:space="preserve"> Het uiteindelijke oordeel zal afhangen van de uitwerking van het pakket, en of het bijdraagt aan veiligere producten voor de Nederlandse burgers en </w:t>
            </w:r>
            <w:r w:rsidRPr="00C11C92" w:rsidR="00C11C92">
              <w:rPr>
                <w:rFonts w:ascii="Verdana" w:hAnsi="Verdana" w:cstheme="minorHAnsi"/>
                <w:sz w:val="18"/>
                <w:szCs w:val="18"/>
              </w:rPr>
              <w:t xml:space="preserve">een hogere bescherming voor milieu en </w:t>
            </w:r>
            <w:r w:rsidRPr="00D76BC8">
              <w:rPr>
                <w:rFonts w:ascii="Verdana" w:hAnsi="Verdana" w:cstheme="minorHAnsi"/>
                <w:sz w:val="18"/>
                <w:szCs w:val="18"/>
              </w:rPr>
              <w:t>de daartoe benodigde innovaties stimuleert.</w:t>
            </w:r>
            <w:r w:rsidRPr="00C11C92" w:rsidR="00C11C92">
              <w:rPr>
                <w:rFonts w:ascii="Verdana" w:hAnsi="Verdana" w:cstheme="minorHAnsi"/>
                <w:sz w:val="18"/>
                <w:szCs w:val="18"/>
              </w:rPr>
              <w:t xml:space="preserve"> Innovatie zou, naast vereenvoudiging, een doel van de herziening moeten zijn.</w:t>
            </w:r>
          </w:p>
        </w:tc>
        <w:tc>
          <w:tcPr>
            <w:tcW w:w="1984" w:type="dxa"/>
          </w:tcPr>
          <w:p w:rsidRPr="00D76BC8" w:rsidR="009C2FF7" w:rsidP="007C26FD" w:rsidRDefault="009C2FF7" w14:paraId="29BDE7C2" w14:textId="7F7826A5">
            <w:pPr>
              <w:rPr>
                <w:rFonts w:ascii="Verdana" w:hAnsi="Verdana" w:cstheme="minorHAnsi"/>
                <w:color w:val="000000"/>
                <w:sz w:val="18"/>
                <w:szCs w:val="18"/>
              </w:rPr>
            </w:pPr>
            <w:r w:rsidRPr="00D76BC8">
              <w:rPr>
                <w:rFonts w:ascii="Verdana" w:hAnsi="Verdana" w:cstheme="minorHAnsi"/>
                <w:color w:val="000000"/>
                <w:sz w:val="18"/>
                <w:szCs w:val="18"/>
              </w:rPr>
              <w:t>Wetgevend</w:t>
            </w:r>
          </w:p>
        </w:tc>
      </w:tr>
      <w:tr w:rsidRPr="00D76BC8" w:rsidR="000A5CE8" w:rsidTr="0086334D" w14:paraId="080A1542" w14:textId="77777777">
        <w:trPr>
          <w:trHeight w:val="694"/>
        </w:trPr>
        <w:tc>
          <w:tcPr>
            <w:tcW w:w="567" w:type="dxa"/>
          </w:tcPr>
          <w:p w:rsidRPr="00D76BC8" w:rsidR="000A5CE8" w:rsidP="007C26FD" w:rsidRDefault="000A5CE8" w14:paraId="34C44F92" w14:textId="35D834C6">
            <w:pPr>
              <w:rPr>
                <w:rFonts w:ascii="Verdana" w:hAnsi="Verdana" w:eastAsia="Times New Roman"/>
                <w:sz w:val="18"/>
                <w:szCs w:val="18"/>
              </w:rPr>
            </w:pPr>
            <w:bookmarkStart w:name="_Hlk190951645" w:id="3"/>
            <w:r w:rsidRPr="00D76BC8">
              <w:rPr>
                <w:rFonts w:ascii="Verdana" w:hAnsi="Verdana" w:eastAsia="Times New Roman"/>
                <w:sz w:val="18"/>
                <w:szCs w:val="18"/>
              </w:rPr>
              <w:t>19.</w:t>
            </w:r>
          </w:p>
        </w:tc>
        <w:tc>
          <w:tcPr>
            <w:tcW w:w="2410" w:type="dxa"/>
          </w:tcPr>
          <w:p w:rsidRPr="0086334D" w:rsidR="000A5CE8" w:rsidP="007C26FD" w:rsidRDefault="00A80351" w14:paraId="6A2D742B" w14:textId="5AA6A97E">
            <w:pPr>
              <w:rPr>
                <w:rFonts w:ascii="Verdana" w:hAnsi="Verdana" w:eastAsia="Times New Roman"/>
                <w:sz w:val="18"/>
                <w:szCs w:val="18"/>
              </w:rPr>
            </w:pPr>
            <w:r w:rsidRPr="0086334D">
              <w:rPr>
                <w:rFonts w:ascii="Verdana" w:hAnsi="Verdana" w:eastAsia="Times New Roman"/>
                <w:sz w:val="18"/>
                <w:szCs w:val="18"/>
              </w:rPr>
              <w:t>Routekaart voor beëindiging van de invoer van Russische energie</w:t>
            </w:r>
            <w:r w:rsidRPr="0086334D" w:rsidDel="00A80351">
              <w:rPr>
                <w:rFonts w:ascii="Verdana" w:hAnsi="Verdana" w:eastAsia="Times New Roman"/>
                <w:sz w:val="18"/>
                <w:szCs w:val="18"/>
              </w:rPr>
              <w:t xml:space="preserve"> </w:t>
            </w:r>
            <w:r w:rsidRPr="0086334D" w:rsidR="000A5CE8">
              <w:rPr>
                <w:rFonts w:ascii="Verdana" w:hAnsi="Verdana" w:eastAsia="Times New Roman"/>
                <w:sz w:val="18"/>
                <w:szCs w:val="18"/>
              </w:rPr>
              <w:t>(Q1 2025)</w:t>
            </w:r>
          </w:p>
        </w:tc>
        <w:tc>
          <w:tcPr>
            <w:tcW w:w="4678" w:type="dxa"/>
          </w:tcPr>
          <w:p w:rsidRPr="00D76BC8" w:rsidR="000A5CE8" w:rsidP="007C26FD" w:rsidRDefault="000A5CE8" w14:paraId="6CCE978B" w14:textId="33463954">
            <w:pPr>
              <w:rPr>
                <w:rFonts w:ascii="Verdana" w:hAnsi="Verdana"/>
                <w:sz w:val="18"/>
                <w:szCs w:val="18"/>
              </w:rPr>
            </w:pPr>
            <w:r w:rsidRPr="00D76BC8">
              <w:rPr>
                <w:rFonts w:ascii="Verdana" w:hAnsi="Verdana"/>
                <w:sz w:val="18"/>
                <w:szCs w:val="18"/>
              </w:rPr>
              <w:t xml:space="preserve">De </w:t>
            </w:r>
            <w:r w:rsidR="000C6048">
              <w:rPr>
                <w:rFonts w:ascii="Verdana" w:hAnsi="Verdana"/>
                <w:sz w:val="18"/>
                <w:szCs w:val="18"/>
              </w:rPr>
              <w:t>routekaart</w:t>
            </w:r>
            <w:r w:rsidRPr="00D76BC8" w:rsidR="000C6048">
              <w:rPr>
                <w:rFonts w:ascii="Verdana" w:hAnsi="Verdana"/>
                <w:sz w:val="18"/>
                <w:szCs w:val="18"/>
              </w:rPr>
              <w:t xml:space="preserve"> </w:t>
            </w:r>
            <w:r w:rsidRPr="00D76BC8">
              <w:rPr>
                <w:rFonts w:ascii="Verdana" w:hAnsi="Verdana"/>
                <w:sz w:val="18"/>
                <w:szCs w:val="18"/>
              </w:rPr>
              <w:t>zal zich richten op het volledig afbouwen van de afhankelijkheid van Russische energie-importen.</w:t>
            </w:r>
          </w:p>
        </w:tc>
        <w:tc>
          <w:tcPr>
            <w:tcW w:w="5812" w:type="dxa"/>
          </w:tcPr>
          <w:p w:rsidRPr="00D76BC8" w:rsidR="000A5CE8" w:rsidP="007C26FD" w:rsidRDefault="00F26593" w14:paraId="4C98AE59" w14:textId="46C1227C">
            <w:pPr>
              <w:rPr>
                <w:rFonts w:ascii="Verdana" w:hAnsi="Verdana"/>
                <w:sz w:val="18"/>
                <w:szCs w:val="18"/>
              </w:rPr>
            </w:pPr>
            <w:r>
              <w:rPr>
                <w:rFonts w:ascii="Verdana" w:hAnsi="Verdana"/>
                <w:sz w:val="18"/>
                <w:szCs w:val="18"/>
              </w:rPr>
              <w:t xml:space="preserve">Het kabinet </w:t>
            </w:r>
            <w:r w:rsidRPr="00D76BC8" w:rsidR="000A5CE8">
              <w:rPr>
                <w:rFonts w:ascii="Verdana" w:hAnsi="Verdana"/>
                <w:sz w:val="18"/>
                <w:szCs w:val="18"/>
              </w:rPr>
              <w:t xml:space="preserve">verwelkomt </w:t>
            </w:r>
            <w:r w:rsidR="001D58AA">
              <w:rPr>
                <w:rFonts w:ascii="Verdana" w:hAnsi="Verdana"/>
                <w:sz w:val="18"/>
                <w:szCs w:val="18"/>
              </w:rPr>
              <w:t xml:space="preserve">de doelstelling van </w:t>
            </w:r>
            <w:r w:rsidRPr="00D76BC8" w:rsidR="000A5CE8">
              <w:rPr>
                <w:rFonts w:ascii="Verdana" w:hAnsi="Verdana"/>
                <w:sz w:val="18"/>
                <w:szCs w:val="18"/>
              </w:rPr>
              <w:t>dit voorstel en kijkt uit naar de concrete plannen.</w:t>
            </w:r>
          </w:p>
        </w:tc>
        <w:tc>
          <w:tcPr>
            <w:tcW w:w="1984" w:type="dxa"/>
          </w:tcPr>
          <w:p w:rsidRPr="00D76BC8" w:rsidR="000A5CE8" w:rsidP="007C26FD" w:rsidRDefault="000A5CE8" w14:paraId="18657A1B" w14:textId="799E3FAD">
            <w:pPr>
              <w:rPr>
                <w:rFonts w:ascii="Verdana" w:hAnsi="Verdana" w:cstheme="minorHAnsi"/>
                <w:color w:val="000000"/>
                <w:sz w:val="18"/>
                <w:szCs w:val="18"/>
                <w:lang w:val="en-US"/>
              </w:rPr>
            </w:pPr>
            <w:r w:rsidRPr="00D76BC8">
              <w:rPr>
                <w:rFonts w:ascii="Verdana" w:hAnsi="Verdana" w:cstheme="minorHAnsi"/>
                <w:color w:val="000000"/>
                <w:sz w:val="18"/>
                <w:szCs w:val="18"/>
              </w:rPr>
              <w:t>Niet-wetgevend</w:t>
            </w:r>
          </w:p>
        </w:tc>
      </w:tr>
      <w:bookmarkEnd w:id="3"/>
      <w:tr w:rsidRPr="00D76BC8" w:rsidR="009C2FF7" w:rsidTr="0086334D" w14:paraId="580A1399" w14:textId="77777777">
        <w:trPr>
          <w:trHeight w:val="895"/>
        </w:trPr>
        <w:tc>
          <w:tcPr>
            <w:tcW w:w="567" w:type="dxa"/>
          </w:tcPr>
          <w:p w:rsidRPr="00D76BC8" w:rsidR="009C2FF7" w:rsidP="007C26FD" w:rsidRDefault="009C2FF7" w14:paraId="1B602B81" w14:textId="02CAAFF1">
            <w:pPr>
              <w:rPr>
                <w:rFonts w:ascii="Verdana" w:hAnsi="Verdana" w:eastAsia="Times New Roman"/>
                <w:sz w:val="18"/>
                <w:szCs w:val="18"/>
              </w:rPr>
            </w:pPr>
            <w:r w:rsidRPr="00D76BC8">
              <w:rPr>
                <w:rFonts w:ascii="Verdana" w:hAnsi="Verdana" w:eastAsia="Times New Roman"/>
                <w:sz w:val="18"/>
                <w:szCs w:val="18"/>
              </w:rPr>
              <w:t>20.</w:t>
            </w:r>
          </w:p>
        </w:tc>
        <w:tc>
          <w:tcPr>
            <w:tcW w:w="2410" w:type="dxa"/>
          </w:tcPr>
          <w:p w:rsidRPr="0086334D" w:rsidR="009C2FF7" w:rsidP="007C26FD" w:rsidRDefault="00A80351" w14:paraId="5371C04A" w14:textId="1647B315">
            <w:pPr>
              <w:rPr>
                <w:rFonts w:ascii="Verdana" w:hAnsi="Verdana" w:eastAsia="Times New Roman"/>
                <w:sz w:val="18"/>
                <w:szCs w:val="18"/>
              </w:rPr>
            </w:pPr>
            <w:r w:rsidRPr="0086334D">
              <w:rPr>
                <w:rFonts w:ascii="Verdana" w:hAnsi="Verdana" w:eastAsia="Times New Roman"/>
                <w:sz w:val="18"/>
                <w:szCs w:val="18"/>
              </w:rPr>
              <w:t>Investeringsplan voor duurzaam vervoer</w:t>
            </w:r>
            <w:r w:rsidRPr="0086334D" w:rsidDel="00A80351">
              <w:rPr>
                <w:rFonts w:ascii="Verdana" w:hAnsi="Verdana" w:eastAsia="Times New Roman"/>
                <w:sz w:val="18"/>
                <w:szCs w:val="18"/>
              </w:rPr>
              <w:t xml:space="preserve"> </w:t>
            </w:r>
            <w:r w:rsidRPr="0086334D" w:rsidR="009C2FF7">
              <w:rPr>
                <w:rFonts w:ascii="Verdana" w:hAnsi="Verdana" w:eastAsia="Times New Roman"/>
                <w:sz w:val="18"/>
                <w:szCs w:val="18"/>
              </w:rPr>
              <w:t>(Q3 2025)</w:t>
            </w:r>
          </w:p>
        </w:tc>
        <w:tc>
          <w:tcPr>
            <w:tcW w:w="4678" w:type="dxa"/>
          </w:tcPr>
          <w:p w:rsidRPr="00D76BC8" w:rsidR="009C2FF7" w:rsidP="007C26FD" w:rsidRDefault="00FA5F1E" w14:paraId="4DEABB36" w14:textId="450B8D02">
            <w:pPr>
              <w:rPr>
                <w:rFonts w:ascii="Verdana" w:hAnsi="Verdana"/>
                <w:sz w:val="18"/>
                <w:szCs w:val="18"/>
              </w:rPr>
            </w:pPr>
            <w:r w:rsidRPr="00D76BC8">
              <w:rPr>
                <w:rFonts w:ascii="Verdana" w:hAnsi="Verdana" w:cstheme="minorHAnsi"/>
                <w:sz w:val="18"/>
                <w:szCs w:val="18"/>
              </w:rPr>
              <w:t xml:space="preserve">De Commissie </w:t>
            </w:r>
            <w:r w:rsidR="00F26593">
              <w:rPr>
                <w:rFonts w:ascii="Verdana" w:hAnsi="Verdana" w:cstheme="minorHAnsi"/>
                <w:sz w:val="18"/>
                <w:szCs w:val="18"/>
              </w:rPr>
              <w:t>wil een</w:t>
            </w:r>
            <w:r w:rsidRPr="00D76BC8">
              <w:rPr>
                <w:rFonts w:ascii="Verdana" w:hAnsi="Verdana" w:cstheme="minorHAnsi"/>
                <w:sz w:val="18"/>
                <w:szCs w:val="18"/>
              </w:rPr>
              <w:t xml:space="preserve"> strategisch kader bieden ter ondersteuning van de productie en distributie van duurzame transportbrandstoffen. Dit plan omvat o.a. maatregelen om de uitrol van laadinfrastructuur en tankvoorzieningen te versnellen, evenals gerichte groene handels- en investerings- partnerschappen met derde landen op het gebied van hernieuwbare en koolstofarme transportbrandstoffen.</w:t>
            </w:r>
          </w:p>
        </w:tc>
        <w:tc>
          <w:tcPr>
            <w:tcW w:w="5812" w:type="dxa"/>
          </w:tcPr>
          <w:p w:rsidRPr="00D76BC8" w:rsidR="009C2FF7" w:rsidP="007C26FD" w:rsidRDefault="00FA5F1E" w14:paraId="411CE8C6" w14:textId="08C80B73">
            <w:pPr>
              <w:rPr>
                <w:rFonts w:ascii="Verdana" w:hAnsi="Verdana"/>
                <w:sz w:val="18"/>
                <w:szCs w:val="18"/>
              </w:rPr>
            </w:pPr>
            <w:r w:rsidRPr="00D76BC8">
              <w:rPr>
                <w:rFonts w:ascii="Verdana" w:hAnsi="Verdana" w:cstheme="minorHAnsi"/>
                <w:sz w:val="18"/>
                <w:szCs w:val="18"/>
              </w:rPr>
              <w:t xml:space="preserve">Het kabinet </w:t>
            </w:r>
            <w:r w:rsidR="00F26593">
              <w:rPr>
                <w:rFonts w:ascii="Verdana" w:hAnsi="Verdana" w:cstheme="minorHAnsi"/>
                <w:sz w:val="18"/>
                <w:szCs w:val="18"/>
              </w:rPr>
              <w:t xml:space="preserve">staat positief tegenover </w:t>
            </w:r>
            <w:r w:rsidRPr="00D76BC8">
              <w:rPr>
                <w:rFonts w:ascii="Verdana" w:hAnsi="Verdana" w:cstheme="minorHAnsi"/>
                <w:sz w:val="18"/>
                <w:szCs w:val="18"/>
              </w:rPr>
              <w:t xml:space="preserve">het aangekondigde </w:t>
            </w:r>
            <w:proofErr w:type="spellStart"/>
            <w:r w:rsidRPr="00D76BC8">
              <w:rPr>
                <w:rFonts w:ascii="Verdana" w:hAnsi="Verdana" w:cstheme="minorHAnsi"/>
                <w:sz w:val="18"/>
                <w:szCs w:val="18"/>
              </w:rPr>
              <w:t>Sustainable</w:t>
            </w:r>
            <w:proofErr w:type="spellEnd"/>
            <w:r w:rsidRPr="00D76BC8">
              <w:rPr>
                <w:rFonts w:ascii="Verdana" w:hAnsi="Verdana" w:cstheme="minorHAnsi"/>
                <w:sz w:val="18"/>
                <w:szCs w:val="18"/>
              </w:rPr>
              <w:t xml:space="preserve"> Transport Investment Plan (STIP). Als innovatief handelsland met sterke internationale verbindingen, een grote raffinagesector en Europa’s grootste bunkerhaven met een uitgebreid pijpleidingennetwerk naar o.a. Schiphol heeft Nederland groot belang bij het versterken van duurzame transportmogelijkheden. Het STIP biedt Nederland kansen voor de energietransitie van de raffinagesector, bunkerhavens en de internationale scheep- en luchtvaart. </w:t>
            </w:r>
            <w:r w:rsidR="00D904A1">
              <w:rPr>
                <w:rFonts w:ascii="Verdana" w:hAnsi="Verdana" w:cstheme="minorHAnsi"/>
                <w:sz w:val="18"/>
                <w:szCs w:val="18"/>
              </w:rPr>
              <w:t xml:space="preserve">Het kabinet bevestigt dat investeringen in de hele EU nodig </w:t>
            </w:r>
            <w:r w:rsidR="00D904A1">
              <w:rPr>
                <w:rFonts w:ascii="Verdana" w:hAnsi="Verdana" w:cstheme="minorHAnsi"/>
                <w:sz w:val="18"/>
                <w:szCs w:val="18"/>
              </w:rPr>
              <w:lastRenderedPageBreak/>
              <w:t>zijn</w:t>
            </w:r>
            <w:r w:rsidRPr="00D76BC8" w:rsidR="00C11C92">
              <w:rPr>
                <w:rFonts w:ascii="Verdana" w:hAnsi="Verdana" w:cstheme="minorHAnsi"/>
                <w:sz w:val="18"/>
                <w:szCs w:val="18"/>
              </w:rPr>
              <w:t xml:space="preserve"> </w:t>
            </w:r>
            <w:r w:rsidRPr="00D76BC8">
              <w:rPr>
                <w:rFonts w:ascii="Verdana" w:hAnsi="Verdana" w:cstheme="minorHAnsi"/>
                <w:sz w:val="18"/>
                <w:szCs w:val="18"/>
              </w:rPr>
              <w:t>en gepaard moeten gaan met mitigerende maatregelen om netcongestie te bestrijden.</w:t>
            </w:r>
          </w:p>
        </w:tc>
        <w:tc>
          <w:tcPr>
            <w:tcW w:w="1984" w:type="dxa"/>
          </w:tcPr>
          <w:p w:rsidRPr="00D76BC8" w:rsidR="009C2FF7" w:rsidP="007C26FD" w:rsidRDefault="009C2FF7" w14:paraId="0D1ACBD3" w14:textId="2ECD8CFB">
            <w:pPr>
              <w:rPr>
                <w:rFonts w:ascii="Verdana" w:hAnsi="Verdana" w:cstheme="minorHAnsi"/>
                <w:color w:val="000000"/>
                <w:sz w:val="18"/>
                <w:szCs w:val="18"/>
                <w:lang w:val="en-US"/>
              </w:rPr>
            </w:pPr>
            <w:r w:rsidRPr="00D76BC8">
              <w:rPr>
                <w:rFonts w:ascii="Verdana" w:hAnsi="Verdana" w:cstheme="minorHAnsi"/>
                <w:color w:val="000000"/>
                <w:sz w:val="18"/>
                <w:szCs w:val="18"/>
              </w:rPr>
              <w:lastRenderedPageBreak/>
              <w:t>Niet-wetgevend</w:t>
            </w:r>
          </w:p>
        </w:tc>
      </w:tr>
    </w:tbl>
    <w:p w:rsidRPr="00D76BC8" w:rsidR="00BC4B31" w:rsidP="007C26FD" w:rsidRDefault="00BC4B31" w14:paraId="6A1B706E" w14:textId="5AF6F00B">
      <w:pPr>
        <w:spacing w:line="240" w:lineRule="auto"/>
        <w:rPr>
          <w:rFonts w:ascii="Verdana" w:hAnsi="Verdana"/>
          <w:b/>
          <w:bCs/>
          <w:sz w:val="18"/>
          <w:szCs w:val="18"/>
          <w:lang w:val="en-US"/>
        </w:rPr>
      </w:pPr>
    </w:p>
    <w:p w:rsidR="00D76BC8" w:rsidP="007C26FD" w:rsidRDefault="00D76BC8" w14:paraId="1C1D9670" w14:textId="77777777">
      <w:pPr>
        <w:rPr>
          <w:rFonts w:ascii="Verdana" w:hAnsi="Verdana"/>
          <w:b/>
          <w:bCs/>
          <w:sz w:val="18"/>
          <w:szCs w:val="18"/>
        </w:rPr>
      </w:pPr>
      <w:r>
        <w:rPr>
          <w:rFonts w:ascii="Verdana" w:hAnsi="Verdana"/>
          <w:b/>
          <w:bCs/>
          <w:sz w:val="18"/>
          <w:szCs w:val="18"/>
        </w:rPr>
        <w:br w:type="page"/>
      </w:r>
    </w:p>
    <w:p w:rsidRPr="00D76BC8" w:rsidR="007E5965" w:rsidP="007C26FD" w:rsidRDefault="007E5965" w14:paraId="02C36010" w14:textId="21823AFC">
      <w:pPr>
        <w:pStyle w:val="NormalWeb"/>
        <w:rPr>
          <w:rFonts w:ascii="Verdana" w:hAnsi="Verdana" w:eastAsiaTheme="minorHAnsi" w:cstheme="minorBidi"/>
          <w:b/>
          <w:bCs/>
          <w:sz w:val="18"/>
          <w:szCs w:val="18"/>
          <w:lang w:eastAsia="en-US"/>
        </w:rPr>
      </w:pPr>
      <w:r w:rsidRPr="00D76BC8">
        <w:rPr>
          <w:rFonts w:ascii="Verdana" w:hAnsi="Verdana" w:eastAsiaTheme="minorHAnsi" w:cstheme="minorBidi"/>
          <w:b/>
          <w:bCs/>
          <w:sz w:val="18"/>
          <w:szCs w:val="18"/>
          <w:lang w:eastAsia="en-US"/>
        </w:rPr>
        <w:lastRenderedPageBreak/>
        <w:t xml:space="preserve">Prioriteit 2: </w:t>
      </w:r>
      <w:r w:rsidRPr="00D76BC8" w:rsidR="00BC4B31">
        <w:rPr>
          <w:rFonts w:ascii="Verdana" w:hAnsi="Verdana" w:eastAsiaTheme="minorHAnsi" w:cstheme="minorBidi"/>
          <w:b/>
          <w:bCs/>
          <w:sz w:val="18"/>
          <w:szCs w:val="18"/>
          <w:lang w:eastAsia="en-US"/>
        </w:rPr>
        <w:t>Een nieuw tijdperk voor Europese defensie en veiligheid</w:t>
      </w:r>
    </w:p>
    <w:tbl>
      <w:tblPr>
        <w:tblStyle w:val="TableGrid"/>
        <w:tblW w:w="15451" w:type="dxa"/>
        <w:tblInd w:w="-5" w:type="dxa"/>
        <w:tblLayout w:type="fixed"/>
        <w:tblLook w:val="04A0" w:firstRow="1" w:lastRow="0" w:firstColumn="1" w:lastColumn="0" w:noHBand="0" w:noVBand="1"/>
      </w:tblPr>
      <w:tblGrid>
        <w:gridCol w:w="567"/>
        <w:gridCol w:w="2410"/>
        <w:gridCol w:w="4678"/>
        <w:gridCol w:w="5953"/>
        <w:gridCol w:w="1843"/>
      </w:tblGrid>
      <w:tr w:rsidRPr="00D76BC8" w:rsidR="007476DF" w:rsidTr="00450EAF" w14:paraId="588C28B7" w14:textId="77777777">
        <w:trPr>
          <w:trHeight w:val="634"/>
        </w:trPr>
        <w:tc>
          <w:tcPr>
            <w:tcW w:w="567" w:type="dxa"/>
            <w:tcBorders>
              <w:top w:val="single" w:color="auto" w:sz="4" w:space="0"/>
              <w:left w:val="single" w:color="auto" w:sz="4" w:space="0"/>
              <w:bottom w:val="single" w:color="auto" w:sz="4" w:space="0"/>
              <w:right w:val="single" w:color="auto" w:sz="4" w:space="0"/>
            </w:tcBorders>
          </w:tcPr>
          <w:p w:rsidRPr="00D76BC8" w:rsidR="007476DF" w:rsidP="007C26FD" w:rsidRDefault="007476DF" w14:paraId="48829588" w14:textId="236FB055">
            <w:pPr>
              <w:rPr>
                <w:rFonts w:ascii="Verdana" w:hAnsi="Verdana" w:cstheme="minorHAnsi"/>
                <w:b/>
                <w:bCs/>
                <w:sz w:val="18"/>
                <w:szCs w:val="18"/>
              </w:rPr>
            </w:pPr>
            <w:r w:rsidRPr="00D76BC8">
              <w:rPr>
                <w:rFonts w:ascii="Verdana" w:hAnsi="Verdana" w:cstheme="minorHAnsi"/>
                <w:b/>
                <w:bCs/>
                <w:sz w:val="18"/>
                <w:szCs w:val="18"/>
              </w:rPr>
              <w:t>No.</w:t>
            </w:r>
          </w:p>
        </w:tc>
        <w:tc>
          <w:tcPr>
            <w:tcW w:w="2410" w:type="dxa"/>
            <w:tcBorders>
              <w:top w:val="single" w:color="auto" w:sz="4" w:space="0"/>
              <w:left w:val="single" w:color="auto" w:sz="4" w:space="0"/>
              <w:bottom w:val="single" w:color="auto" w:sz="4" w:space="0"/>
              <w:right w:val="single" w:color="auto" w:sz="4" w:space="0"/>
            </w:tcBorders>
            <w:hideMark/>
          </w:tcPr>
          <w:p w:rsidRPr="00D76BC8" w:rsidR="007476DF" w:rsidP="007C26FD" w:rsidRDefault="007476DF" w14:paraId="25852855" w14:textId="18D8996C">
            <w:pPr>
              <w:rPr>
                <w:rFonts w:ascii="Verdana" w:hAnsi="Verdana" w:cstheme="minorHAnsi"/>
                <w:b/>
                <w:bCs/>
                <w:sz w:val="18"/>
                <w:szCs w:val="18"/>
              </w:rPr>
            </w:pPr>
            <w:r w:rsidRPr="00D76BC8">
              <w:rPr>
                <w:rFonts w:ascii="Verdana" w:hAnsi="Verdana" w:cstheme="minorHAnsi"/>
                <w:b/>
                <w:bCs/>
                <w:sz w:val="18"/>
                <w:szCs w:val="18"/>
              </w:rPr>
              <w:t>Titel (publicatiedatum)</w:t>
            </w:r>
          </w:p>
        </w:tc>
        <w:tc>
          <w:tcPr>
            <w:tcW w:w="4678" w:type="dxa"/>
            <w:tcBorders>
              <w:top w:val="single" w:color="auto" w:sz="4" w:space="0"/>
              <w:left w:val="single" w:color="auto" w:sz="4" w:space="0"/>
              <w:bottom w:val="single" w:color="auto" w:sz="4" w:space="0"/>
              <w:right w:val="single" w:color="auto" w:sz="4" w:space="0"/>
            </w:tcBorders>
            <w:hideMark/>
          </w:tcPr>
          <w:p w:rsidRPr="00D76BC8" w:rsidR="007476DF" w:rsidP="007C26FD" w:rsidRDefault="007476DF" w14:paraId="59AFE2D4" w14:textId="77777777">
            <w:pPr>
              <w:rPr>
                <w:rFonts w:ascii="Verdana" w:hAnsi="Verdana" w:cstheme="minorHAnsi"/>
                <w:b/>
                <w:bCs/>
                <w:sz w:val="18"/>
                <w:szCs w:val="18"/>
              </w:rPr>
            </w:pPr>
            <w:r w:rsidRPr="00D76BC8">
              <w:rPr>
                <w:rFonts w:ascii="Verdana" w:hAnsi="Verdana" w:cstheme="minorHAnsi"/>
                <w:b/>
                <w:bCs/>
                <w:sz w:val="18"/>
                <w:szCs w:val="18"/>
              </w:rPr>
              <w:t>Korte beschrijving</w:t>
            </w:r>
          </w:p>
        </w:tc>
        <w:tc>
          <w:tcPr>
            <w:tcW w:w="5953" w:type="dxa"/>
            <w:tcBorders>
              <w:top w:val="single" w:color="auto" w:sz="4" w:space="0"/>
              <w:left w:val="single" w:color="auto" w:sz="4" w:space="0"/>
              <w:bottom w:val="single" w:color="auto" w:sz="4" w:space="0"/>
              <w:right w:val="single" w:color="auto" w:sz="4" w:space="0"/>
            </w:tcBorders>
            <w:hideMark/>
          </w:tcPr>
          <w:p w:rsidRPr="00D76BC8" w:rsidR="007476DF" w:rsidP="007C26FD" w:rsidRDefault="007476DF" w14:paraId="4B9DBFE6" w14:textId="77777777">
            <w:pPr>
              <w:rPr>
                <w:rFonts w:ascii="Verdana" w:hAnsi="Verdana" w:cstheme="minorHAnsi"/>
                <w:b/>
                <w:bCs/>
                <w:sz w:val="18"/>
                <w:szCs w:val="18"/>
              </w:rPr>
            </w:pPr>
            <w:r w:rsidRPr="00D76BC8">
              <w:rPr>
                <w:rFonts w:ascii="Verdana" w:hAnsi="Verdana" w:cstheme="minorHAnsi"/>
                <w:b/>
                <w:bCs/>
                <w:sz w:val="18"/>
                <w:szCs w:val="18"/>
              </w:rPr>
              <w:t>Kabinetsappreciatie</w:t>
            </w:r>
          </w:p>
        </w:tc>
        <w:tc>
          <w:tcPr>
            <w:tcW w:w="1843" w:type="dxa"/>
            <w:tcBorders>
              <w:top w:val="single" w:color="auto" w:sz="4" w:space="0"/>
              <w:left w:val="single" w:color="auto" w:sz="4" w:space="0"/>
              <w:bottom w:val="single" w:color="auto" w:sz="4" w:space="0"/>
              <w:right w:val="single" w:color="auto" w:sz="4" w:space="0"/>
            </w:tcBorders>
          </w:tcPr>
          <w:p w:rsidRPr="00D76BC8" w:rsidR="007476DF" w:rsidP="007C26FD" w:rsidRDefault="007476DF" w14:paraId="7DD7BD75" w14:textId="32243BDE">
            <w:pPr>
              <w:rPr>
                <w:rFonts w:ascii="Verdana" w:hAnsi="Verdana" w:cstheme="minorHAnsi"/>
                <w:b/>
                <w:bCs/>
                <w:sz w:val="18"/>
                <w:szCs w:val="18"/>
              </w:rPr>
            </w:pPr>
            <w:r w:rsidRPr="00D76BC8">
              <w:rPr>
                <w:rFonts w:ascii="Verdana" w:hAnsi="Verdana" w:cstheme="minorHAnsi"/>
                <w:b/>
                <w:bCs/>
                <w:sz w:val="18"/>
                <w:szCs w:val="18"/>
              </w:rPr>
              <w:t>Wetgevend/niet-Wetgevend</w:t>
            </w:r>
          </w:p>
        </w:tc>
      </w:tr>
      <w:tr w:rsidRPr="00D76BC8" w:rsidR="007476DF" w:rsidTr="00450EAF" w14:paraId="11CE976A"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D76BC8" w:rsidR="007476DF" w:rsidP="007C26FD" w:rsidRDefault="007476DF" w14:paraId="66E88941" w14:textId="6AEEDFD4">
            <w:pPr>
              <w:rPr>
                <w:rFonts w:ascii="Verdana" w:hAnsi="Verdana" w:cstheme="minorHAnsi"/>
                <w:sz w:val="18"/>
                <w:szCs w:val="18"/>
                <w:lang w:val="en-US"/>
              </w:rPr>
            </w:pPr>
            <w:bookmarkStart w:name="_Hlk192136996" w:id="4"/>
            <w:r w:rsidRPr="00D76BC8">
              <w:rPr>
                <w:rFonts w:ascii="Verdana" w:hAnsi="Verdana" w:cstheme="minorHAnsi"/>
                <w:sz w:val="18"/>
                <w:szCs w:val="18"/>
                <w:lang w:val="en-US"/>
              </w:rPr>
              <w:t>2</w:t>
            </w:r>
            <w:r w:rsidRPr="00D76BC8" w:rsidR="0068013D">
              <w:rPr>
                <w:rFonts w:ascii="Verdana" w:hAnsi="Verdana" w:cstheme="minorHAnsi"/>
                <w:sz w:val="18"/>
                <w:szCs w:val="18"/>
                <w:lang w:val="en-US"/>
              </w:rPr>
              <w:t>1</w:t>
            </w:r>
            <w:r w:rsidRPr="00D76BC8">
              <w:rPr>
                <w:rFonts w:ascii="Verdana" w:hAnsi="Verdana" w:cstheme="minorHAnsi"/>
                <w:sz w:val="18"/>
                <w:szCs w:val="18"/>
                <w:lang w:val="en-US"/>
              </w:rPr>
              <w:t>.</w:t>
            </w:r>
          </w:p>
        </w:tc>
        <w:tc>
          <w:tcPr>
            <w:tcW w:w="2410" w:type="dxa"/>
            <w:tcBorders>
              <w:top w:val="single" w:color="auto" w:sz="4" w:space="0"/>
              <w:left w:val="single" w:color="auto" w:sz="4" w:space="0"/>
              <w:bottom w:val="single" w:color="auto" w:sz="4" w:space="0"/>
              <w:right w:val="single" w:color="auto" w:sz="4" w:space="0"/>
            </w:tcBorders>
          </w:tcPr>
          <w:p w:rsidRPr="0086334D" w:rsidR="007476DF" w:rsidP="007C26FD" w:rsidRDefault="00A80351" w14:paraId="7A97B470" w14:textId="05A79365">
            <w:pPr>
              <w:rPr>
                <w:rFonts w:ascii="Verdana" w:hAnsi="Verdana" w:cstheme="minorHAnsi"/>
                <w:sz w:val="18"/>
                <w:szCs w:val="18"/>
              </w:rPr>
            </w:pPr>
            <w:r w:rsidRPr="0086334D">
              <w:rPr>
                <w:rFonts w:ascii="Verdana" w:hAnsi="Verdana" w:cstheme="minorHAnsi"/>
                <w:sz w:val="18"/>
                <w:szCs w:val="18"/>
              </w:rPr>
              <w:t>Witboek over de toekomst van de Europese defensie</w:t>
            </w:r>
            <w:r w:rsidRPr="0086334D" w:rsidDel="00A80351">
              <w:rPr>
                <w:rFonts w:ascii="Verdana" w:hAnsi="Verdana" w:cstheme="minorHAnsi"/>
                <w:sz w:val="18"/>
                <w:szCs w:val="18"/>
              </w:rPr>
              <w:t xml:space="preserve"> </w:t>
            </w:r>
            <w:r w:rsidRPr="0086334D" w:rsidR="007476DF">
              <w:rPr>
                <w:rFonts w:ascii="Verdana" w:hAnsi="Verdana" w:cstheme="minorHAnsi"/>
                <w:sz w:val="18"/>
                <w:szCs w:val="18"/>
              </w:rPr>
              <w:t>(Q1 2025)</w:t>
            </w:r>
          </w:p>
        </w:tc>
        <w:tc>
          <w:tcPr>
            <w:tcW w:w="4678" w:type="dxa"/>
            <w:tcBorders>
              <w:top w:val="single" w:color="auto" w:sz="4" w:space="0"/>
              <w:left w:val="single" w:color="auto" w:sz="4" w:space="0"/>
              <w:bottom w:val="single" w:color="auto" w:sz="4" w:space="0"/>
              <w:right w:val="single" w:color="auto" w:sz="4" w:space="0"/>
            </w:tcBorders>
          </w:tcPr>
          <w:p w:rsidRPr="00D76BC8" w:rsidR="007476DF" w:rsidP="007C26FD" w:rsidRDefault="00F51628" w14:paraId="6B9490E3" w14:textId="5BF7769F">
            <w:pPr>
              <w:rPr>
                <w:rFonts w:ascii="Verdana" w:hAnsi="Verdana" w:cstheme="minorHAnsi"/>
                <w:color w:val="000000"/>
                <w:sz w:val="18"/>
                <w:szCs w:val="18"/>
              </w:rPr>
            </w:pPr>
            <w:r w:rsidRPr="00D76BC8">
              <w:rPr>
                <w:rFonts w:ascii="Verdana" w:hAnsi="Verdana"/>
                <w:color w:val="000000"/>
                <w:sz w:val="18"/>
                <w:szCs w:val="18"/>
              </w:rPr>
              <w:t xml:space="preserve">De Commissie zet haar visie uiteen op de weg naar een sterkere ‘defensie-unie’. Dit </w:t>
            </w:r>
            <w:r w:rsidR="007060B4">
              <w:rPr>
                <w:rFonts w:ascii="Verdana" w:hAnsi="Verdana"/>
                <w:color w:val="000000"/>
                <w:sz w:val="18"/>
                <w:szCs w:val="18"/>
              </w:rPr>
              <w:t>voorstel</w:t>
            </w:r>
            <w:r w:rsidRPr="00D76BC8">
              <w:rPr>
                <w:rFonts w:ascii="Verdana" w:hAnsi="Verdana"/>
                <w:color w:val="000000"/>
                <w:sz w:val="18"/>
                <w:szCs w:val="18"/>
              </w:rPr>
              <w:t xml:space="preserve"> moet richting geven aan het raamwerk voor die defensie-unie en bevat onder andere een inschatting van waar de defensie-investeringsbehoeften liggen. De Commissie ziet een sterkere defensie-unie als onmisbaar onderdeel van het voltooien van de Europese interne markt in het huidige geopolitieke landschap.</w:t>
            </w:r>
          </w:p>
        </w:tc>
        <w:tc>
          <w:tcPr>
            <w:tcW w:w="5953" w:type="dxa"/>
            <w:tcBorders>
              <w:top w:val="single" w:color="auto" w:sz="4" w:space="0"/>
              <w:left w:val="single" w:color="auto" w:sz="4" w:space="0"/>
              <w:bottom w:val="single" w:color="auto" w:sz="4" w:space="0"/>
              <w:right w:val="single" w:color="auto" w:sz="4" w:space="0"/>
            </w:tcBorders>
          </w:tcPr>
          <w:p w:rsidRPr="00D76BC8" w:rsidR="007476DF" w:rsidP="0086334D" w:rsidRDefault="00F615D4" w14:paraId="3D873C51" w14:textId="593596DE">
            <w:pPr>
              <w:pStyle w:val="NoSpacing"/>
            </w:pPr>
            <w:r w:rsidRPr="00D76BC8">
              <w:rPr>
                <w:rFonts w:ascii="Verdana" w:hAnsi="Verdana"/>
                <w:sz w:val="18"/>
                <w:szCs w:val="18"/>
              </w:rPr>
              <w:t xml:space="preserve">Het kabinet </w:t>
            </w:r>
            <w:r w:rsidR="007060B4">
              <w:rPr>
                <w:rFonts w:ascii="Verdana" w:hAnsi="Verdana"/>
                <w:sz w:val="18"/>
                <w:szCs w:val="18"/>
              </w:rPr>
              <w:t>staat positief tegenover het voorstel</w:t>
            </w:r>
            <w:r w:rsidRPr="00D76BC8">
              <w:rPr>
                <w:rFonts w:ascii="Verdana" w:hAnsi="Verdana" w:cstheme="minorBidi"/>
                <w:sz w:val="18"/>
                <w:szCs w:val="18"/>
              </w:rPr>
              <w:t xml:space="preserve"> en oefende onder andere middels een non-paper invloed uit op de totstandkoming van deze visie over de rol, </w:t>
            </w:r>
            <w:r w:rsidRPr="00D76BC8">
              <w:rPr>
                <w:rFonts w:ascii="Verdana" w:hAnsi="Verdana"/>
                <w:sz w:val="18"/>
                <w:szCs w:val="18"/>
              </w:rPr>
              <w:t xml:space="preserve">de </w:t>
            </w:r>
            <w:r w:rsidRPr="00D76BC8">
              <w:rPr>
                <w:rFonts w:ascii="Verdana" w:hAnsi="Verdana" w:cstheme="minorBidi"/>
                <w:sz w:val="18"/>
                <w:szCs w:val="18"/>
              </w:rPr>
              <w:t xml:space="preserve">behoeften en het ambitieniveau van de EU op defensiegebied. Wat </w:t>
            </w:r>
            <w:r w:rsidR="00EC2A52">
              <w:rPr>
                <w:rFonts w:ascii="Verdana" w:hAnsi="Verdana" w:cstheme="minorBidi"/>
                <w:sz w:val="18"/>
                <w:szCs w:val="18"/>
              </w:rPr>
              <w:t>het kabinet</w:t>
            </w:r>
            <w:r w:rsidRPr="00D76BC8">
              <w:rPr>
                <w:rFonts w:ascii="Verdana" w:hAnsi="Verdana" w:cstheme="minorBidi"/>
                <w:sz w:val="18"/>
                <w:szCs w:val="18"/>
              </w:rPr>
              <w:t xml:space="preserve"> betreft zijn de NAVO </w:t>
            </w:r>
            <w:proofErr w:type="spellStart"/>
            <w:r w:rsidRPr="00D76BC8">
              <w:rPr>
                <w:rFonts w:ascii="Verdana" w:hAnsi="Verdana" w:cstheme="minorBidi"/>
                <w:i/>
                <w:iCs/>
                <w:sz w:val="18"/>
                <w:szCs w:val="18"/>
              </w:rPr>
              <w:t>capability</w:t>
            </w:r>
            <w:proofErr w:type="spellEnd"/>
            <w:r w:rsidRPr="00D76BC8">
              <w:rPr>
                <w:rFonts w:ascii="Verdana" w:hAnsi="Verdana" w:cstheme="minorBidi"/>
                <w:i/>
                <w:iCs/>
                <w:sz w:val="18"/>
                <w:szCs w:val="18"/>
              </w:rPr>
              <w:t xml:space="preserve"> targets </w:t>
            </w:r>
            <w:r w:rsidRPr="00D76BC8">
              <w:rPr>
                <w:rFonts w:ascii="Verdana" w:hAnsi="Verdana" w:cstheme="minorBidi"/>
                <w:sz w:val="18"/>
                <w:szCs w:val="18"/>
              </w:rPr>
              <w:t>leidend. Tegelijkertijd moeten Europese landen</w:t>
            </w:r>
            <w:r w:rsidR="009D50BF">
              <w:rPr>
                <w:rFonts w:ascii="Verdana" w:hAnsi="Verdana" w:cstheme="minorBidi"/>
                <w:sz w:val="18"/>
                <w:szCs w:val="18"/>
              </w:rPr>
              <w:t>, zo nodig in wisselende constellaties,</w:t>
            </w:r>
            <w:r w:rsidRPr="00D76BC8">
              <w:rPr>
                <w:rFonts w:ascii="Verdana" w:hAnsi="Verdana" w:cstheme="minorBidi"/>
                <w:sz w:val="18"/>
                <w:szCs w:val="18"/>
              </w:rPr>
              <w:t xml:space="preserve"> meer verantwoordelijkheid nemen voor de eigen veiligheid, ten behoeve van de collectieve verdedigingstaak van de NAVO. De EU kan daaraan bijdragen door kritieke tekortkomingen van de NAVO-doelstellingen </w:t>
            </w:r>
            <w:r w:rsidRPr="00D76BC8">
              <w:rPr>
                <w:rFonts w:ascii="Verdana" w:hAnsi="Verdana"/>
                <w:sz w:val="18"/>
                <w:szCs w:val="18"/>
              </w:rPr>
              <w:t>versneld in te vullen</w:t>
            </w:r>
            <w:r w:rsidRPr="00D76BC8">
              <w:rPr>
                <w:rFonts w:ascii="Verdana" w:hAnsi="Verdana" w:cstheme="minorBidi"/>
                <w:sz w:val="18"/>
                <w:szCs w:val="18"/>
              </w:rPr>
              <w:t xml:space="preserve"> door bijvoorbeeld het versterken van de Europese defensie-industrie. </w:t>
            </w:r>
            <w:r w:rsidR="004872A6">
              <w:rPr>
                <w:rFonts w:ascii="Verdana" w:hAnsi="Verdana" w:cstheme="minorBidi"/>
                <w:sz w:val="18"/>
                <w:szCs w:val="18"/>
              </w:rPr>
              <w:t>Financiering is daarbij van belang, óók voor structurele (militaire) steun aan Oekraïne. Tot slot pleit Nederland voor het zoeken naar een nieuwe balans bij</w:t>
            </w:r>
            <w:r w:rsidR="009D50BF">
              <w:rPr>
                <w:rFonts w:ascii="Verdana" w:hAnsi="Verdana" w:cstheme="minorBidi"/>
                <w:sz w:val="18"/>
                <w:szCs w:val="18"/>
              </w:rPr>
              <w:t xml:space="preserve"> Europese</w:t>
            </w:r>
            <w:r w:rsidR="004872A6">
              <w:rPr>
                <w:rFonts w:ascii="Verdana" w:hAnsi="Verdana" w:cstheme="minorBidi"/>
                <w:sz w:val="18"/>
                <w:szCs w:val="18"/>
              </w:rPr>
              <w:t xml:space="preserve"> wetgeving die de </w:t>
            </w:r>
            <w:proofErr w:type="spellStart"/>
            <w:r w:rsidR="004872A6">
              <w:rPr>
                <w:rFonts w:ascii="Verdana" w:hAnsi="Verdana" w:cstheme="minorBidi"/>
                <w:sz w:val="18"/>
                <w:szCs w:val="18"/>
              </w:rPr>
              <w:t>gereedstelling</w:t>
            </w:r>
            <w:proofErr w:type="spellEnd"/>
            <w:r w:rsidR="004872A6">
              <w:rPr>
                <w:rFonts w:ascii="Verdana" w:hAnsi="Verdana" w:cstheme="minorBidi"/>
                <w:sz w:val="18"/>
                <w:szCs w:val="18"/>
              </w:rPr>
              <w:t xml:space="preserve"> van de krijgsmacht hindert</w:t>
            </w:r>
            <w:r w:rsidR="009D50BF">
              <w:rPr>
                <w:rFonts w:ascii="Verdana" w:hAnsi="Verdana" w:cstheme="minorBidi"/>
                <w:sz w:val="18"/>
                <w:szCs w:val="18"/>
              </w:rPr>
              <w:t>, bijvoorbeeld op het gebied van ruimtelijke ordeningsvraagstukken</w:t>
            </w:r>
            <w:r w:rsidR="004872A6">
              <w:rPr>
                <w:rFonts w:ascii="Verdana" w:hAnsi="Verdana" w:cstheme="minorBidi"/>
                <w:sz w:val="18"/>
                <w:szCs w:val="18"/>
              </w:rPr>
              <w:t>.</w:t>
            </w:r>
          </w:p>
        </w:tc>
        <w:tc>
          <w:tcPr>
            <w:tcW w:w="1843" w:type="dxa"/>
            <w:tcBorders>
              <w:top w:val="single" w:color="auto" w:sz="4" w:space="0"/>
              <w:left w:val="single" w:color="auto" w:sz="4" w:space="0"/>
              <w:bottom w:val="single" w:color="auto" w:sz="4" w:space="0"/>
              <w:right w:val="single" w:color="auto" w:sz="4" w:space="0"/>
            </w:tcBorders>
          </w:tcPr>
          <w:p w:rsidRPr="00D76BC8" w:rsidR="007476DF" w:rsidP="007C26FD" w:rsidRDefault="007476DF" w14:paraId="0821BFFA" w14:textId="6493A073">
            <w:pPr>
              <w:rPr>
                <w:rFonts w:ascii="Verdana" w:hAnsi="Verdana" w:cstheme="minorHAnsi"/>
                <w:color w:val="000000"/>
                <w:sz w:val="18"/>
                <w:szCs w:val="18"/>
              </w:rPr>
            </w:pPr>
            <w:r w:rsidRPr="00D76BC8">
              <w:rPr>
                <w:rFonts w:ascii="Verdana" w:hAnsi="Verdana" w:cstheme="minorHAnsi"/>
                <w:color w:val="000000"/>
                <w:sz w:val="18"/>
                <w:szCs w:val="18"/>
              </w:rPr>
              <w:t>Niet-wetgevend</w:t>
            </w:r>
          </w:p>
        </w:tc>
      </w:tr>
      <w:bookmarkEnd w:id="4"/>
      <w:tr w:rsidRPr="00D76BC8" w:rsidR="004C4633" w:rsidTr="00450EAF" w14:paraId="1C39E986"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9A33ED" w:rsidR="004C4633" w:rsidP="007C26FD" w:rsidRDefault="004C4633" w14:paraId="00D11926" w14:textId="4D37A729">
            <w:pPr>
              <w:rPr>
                <w:rFonts w:ascii="Verdana" w:hAnsi="Verdana" w:cstheme="minorHAnsi"/>
                <w:sz w:val="18"/>
                <w:szCs w:val="18"/>
              </w:rPr>
            </w:pPr>
            <w:r w:rsidRPr="009A33ED">
              <w:rPr>
                <w:rFonts w:ascii="Verdana" w:hAnsi="Verdana" w:cstheme="minorHAnsi"/>
                <w:sz w:val="18"/>
                <w:szCs w:val="18"/>
              </w:rPr>
              <w:t>22.</w:t>
            </w:r>
          </w:p>
        </w:tc>
        <w:tc>
          <w:tcPr>
            <w:tcW w:w="2410" w:type="dxa"/>
            <w:tcBorders>
              <w:top w:val="single" w:color="auto" w:sz="4" w:space="0"/>
              <w:left w:val="single" w:color="auto" w:sz="4" w:space="0"/>
              <w:bottom w:val="single" w:color="auto" w:sz="4" w:space="0"/>
              <w:right w:val="single" w:color="auto" w:sz="4" w:space="0"/>
            </w:tcBorders>
          </w:tcPr>
          <w:p w:rsidRPr="0086334D" w:rsidR="004C4633" w:rsidP="007C26FD" w:rsidRDefault="00A80351" w14:paraId="3D937CD3" w14:textId="5879A899">
            <w:pPr>
              <w:rPr>
                <w:rFonts w:ascii="Verdana" w:hAnsi="Verdana" w:cstheme="minorHAnsi"/>
                <w:b/>
                <w:bCs/>
                <w:sz w:val="18"/>
                <w:szCs w:val="18"/>
              </w:rPr>
            </w:pPr>
            <w:r w:rsidRPr="0086334D">
              <w:rPr>
                <w:rFonts w:ascii="Verdana" w:hAnsi="Verdana" w:cstheme="minorHAnsi"/>
                <w:sz w:val="18"/>
                <w:szCs w:val="18"/>
              </w:rPr>
              <w:t xml:space="preserve">EU-strategie voor paraatheid van de Unie </w:t>
            </w:r>
            <w:r w:rsidRPr="0086334D" w:rsidR="004C4633">
              <w:rPr>
                <w:rFonts w:ascii="Verdana" w:hAnsi="Verdana" w:cstheme="minorHAnsi"/>
                <w:sz w:val="18"/>
                <w:szCs w:val="18"/>
              </w:rPr>
              <w:t>(Q1 2025)</w:t>
            </w:r>
          </w:p>
        </w:tc>
        <w:tc>
          <w:tcPr>
            <w:tcW w:w="4678"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507BA975" w14:textId="72AC70B9">
            <w:pPr>
              <w:rPr>
                <w:rFonts w:ascii="Verdana" w:hAnsi="Verdana"/>
                <w:sz w:val="18"/>
                <w:szCs w:val="18"/>
              </w:rPr>
            </w:pPr>
            <w:r w:rsidRPr="00D76BC8">
              <w:rPr>
                <w:rFonts w:ascii="Verdana" w:hAnsi="Verdana" w:eastAsia="Calibri" w:cs="Calibri"/>
                <w:sz w:val="18"/>
                <w:szCs w:val="18"/>
              </w:rPr>
              <w:t xml:space="preserve">De </w:t>
            </w:r>
            <w:r w:rsidRPr="00A80351" w:rsidR="00A80351">
              <w:rPr>
                <w:rFonts w:ascii="Verdana" w:hAnsi="Verdana" w:eastAsia="Calibri" w:cs="Calibri"/>
                <w:sz w:val="18"/>
                <w:szCs w:val="18"/>
              </w:rPr>
              <w:t>EU-strategie voor paraatheid van de Unie</w:t>
            </w:r>
            <w:r w:rsidRPr="00D76BC8">
              <w:rPr>
                <w:rFonts w:ascii="Verdana" w:hAnsi="Verdana" w:eastAsia="Calibri" w:cs="Calibri"/>
                <w:sz w:val="18"/>
                <w:szCs w:val="18"/>
              </w:rPr>
              <w:t xml:space="preserve">strategie bouwt voort op het </w:t>
            </w:r>
            <w:proofErr w:type="spellStart"/>
            <w:r w:rsidRPr="00D76BC8">
              <w:rPr>
                <w:rFonts w:ascii="Verdana" w:hAnsi="Verdana" w:eastAsia="Calibri" w:cs="Calibri"/>
                <w:sz w:val="18"/>
                <w:szCs w:val="18"/>
              </w:rPr>
              <w:t>Niinistö</w:t>
            </w:r>
            <w:proofErr w:type="spellEnd"/>
            <w:r w:rsidRPr="00D76BC8">
              <w:rPr>
                <w:rFonts w:ascii="Verdana" w:hAnsi="Verdana" w:eastAsia="Calibri" w:cs="Calibri"/>
                <w:sz w:val="18"/>
                <w:szCs w:val="18"/>
              </w:rPr>
              <w:t xml:space="preserve"> rapport</w:t>
            </w:r>
            <w:r w:rsidR="0086334D">
              <w:rPr>
                <w:rStyle w:val="FootnoteReference"/>
                <w:rFonts w:ascii="Verdana" w:hAnsi="Verdana" w:eastAsia="Calibri" w:cs="Calibri"/>
                <w:sz w:val="18"/>
                <w:szCs w:val="18"/>
              </w:rPr>
              <w:footnoteReference w:id="6"/>
            </w:r>
            <w:r w:rsidRPr="00D76BC8">
              <w:rPr>
                <w:rFonts w:ascii="Verdana" w:hAnsi="Verdana" w:eastAsia="Calibri" w:cs="Calibri"/>
                <w:sz w:val="18"/>
                <w:szCs w:val="18"/>
              </w:rPr>
              <w:t xml:space="preserve"> en </w:t>
            </w:r>
            <w:r w:rsidR="00C33B4C">
              <w:rPr>
                <w:rFonts w:ascii="Verdana" w:hAnsi="Verdana" w:eastAsia="Calibri" w:cs="Calibri"/>
                <w:sz w:val="18"/>
                <w:szCs w:val="18"/>
              </w:rPr>
              <w:t>zich richten</w:t>
            </w:r>
            <w:r w:rsidRPr="00D76BC8">
              <w:rPr>
                <w:rFonts w:ascii="Verdana" w:hAnsi="Verdana" w:eastAsia="Calibri" w:cs="Calibri"/>
                <w:sz w:val="18"/>
                <w:szCs w:val="18"/>
              </w:rPr>
              <w:t xml:space="preserve"> op het versterken en verbeteren van de weerbaarheid van de EU. Dit moet de EU in staat maken om </w:t>
            </w:r>
            <w:r w:rsidR="00C33B4C">
              <w:rPr>
                <w:rFonts w:ascii="Verdana" w:hAnsi="Verdana" w:eastAsia="Calibri" w:cs="Calibri"/>
                <w:sz w:val="18"/>
                <w:szCs w:val="18"/>
              </w:rPr>
              <w:t>beter op</w:t>
            </w:r>
            <w:r w:rsidRPr="00D76BC8">
              <w:rPr>
                <w:rFonts w:ascii="Verdana" w:hAnsi="Verdana" w:eastAsia="Calibri" w:cs="Calibri"/>
                <w:sz w:val="18"/>
                <w:szCs w:val="18"/>
              </w:rPr>
              <w:t xml:space="preserve"> crises te kunnen anticiperen, voor</w:t>
            </w:r>
            <w:r w:rsidR="00C33B4C">
              <w:rPr>
                <w:rFonts w:ascii="Verdana" w:hAnsi="Verdana" w:eastAsia="Calibri" w:cs="Calibri"/>
                <w:sz w:val="18"/>
                <w:szCs w:val="18"/>
              </w:rPr>
              <w:t xml:space="preserve"> te </w:t>
            </w:r>
            <w:r w:rsidRPr="00D76BC8">
              <w:rPr>
                <w:rFonts w:ascii="Verdana" w:hAnsi="Verdana" w:eastAsia="Calibri" w:cs="Calibri"/>
                <w:sz w:val="18"/>
                <w:szCs w:val="18"/>
              </w:rPr>
              <w:t xml:space="preserve">bereiden en </w:t>
            </w:r>
            <w:r w:rsidR="00C33B4C">
              <w:rPr>
                <w:rFonts w:ascii="Verdana" w:hAnsi="Verdana" w:eastAsia="Calibri" w:cs="Calibri"/>
                <w:sz w:val="18"/>
                <w:szCs w:val="18"/>
              </w:rPr>
              <w:t xml:space="preserve">te </w:t>
            </w:r>
            <w:r w:rsidRPr="00D76BC8">
              <w:rPr>
                <w:rFonts w:ascii="Verdana" w:hAnsi="Verdana" w:eastAsia="Calibri" w:cs="Calibri"/>
                <w:sz w:val="18"/>
                <w:szCs w:val="18"/>
              </w:rPr>
              <w:t xml:space="preserve">voorkomen. De strategie zal aangevuld worden met steun voor medische maatregelen om dreigingen tegen de volksgezondheid </w:t>
            </w:r>
            <w:r w:rsidR="00C33B4C">
              <w:rPr>
                <w:rFonts w:ascii="Verdana" w:hAnsi="Verdana" w:eastAsia="Calibri" w:cs="Calibri"/>
                <w:sz w:val="18"/>
                <w:szCs w:val="18"/>
              </w:rPr>
              <w:t>te vermijden via</w:t>
            </w:r>
            <w:r w:rsidRPr="00D76BC8">
              <w:rPr>
                <w:rFonts w:ascii="Verdana" w:hAnsi="Verdana" w:eastAsia="Calibri" w:cs="Calibri"/>
                <w:sz w:val="18"/>
                <w:szCs w:val="18"/>
              </w:rPr>
              <w:t xml:space="preserve"> een EU strategie </w:t>
            </w:r>
            <w:r w:rsidR="00C33B4C">
              <w:rPr>
                <w:rFonts w:ascii="Verdana" w:hAnsi="Verdana" w:eastAsia="Calibri" w:cs="Calibri"/>
                <w:sz w:val="18"/>
                <w:szCs w:val="18"/>
              </w:rPr>
              <w:t xml:space="preserve">voor </w:t>
            </w:r>
            <w:r w:rsidRPr="00D76BC8">
              <w:rPr>
                <w:rFonts w:ascii="Verdana" w:hAnsi="Verdana" w:eastAsia="Calibri" w:cs="Calibri"/>
                <w:sz w:val="18"/>
                <w:szCs w:val="18"/>
              </w:rPr>
              <w:t>de aanleg van voorraden.</w:t>
            </w:r>
          </w:p>
        </w:tc>
        <w:tc>
          <w:tcPr>
            <w:tcW w:w="5953"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3320D08F" w14:textId="6B3982A3">
            <w:pPr>
              <w:rPr>
                <w:rFonts w:ascii="Verdana" w:hAnsi="Verdana"/>
                <w:sz w:val="18"/>
                <w:szCs w:val="18"/>
              </w:rPr>
            </w:pPr>
            <w:r w:rsidRPr="00D76BC8">
              <w:rPr>
                <w:rFonts w:ascii="Verdana" w:hAnsi="Verdana" w:eastAsia="Calibri" w:cs="Calibri"/>
                <w:sz w:val="18"/>
                <w:szCs w:val="18"/>
              </w:rPr>
              <w:t>Het kabinet verwelkomt de</w:t>
            </w:r>
            <w:r w:rsidR="00A97D43">
              <w:rPr>
                <w:rFonts w:ascii="Verdana" w:hAnsi="Verdana" w:eastAsia="Calibri" w:cs="Calibri"/>
                <w:sz w:val="18"/>
                <w:szCs w:val="18"/>
              </w:rPr>
              <w:t xml:space="preserve"> aangekondigde</w:t>
            </w:r>
            <w:r w:rsidRPr="00D76BC8">
              <w:rPr>
                <w:rFonts w:ascii="Verdana" w:hAnsi="Verdana" w:eastAsia="Calibri" w:cs="Calibri"/>
                <w:sz w:val="18"/>
                <w:szCs w:val="18"/>
              </w:rPr>
              <w:t xml:space="preserve"> </w:t>
            </w:r>
            <w:r w:rsidRPr="0086334D" w:rsidR="00A97D43">
              <w:rPr>
                <w:rFonts w:ascii="Verdana" w:hAnsi="Verdana" w:cstheme="minorHAnsi"/>
                <w:sz w:val="18"/>
                <w:szCs w:val="18"/>
              </w:rPr>
              <w:t xml:space="preserve">EU-strategie voor paraatheid van de Unie </w:t>
            </w:r>
            <w:r w:rsidRPr="00D76BC8">
              <w:rPr>
                <w:rFonts w:ascii="Verdana" w:hAnsi="Verdana" w:eastAsia="Calibri" w:cs="Calibri"/>
                <w:sz w:val="18"/>
                <w:szCs w:val="18"/>
              </w:rPr>
              <w:t>onderstreept de noodzaak daarvan. Een dergelijke strategie sluit naar verwachting goed aan bij de ambities van het kabinet om in te zetten op de continuïteit van de samenleving en economie,</w:t>
            </w:r>
            <w:r w:rsidR="00CB1B99">
              <w:rPr>
                <w:rFonts w:ascii="Verdana" w:hAnsi="Verdana" w:eastAsia="Calibri" w:cs="Calibri"/>
                <w:sz w:val="18"/>
                <w:szCs w:val="18"/>
              </w:rPr>
              <w:t xml:space="preserve"> </w:t>
            </w:r>
            <w:r w:rsidRPr="00D76BC8">
              <w:rPr>
                <w:rFonts w:ascii="Verdana" w:hAnsi="Verdana" w:eastAsia="Calibri" w:cs="Calibri"/>
                <w:sz w:val="18"/>
                <w:szCs w:val="18"/>
              </w:rPr>
              <w:t xml:space="preserve">versterking van de krijgsmacht en de civiele ondersteuning daarvan en de inzet op versterking van </w:t>
            </w:r>
            <w:r w:rsidR="00031872">
              <w:rPr>
                <w:rFonts w:ascii="Verdana" w:hAnsi="Verdana" w:eastAsia="Calibri" w:cs="Calibri"/>
                <w:sz w:val="18"/>
                <w:szCs w:val="18"/>
              </w:rPr>
              <w:t xml:space="preserve">de maatschappelijke </w:t>
            </w:r>
            <w:r w:rsidRPr="00D76BC8">
              <w:rPr>
                <w:rFonts w:ascii="Verdana" w:hAnsi="Verdana" w:eastAsia="Calibri" w:cs="Calibri"/>
                <w:sz w:val="18"/>
                <w:szCs w:val="18"/>
              </w:rPr>
              <w:t xml:space="preserve">weerbaarheid en crisisbeheersing op EU-niveau. </w:t>
            </w:r>
          </w:p>
        </w:tc>
        <w:tc>
          <w:tcPr>
            <w:tcW w:w="1843"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0CEDDCBD" w14:textId="69B4E373">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tc>
      </w:tr>
      <w:tr w:rsidRPr="00D76BC8" w:rsidR="007476DF" w:rsidTr="00831C63" w14:paraId="7BE6E33D" w14:textId="77777777">
        <w:trPr>
          <w:trHeight w:val="441"/>
        </w:trPr>
        <w:tc>
          <w:tcPr>
            <w:tcW w:w="567" w:type="dxa"/>
            <w:tcBorders>
              <w:top w:val="single" w:color="auto" w:sz="4" w:space="0"/>
              <w:left w:val="single" w:color="auto" w:sz="4" w:space="0"/>
              <w:bottom w:val="single" w:color="auto" w:sz="4" w:space="0"/>
              <w:right w:val="single" w:color="auto" w:sz="4" w:space="0"/>
            </w:tcBorders>
          </w:tcPr>
          <w:p w:rsidRPr="00D76BC8" w:rsidR="007476DF" w:rsidP="007C26FD" w:rsidRDefault="007476DF" w14:paraId="55A56D7D" w14:textId="067535DB">
            <w:pPr>
              <w:rPr>
                <w:rFonts w:ascii="Verdana" w:hAnsi="Verdana" w:cstheme="minorHAnsi"/>
                <w:sz w:val="18"/>
                <w:szCs w:val="18"/>
              </w:rPr>
            </w:pPr>
            <w:r w:rsidRPr="00D76BC8">
              <w:rPr>
                <w:rFonts w:ascii="Verdana" w:hAnsi="Verdana" w:cstheme="minorHAnsi"/>
                <w:sz w:val="18"/>
                <w:szCs w:val="18"/>
              </w:rPr>
              <w:t>2</w:t>
            </w:r>
            <w:r w:rsidRPr="00D76BC8" w:rsidR="0068013D">
              <w:rPr>
                <w:rFonts w:ascii="Verdana" w:hAnsi="Verdana" w:cstheme="minorHAnsi"/>
                <w:sz w:val="18"/>
                <w:szCs w:val="18"/>
              </w:rPr>
              <w:t>3</w:t>
            </w:r>
            <w:r w:rsidRPr="00D76BC8" w:rsidR="00450EAF">
              <w:rPr>
                <w:rFonts w:ascii="Verdana" w:hAnsi="Verdana" w:cstheme="minorHAnsi"/>
                <w:sz w:val="18"/>
                <w:szCs w:val="18"/>
              </w:rPr>
              <w:t>a</w:t>
            </w:r>
          </w:p>
        </w:tc>
        <w:tc>
          <w:tcPr>
            <w:tcW w:w="2410" w:type="dxa"/>
            <w:tcBorders>
              <w:top w:val="single" w:color="auto" w:sz="4" w:space="0"/>
              <w:left w:val="single" w:color="auto" w:sz="4" w:space="0"/>
              <w:bottom w:val="single" w:color="auto" w:sz="4" w:space="0"/>
              <w:right w:val="single" w:color="auto" w:sz="4" w:space="0"/>
            </w:tcBorders>
          </w:tcPr>
          <w:p w:rsidRPr="0086334D" w:rsidR="007476DF" w:rsidP="007C26FD" w:rsidRDefault="00A80351" w14:paraId="6EEE5C4F" w14:textId="0285A4D0">
            <w:pPr>
              <w:rPr>
                <w:rFonts w:ascii="Verdana" w:hAnsi="Verdana" w:cstheme="minorHAnsi"/>
                <w:sz w:val="18"/>
                <w:szCs w:val="18"/>
              </w:rPr>
            </w:pPr>
            <w:r w:rsidRPr="0086334D">
              <w:rPr>
                <w:rFonts w:ascii="Verdana" w:hAnsi="Verdana" w:cstheme="minorHAnsi"/>
                <w:sz w:val="18"/>
                <w:szCs w:val="18"/>
              </w:rPr>
              <w:t>Wetgevingshandeling inzake kritieke geneesmiddelen</w:t>
            </w:r>
            <w:r w:rsidRPr="0086334D" w:rsidDel="00A80351">
              <w:rPr>
                <w:rFonts w:ascii="Verdana" w:hAnsi="Verdana" w:cstheme="minorHAnsi"/>
                <w:sz w:val="18"/>
                <w:szCs w:val="18"/>
              </w:rPr>
              <w:t xml:space="preserve"> </w:t>
            </w:r>
            <w:r w:rsidRPr="0086334D" w:rsidR="007476DF">
              <w:rPr>
                <w:rFonts w:ascii="Verdana" w:hAnsi="Verdana" w:cstheme="minorHAnsi"/>
                <w:sz w:val="18"/>
                <w:szCs w:val="18"/>
              </w:rPr>
              <w:t>(Q1 2025)</w:t>
            </w:r>
          </w:p>
          <w:p w:rsidRPr="0086334D" w:rsidR="007476DF" w:rsidP="007C26FD" w:rsidRDefault="007476DF" w14:paraId="0099C423" w14:textId="561A949F">
            <w:pPr>
              <w:rPr>
                <w:rFonts w:ascii="Verdana" w:hAnsi="Verdana" w:cstheme="minorHAnsi"/>
                <w:sz w:val="18"/>
                <w:szCs w:val="18"/>
              </w:rPr>
            </w:pPr>
          </w:p>
        </w:tc>
        <w:tc>
          <w:tcPr>
            <w:tcW w:w="4678" w:type="dxa"/>
            <w:tcBorders>
              <w:top w:val="single" w:color="auto" w:sz="4" w:space="0"/>
              <w:left w:val="single" w:color="auto" w:sz="4" w:space="0"/>
              <w:bottom w:val="single" w:color="auto" w:sz="4" w:space="0"/>
              <w:right w:val="single" w:color="auto" w:sz="4" w:space="0"/>
            </w:tcBorders>
          </w:tcPr>
          <w:p w:rsidRPr="00D92E80" w:rsidR="007476DF" w:rsidP="007C26FD" w:rsidRDefault="00D92E80" w14:paraId="260633AE" w14:textId="143CB079">
            <w:pPr>
              <w:rPr>
                <w:rFonts w:ascii="Verdana" w:hAnsi="Verdana" w:cstheme="minorHAnsi"/>
                <w:sz w:val="18"/>
                <w:szCs w:val="18"/>
              </w:rPr>
            </w:pPr>
            <w:r w:rsidRPr="00D92E80">
              <w:rPr>
                <w:rFonts w:ascii="Verdana" w:hAnsi="Verdana" w:cstheme="minorHAnsi"/>
                <w:sz w:val="18"/>
                <w:szCs w:val="18"/>
              </w:rPr>
              <w:t>De voorgestelde maatregelen</w:t>
            </w:r>
            <w:r>
              <w:rPr>
                <w:rFonts w:ascii="Verdana" w:hAnsi="Verdana" w:cstheme="minorHAnsi"/>
                <w:sz w:val="18"/>
                <w:szCs w:val="18"/>
              </w:rPr>
              <w:t xml:space="preserve"> in de w</w:t>
            </w:r>
            <w:r w:rsidRPr="0086334D">
              <w:rPr>
                <w:rFonts w:ascii="Verdana" w:hAnsi="Verdana" w:cstheme="minorHAnsi"/>
                <w:sz w:val="18"/>
                <w:szCs w:val="18"/>
              </w:rPr>
              <w:t>etgevingshandeling inzake kritieke geneesmiddelen</w:t>
            </w:r>
            <w:r w:rsidRPr="00D92E80">
              <w:rPr>
                <w:rFonts w:ascii="Verdana" w:hAnsi="Verdana" w:cstheme="minorHAnsi"/>
                <w:sz w:val="18"/>
                <w:szCs w:val="18"/>
              </w:rPr>
              <w:t xml:space="preserve"> richten zich op het verminderen van afhankelijkheden en het versterken van de levering van cruciale medicijnen, evenals het verbeteren van de beschikbaarheid van andere essentiële geneesmiddelen.</w:t>
            </w:r>
          </w:p>
        </w:tc>
        <w:tc>
          <w:tcPr>
            <w:tcW w:w="5953" w:type="dxa"/>
            <w:tcBorders>
              <w:top w:val="single" w:color="auto" w:sz="4" w:space="0"/>
              <w:left w:val="single" w:color="auto" w:sz="4" w:space="0"/>
              <w:bottom w:val="single" w:color="auto" w:sz="4" w:space="0"/>
              <w:right w:val="single" w:color="auto" w:sz="4" w:space="0"/>
            </w:tcBorders>
          </w:tcPr>
          <w:p w:rsidRPr="00D92E80" w:rsidR="007476DF" w:rsidP="00A003DE" w:rsidRDefault="00EE3991" w14:paraId="56F96032" w14:textId="4A583A3F">
            <w:pPr>
              <w:rPr>
                <w:rFonts w:ascii="Verdana" w:hAnsi="Verdana" w:cstheme="minorHAnsi"/>
                <w:b/>
                <w:bCs/>
                <w:sz w:val="18"/>
                <w:szCs w:val="18"/>
              </w:rPr>
            </w:pPr>
            <w:r>
              <w:rPr>
                <w:rFonts w:ascii="Verdana" w:hAnsi="Verdana" w:cstheme="minorHAnsi"/>
                <w:sz w:val="18"/>
                <w:szCs w:val="18"/>
              </w:rPr>
              <w:t>Voor het kabinet is d</w:t>
            </w:r>
            <w:r w:rsidRPr="00D76BC8" w:rsidR="00450EAF">
              <w:rPr>
                <w:rFonts w:ascii="Verdana" w:hAnsi="Verdana" w:cstheme="minorHAnsi"/>
                <w:sz w:val="18"/>
                <w:szCs w:val="18"/>
              </w:rPr>
              <w:t xml:space="preserve">e leveringszekerheid van geneesmiddelen </w:t>
            </w:r>
            <w:r>
              <w:rPr>
                <w:rFonts w:ascii="Verdana" w:hAnsi="Verdana" w:cstheme="minorHAnsi"/>
                <w:sz w:val="18"/>
                <w:szCs w:val="18"/>
              </w:rPr>
              <w:t xml:space="preserve">een </w:t>
            </w:r>
            <w:r w:rsidRPr="00864F2D" w:rsidR="008A5632">
              <w:rPr>
                <w:rFonts w:ascii="Verdana" w:hAnsi="Verdana" w:cstheme="minorHAnsi"/>
                <w:sz w:val="18"/>
                <w:szCs w:val="18"/>
              </w:rPr>
              <w:t xml:space="preserve">belangrijke bouwsteen voor een </w:t>
            </w:r>
            <w:r w:rsidR="008A5632">
              <w:rPr>
                <w:rFonts w:ascii="Verdana" w:hAnsi="Verdana" w:cstheme="minorHAnsi"/>
                <w:sz w:val="18"/>
                <w:szCs w:val="18"/>
              </w:rPr>
              <w:t>goed functionerende</w:t>
            </w:r>
            <w:r w:rsidRPr="00864F2D" w:rsidR="008A5632">
              <w:rPr>
                <w:rFonts w:ascii="Verdana" w:hAnsi="Verdana" w:cstheme="minorHAnsi"/>
                <w:sz w:val="18"/>
                <w:szCs w:val="18"/>
              </w:rPr>
              <w:t xml:space="preserve"> gezondheidssector</w:t>
            </w:r>
            <w:r w:rsidR="008A5632">
              <w:rPr>
                <w:rFonts w:ascii="Verdana" w:hAnsi="Verdana" w:cstheme="minorHAnsi"/>
                <w:sz w:val="18"/>
                <w:szCs w:val="18"/>
              </w:rPr>
              <w:t xml:space="preserve"> in een</w:t>
            </w:r>
            <w:r w:rsidRPr="00864F2D" w:rsidR="008A5632">
              <w:rPr>
                <w:rFonts w:ascii="Verdana" w:hAnsi="Verdana" w:cstheme="minorHAnsi"/>
                <w:sz w:val="18"/>
                <w:szCs w:val="18"/>
              </w:rPr>
              <w:t xml:space="preserve"> </w:t>
            </w:r>
            <w:r w:rsidRPr="00D76BC8" w:rsidR="00450EAF">
              <w:rPr>
                <w:rFonts w:ascii="Verdana" w:hAnsi="Verdana" w:cstheme="minorHAnsi"/>
                <w:sz w:val="18"/>
                <w:szCs w:val="18"/>
              </w:rPr>
              <w:t>versterkte Europese samenwerking.</w:t>
            </w:r>
            <w:r w:rsidRPr="00D76BC8" w:rsidR="007C26FD">
              <w:rPr>
                <w:rFonts w:ascii="Verdana" w:hAnsi="Verdana" w:cstheme="minorHAnsi"/>
                <w:sz w:val="18"/>
                <w:szCs w:val="18"/>
              </w:rPr>
              <w:t xml:space="preserve"> </w:t>
            </w:r>
            <w:r w:rsidR="00F54E9F">
              <w:rPr>
                <w:rFonts w:ascii="Verdana" w:hAnsi="Verdana" w:cstheme="minorHAnsi"/>
                <w:sz w:val="18"/>
                <w:szCs w:val="18"/>
              </w:rPr>
              <w:t xml:space="preserve">Het kabinet staat daarom positief tegenover </w:t>
            </w:r>
            <w:r w:rsidR="00A42A25">
              <w:rPr>
                <w:rFonts w:ascii="Verdana" w:hAnsi="Verdana" w:cstheme="minorHAnsi"/>
                <w:sz w:val="18"/>
                <w:szCs w:val="18"/>
              </w:rPr>
              <w:t xml:space="preserve">het idee van een Commissie </w:t>
            </w:r>
            <w:r w:rsidR="00F54E9F">
              <w:rPr>
                <w:rFonts w:ascii="Verdana" w:hAnsi="Verdana" w:cstheme="minorHAnsi"/>
                <w:sz w:val="18"/>
                <w:szCs w:val="18"/>
              </w:rPr>
              <w:t>voorstel, daarbij houdt het kabinet aandacht voor de nationale competenties van de lidstaten</w:t>
            </w:r>
            <w:r w:rsidR="00D92E80">
              <w:rPr>
                <w:rFonts w:ascii="Verdana" w:hAnsi="Verdana" w:cstheme="minorHAnsi"/>
                <w:sz w:val="18"/>
                <w:szCs w:val="18"/>
              </w:rPr>
              <w:t>.</w:t>
            </w:r>
            <w:r w:rsidRPr="00D92E80" w:rsidR="00D92E80">
              <w:rPr>
                <w:rFonts w:ascii="Verdana" w:hAnsi="Verdana" w:cstheme="minorHAnsi"/>
                <w:sz w:val="18"/>
                <w:szCs w:val="18"/>
              </w:rPr>
              <w:t xml:space="preserve"> </w:t>
            </w:r>
            <w:r w:rsidR="00D92E80">
              <w:rPr>
                <w:rFonts w:ascii="Verdana" w:hAnsi="Verdana" w:cstheme="minorHAnsi"/>
                <w:sz w:val="18"/>
                <w:szCs w:val="18"/>
              </w:rPr>
              <w:t>De wetgeving</w:t>
            </w:r>
            <w:r w:rsidRPr="00D92E80" w:rsidR="00D92E80">
              <w:rPr>
                <w:rFonts w:ascii="Verdana" w:hAnsi="Verdana" w:cstheme="minorHAnsi"/>
                <w:sz w:val="18"/>
                <w:szCs w:val="18"/>
              </w:rPr>
              <w:t xml:space="preserve"> bouwt voort op het werk van diverse </w:t>
            </w:r>
            <w:r w:rsidRPr="00D92E80" w:rsidR="00D92E80">
              <w:rPr>
                <w:rFonts w:ascii="Verdana" w:hAnsi="Verdana" w:cstheme="minorHAnsi"/>
                <w:sz w:val="18"/>
                <w:szCs w:val="18"/>
              </w:rPr>
              <w:lastRenderedPageBreak/>
              <w:t xml:space="preserve">samenwerkingsinitiatieven, zoals de Critical </w:t>
            </w:r>
            <w:proofErr w:type="spellStart"/>
            <w:r w:rsidRPr="00D92E80" w:rsidR="00D92E80">
              <w:rPr>
                <w:rFonts w:ascii="Verdana" w:hAnsi="Verdana" w:cstheme="minorHAnsi"/>
                <w:sz w:val="18"/>
                <w:szCs w:val="18"/>
              </w:rPr>
              <w:t>Medicines</w:t>
            </w:r>
            <w:proofErr w:type="spellEnd"/>
            <w:r w:rsidRPr="00D92E80" w:rsidR="00D92E80">
              <w:rPr>
                <w:rFonts w:ascii="Verdana" w:hAnsi="Verdana" w:cstheme="minorHAnsi"/>
                <w:sz w:val="18"/>
                <w:szCs w:val="18"/>
              </w:rPr>
              <w:t xml:space="preserve"> Alliance</w:t>
            </w:r>
            <w:r w:rsidR="00D92E80">
              <w:rPr>
                <w:rFonts w:ascii="Verdana" w:hAnsi="Verdana" w:cstheme="minorHAnsi"/>
                <w:sz w:val="18"/>
                <w:szCs w:val="18"/>
              </w:rPr>
              <w:t xml:space="preserve"> (CMA).</w:t>
            </w:r>
          </w:p>
        </w:tc>
        <w:tc>
          <w:tcPr>
            <w:tcW w:w="1843" w:type="dxa"/>
            <w:tcBorders>
              <w:top w:val="single" w:color="auto" w:sz="4" w:space="0"/>
              <w:left w:val="single" w:color="auto" w:sz="4" w:space="0"/>
              <w:bottom w:val="single" w:color="auto" w:sz="4" w:space="0"/>
              <w:right w:val="single" w:color="auto" w:sz="4" w:space="0"/>
            </w:tcBorders>
          </w:tcPr>
          <w:p w:rsidRPr="00D76BC8" w:rsidR="007476DF" w:rsidP="007C26FD" w:rsidRDefault="007476DF" w14:paraId="76E8E831" w14:textId="77777777">
            <w:pPr>
              <w:rPr>
                <w:rFonts w:ascii="Verdana" w:hAnsi="Verdana" w:cstheme="minorHAnsi"/>
                <w:color w:val="000000"/>
                <w:sz w:val="18"/>
                <w:szCs w:val="18"/>
              </w:rPr>
            </w:pPr>
            <w:r w:rsidRPr="00D76BC8">
              <w:rPr>
                <w:rFonts w:ascii="Verdana" w:hAnsi="Verdana" w:cstheme="minorHAnsi"/>
                <w:color w:val="000000"/>
                <w:sz w:val="18"/>
                <w:szCs w:val="18"/>
              </w:rPr>
              <w:lastRenderedPageBreak/>
              <w:t xml:space="preserve">Wetgevend </w:t>
            </w:r>
          </w:p>
          <w:p w:rsidRPr="00D76BC8" w:rsidR="007476DF" w:rsidP="007C26FD" w:rsidRDefault="007476DF" w14:paraId="5BE3F7EC" w14:textId="77777777">
            <w:pPr>
              <w:rPr>
                <w:rFonts w:ascii="Verdana" w:hAnsi="Verdana" w:cstheme="minorHAnsi"/>
                <w:color w:val="000000"/>
                <w:sz w:val="18"/>
                <w:szCs w:val="18"/>
              </w:rPr>
            </w:pPr>
          </w:p>
          <w:p w:rsidRPr="00D76BC8" w:rsidR="007476DF" w:rsidP="007C26FD" w:rsidRDefault="007476DF" w14:paraId="1BBFFFB4" w14:textId="77777777">
            <w:pPr>
              <w:rPr>
                <w:rFonts w:ascii="Verdana" w:hAnsi="Verdana" w:cstheme="minorHAnsi"/>
                <w:color w:val="000000"/>
                <w:sz w:val="18"/>
                <w:szCs w:val="18"/>
              </w:rPr>
            </w:pPr>
          </w:p>
          <w:p w:rsidRPr="00D76BC8" w:rsidR="007476DF" w:rsidP="007C26FD" w:rsidRDefault="007476DF" w14:paraId="263EC8A3" w14:textId="77777777">
            <w:pPr>
              <w:rPr>
                <w:rFonts w:ascii="Verdana" w:hAnsi="Verdana" w:cstheme="minorHAnsi"/>
                <w:color w:val="000000"/>
                <w:sz w:val="18"/>
                <w:szCs w:val="18"/>
              </w:rPr>
            </w:pPr>
          </w:p>
          <w:p w:rsidRPr="00D76BC8" w:rsidR="007476DF" w:rsidP="007C26FD" w:rsidRDefault="007476DF" w14:paraId="14065816" w14:textId="77777777">
            <w:pPr>
              <w:rPr>
                <w:rFonts w:ascii="Verdana" w:hAnsi="Verdana" w:cstheme="minorHAnsi"/>
                <w:color w:val="000000"/>
                <w:sz w:val="18"/>
                <w:szCs w:val="18"/>
              </w:rPr>
            </w:pPr>
          </w:p>
          <w:p w:rsidRPr="00D76BC8" w:rsidR="007476DF" w:rsidP="007C26FD" w:rsidRDefault="007476DF" w14:paraId="37EC362B" w14:textId="4E1B43B5">
            <w:pPr>
              <w:rPr>
                <w:rFonts w:ascii="Verdana" w:hAnsi="Verdana" w:cstheme="minorHAnsi"/>
                <w:color w:val="000000"/>
                <w:sz w:val="18"/>
                <w:szCs w:val="18"/>
              </w:rPr>
            </w:pPr>
          </w:p>
        </w:tc>
      </w:tr>
      <w:tr w:rsidRPr="00D76BC8" w:rsidR="00450EAF" w:rsidTr="00450EAF" w14:paraId="28DBDBD9"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450EAF" w:rsidP="007C26FD" w:rsidRDefault="00450EAF" w14:paraId="1C4D6688" w14:textId="0F71F108">
            <w:pPr>
              <w:rPr>
                <w:rFonts w:ascii="Verdana" w:hAnsi="Verdana" w:cstheme="minorHAnsi"/>
                <w:sz w:val="18"/>
                <w:szCs w:val="18"/>
              </w:rPr>
            </w:pPr>
            <w:r w:rsidRPr="00D76BC8">
              <w:rPr>
                <w:rFonts w:ascii="Verdana" w:hAnsi="Verdana" w:cstheme="minorHAnsi"/>
                <w:sz w:val="18"/>
                <w:szCs w:val="18"/>
              </w:rPr>
              <w:t>23b</w:t>
            </w:r>
          </w:p>
        </w:tc>
        <w:tc>
          <w:tcPr>
            <w:tcW w:w="2410" w:type="dxa"/>
            <w:tcBorders>
              <w:top w:val="single" w:color="auto" w:sz="4" w:space="0"/>
              <w:left w:val="single" w:color="auto" w:sz="4" w:space="0"/>
              <w:bottom w:val="single" w:color="auto" w:sz="4" w:space="0"/>
              <w:right w:val="single" w:color="auto" w:sz="4" w:space="0"/>
            </w:tcBorders>
          </w:tcPr>
          <w:p w:rsidRPr="0086334D" w:rsidR="00450EAF" w:rsidP="007C26FD" w:rsidRDefault="00A80351" w14:paraId="1A1ABD6E" w14:textId="3E2CDD52">
            <w:pPr>
              <w:rPr>
                <w:rFonts w:ascii="Verdana" w:hAnsi="Verdana" w:cstheme="minorHAnsi"/>
                <w:sz w:val="18"/>
                <w:szCs w:val="18"/>
              </w:rPr>
            </w:pPr>
            <w:r w:rsidRPr="0086334D">
              <w:rPr>
                <w:rFonts w:ascii="Verdana" w:hAnsi="Verdana" w:cstheme="minorHAnsi"/>
                <w:sz w:val="18"/>
                <w:szCs w:val="18"/>
              </w:rPr>
              <w:t>Strategie ter ondersteuning van medische maatregelen tegen bedreigingen voor de volksgezondheid</w:t>
            </w:r>
            <w:r w:rsidRPr="0086334D" w:rsidDel="00A80351">
              <w:rPr>
                <w:rFonts w:ascii="Verdana" w:hAnsi="Verdana" w:cstheme="minorHAnsi"/>
                <w:sz w:val="18"/>
                <w:szCs w:val="18"/>
              </w:rPr>
              <w:t xml:space="preserve"> </w:t>
            </w:r>
            <w:r w:rsidRPr="0086334D" w:rsidR="00450EAF">
              <w:rPr>
                <w:rFonts w:ascii="Verdana" w:hAnsi="Verdana" w:cstheme="minorHAnsi"/>
                <w:sz w:val="18"/>
                <w:szCs w:val="18"/>
              </w:rPr>
              <w:t>(Q2 2025)</w:t>
            </w:r>
          </w:p>
          <w:p w:rsidRPr="0086334D" w:rsidR="00450EAF" w:rsidP="007C26FD" w:rsidRDefault="00450EAF" w14:paraId="6063243B" w14:textId="77777777">
            <w:pPr>
              <w:rPr>
                <w:rFonts w:ascii="Verdana" w:hAnsi="Verdana" w:cstheme="minorHAnsi"/>
                <w:sz w:val="18"/>
                <w:szCs w:val="18"/>
              </w:rPr>
            </w:pPr>
          </w:p>
        </w:tc>
        <w:tc>
          <w:tcPr>
            <w:tcW w:w="4678" w:type="dxa"/>
            <w:tcBorders>
              <w:top w:val="single" w:color="auto" w:sz="4" w:space="0"/>
              <w:left w:val="single" w:color="auto" w:sz="4" w:space="0"/>
              <w:bottom w:val="single" w:color="auto" w:sz="4" w:space="0"/>
              <w:right w:val="single" w:color="auto" w:sz="4" w:space="0"/>
            </w:tcBorders>
          </w:tcPr>
          <w:p w:rsidRPr="0086334D" w:rsidR="00450EAF" w:rsidP="007C26FD" w:rsidRDefault="00F64E3A" w14:paraId="5671C772" w14:textId="780B90C4">
            <w:pPr>
              <w:rPr>
                <w:rFonts w:ascii="Verdana" w:hAnsi="Verdana" w:cstheme="minorHAnsi"/>
                <w:sz w:val="18"/>
                <w:szCs w:val="18"/>
              </w:rPr>
            </w:pPr>
            <w:r>
              <w:rPr>
                <w:rFonts w:ascii="Verdana" w:hAnsi="Verdana" w:cstheme="minorHAnsi"/>
                <w:sz w:val="18"/>
                <w:szCs w:val="18"/>
              </w:rPr>
              <w:t>De Commissie</w:t>
            </w:r>
            <w:r w:rsidRPr="00D76BC8" w:rsidR="00450EAF">
              <w:rPr>
                <w:rFonts w:ascii="Verdana" w:hAnsi="Verdana" w:cstheme="minorHAnsi"/>
                <w:sz w:val="18"/>
                <w:szCs w:val="18"/>
              </w:rPr>
              <w:t xml:space="preserve"> is bezig met de ontwikkeling van een strategie rondom zogenaamde ‘</w:t>
            </w:r>
            <w:proofErr w:type="spellStart"/>
            <w:r w:rsidRPr="00D76BC8" w:rsidR="00450EAF">
              <w:rPr>
                <w:rFonts w:ascii="Verdana" w:hAnsi="Verdana" w:cstheme="minorHAnsi"/>
                <w:sz w:val="18"/>
                <w:szCs w:val="18"/>
              </w:rPr>
              <w:t>Medical</w:t>
            </w:r>
            <w:proofErr w:type="spellEnd"/>
            <w:r w:rsidRPr="00D76BC8" w:rsidR="00450EAF">
              <w:rPr>
                <w:rFonts w:ascii="Verdana" w:hAnsi="Verdana" w:cstheme="minorHAnsi"/>
                <w:sz w:val="18"/>
                <w:szCs w:val="18"/>
              </w:rPr>
              <w:t xml:space="preserve"> </w:t>
            </w:r>
            <w:proofErr w:type="spellStart"/>
            <w:r w:rsidRPr="00D76BC8" w:rsidR="00450EAF">
              <w:rPr>
                <w:rFonts w:ascii="Verdana" w:hAnsi="Verdana" w:cstheme="minorHAnsi"/>
                <w:sz w:val="18"/>
                <w:szCs w:val="18"/>
              </w:rPr>
              <w:t>Countermeasures</w:t>
            </w:r>
            <w:proofErr w:type="spellEnd"/>
            <w:r w:rsidRPr="00D76BC8" w:rsidR="00450EAF">
              <w:rPr>
                <w:rFonts w:ascii="Verdana" w:hAnsi="Verdana" w:cstheme="minorHAnsi"/>
                <w:sz w:val="18"/>
                <w:szCs w:val="18"/>
              </w:rPr>
              <w:t>’ . De</w:t>
            </w:r>
            <w:r>
              <w:rPr>
                <w:rFonts w:ascii="Verdana" w:hAnsi="Verdana" w:cstheme="minorHAnsi"/>
                <w:sz w:val="18"/>
                <w:szCs w:val="18"/>
              </w:rPr>
              <w:t>ze</w:t>
            </w:r>
            <w:r w:rsidRPr="00D76BC8" w:rsidR="00450EAF">
              <w:rPr>
                <w:rFonts w:ascii="Verdana" w:hAnsi="Verdana" w:cstheme="minorHAnsi"/>
                <w:sz w:val="18"/>
                <w:szCs w:val="18"/>
              </w:rPr>
              <w:t xml:space="preserve"> strategie richt zich op verschillende typen instrumenten om de beschikbaarheid en leveringszekerheid van medische producten bij gezondheidscrises te borgen</w:t>
            </w:r>
            <w:r w:rsidR="007C26FD">
              <w:rPr>
                <w:rFonts w:ascii="Verdana" w:hAnsi="Verdana" w:cstheme="minorHAnsi"/>
                <w:sz w:val="18"/>
                <w:szCs w:val="18"/>
              </w:rPr>
              <w:t xml:space="preserve">. </w:t>
            </w:r>
            <w:r w:rsidRPr="0086334D" w:rsidR="00450EAF">
              <w:rPr>
                <w:rFonts w:ascii="Verdana" w:hAnsi="Verdana" w:cstheme="minorHAnsi"/>
                <w:sz w:val="18"/>
                <w:szCs w:val="18"/>
              </w:rPr>
              <w:t>Deze strategie richt zich niet op noodvoorraden.</w:t>
            </w:r>
          </w:p>
        </w:tc>
        <w:tc>
          <w:tcPr>
            <w:tcW w:w="5953" w:type="dxa"/>
            <w:tcBorders>
              <w:top w:val="single" w:color="auto" w:sz="4" w:space="0"/>
              <w:left w:val="single" w:color="auto" w:sz="4" w:space="0"/>
              <w:bottom w:val="single" w:color="auto" w:sz="4" w:space="0"/>
              <w:right w:val="single" w:color="auto" w:sz="4" w:space="0"/>
            </w:tcBorders>
          </w:tcPr>
          <w:p w:rsidRPr="00D76BC8" w:rsidR="00450EAF" w:rsidP="0086334D" w:rsidRDefault="005734FD" w14:paraId="65FD3C59" w14:textId="6C413F2A">
            <w:pPr>
              <w:spacing w:after="160"/>
              <w:rPr>
                <w:rFonts w:ascii="Verdana" w:hAnsi="Verdana" w:cstheme="minorHAnsi"/>
                <w:sz w:val="18"/>
                <w:szCs w:val="18"/>
              </w:rPr>
            </w:pPr>
            <w:r>
              <w:rPr>
                <w:rFonts w:ascii="Verdana" w:hAnsi="Verdana" w:cstheme="minorHAnsi"/>
                <w:sz w:val="18"/>
                <w:szCs w:val="18"/>
              </w:rPr>
              <w:t xml:space="preserve">Het kabinet </w:t>
            </w:r>
            <w:r w:rsidRPr="00D76BC8" w:rsidR="00450EAF">
              <w:rPr>
                <w:rFonts w:ascii="Verdana" w:hAnsi="Verdana" w:cstheme="minorHAnsi"/>
                <w:sz w:val="18"/>
                <w:szCs w:val="18"/>
              </w:rPr>
              <w:t xml:space="preserve">kan zich vinden in de ontwikkeling van </w:t>
            </w:r>
            <w:r w:rsidR="00C11C92">
              <w:rPr>
                <w:rFonts w:ascii="Verdana" w:hAnsi="Verdana" w:cstheme="minorHAnsi"/>
                <w:sz w:val="18"/>
                <w:szCs w:val="18"/>
              </w:rPr>
              <w:t>deze strategie</w:t>
            </w:r>
            <w:r>
              <w:rPr>
                <w:rFonts w:ascii="Verdana" w:hAnsi="Verdana" w:cstheme="minorHAnsi"/>
                <w:sz w:val="18"/>
                <w:szCs w:val="18"/>
              </w:rPr>
              <w:t>.</w:t>
            </w:r>
            <w:r w:rsidRPr="00D76BC8" w:rsidR="00450EAF">
              <w:rPr>
                <w:rFonts w:ascii="Verdana" w:hAnsi="Verdana" w:cstheme="minorHAnsi"/>
                <w:sz w:val="18"/>
                <w:szCs w:val="18"/>
              </w:rPr>
              <w:t xml:space="preserve"> </w:t>
            </w:r>
            <w:r w:rsidRPr="00D76BC8">
              <w:rPr>
                <w:rFonts w:ascii="Verdana" w:hAnsi="Verdana" w:cstheme="minorHAnsi"/>
                <w:sz w:val="18"/>
                <w:szCs w:val="18"/>
              </w:rPr>
              <w:t xml:space="preserve">Nederland </w:t>
            </w:r>
            <w:r w:rsidRPr="00D76BC8" w:rsidR="00450EAF">
              <w:rPr>
                <w:rFonts w:ascii="Verdana" w:hAnsi="Verdana" w:cstheme="minorHAnsi"/>
                <w:sz w:val="18"/>
                <w:szCs w:val="18"/>
              </w:rPr>
              <w:t>draagt</w:t>
            </w:r>
            <w:r>
              <w:rPr>
                <w:rFonts w:ascii="Verdana" w:hAnsi="Verdana" w:cstheme="minorHAnsi"/>
                <w:sz w:val="18"/>
                <w:szCs w:val="18"/>
              </w:rPr>
              <w:t xml:space="preserve"> verder</w:t>
            </w:r>
            <w:r w:rsidRPr="00D76BC8" w:rsidR="00450EAF">
              <w:rPr>
                <w:rFonts w:ascii="Verdana" w:hAnsi="Verdana" w:cstheme="minorHAnsi"/>
                <w:sz w:val="18"/>
                <w:szCs w:val="18"/>
              </w:rPr>
              <w:t xml:space="preserve"> als leider van </w:t>
            </w:r>
            <w:r>
              <w:rPr>
                <w:rFonts w:ascii="Verdana" w:hAnsi="Verdana" w:cstheme="minorHAnsi"/>
                <w:sz w:val="18"/>
                <w:szCs w:val="18"/>
              </w:rPr>
              <w:t>de</w:t>
            </w:r>
            <w:r w:rsidRPr="00D76BC8">
              <w:rPr>
                <w:rFonts w:ascii="Verdana" w:hAnsi="Verdana" w:cstheme="minorHAnsi"/>
                <w:sz w:val="18"/>
                <w:szCs w:val="18"/>
              </w:rPr>
              <w:t xml:space="preserve"> </w:t>
            </w:r>
            <w:r w:rsidRPr="00D76BC8" w:rsidR="00450EAF">
              <w:rPr>
                <w:rFonts w:ascii="Verdana" w:hAnsi="Verdana" w:cstheme="minorHAnsi"/>
                <w:sz w:val="18"/>
                <w:szCs w:val="18"/>
              </w:rPr>
              <w:t xml:space="preserve">in 2025 te starten EU Joint Action on </w:t>
            </w:r>
            <w:proofErr w:type="spellStart"/>
            <w:r w:rsidRPr="00D76BC8" w:rsidR="00450EAF">
              <w:rPr>
                <w:rFonts w:ascii="Verdana" w:hAnsi="Verdana" w:cstheme="minorHAnsi"/>
                <w:sz w:val="18"/>
                <w:szCs w:val="18"/>
              </w:rPr>
              <w:t>Stockpiling</w:t>
            </w:r>
            <w:proofErr w:type="spellEnd"/>
            <w:r w:rsidRPr="00D76BC8" w:rsidR="00450EAF">
              <w:rPr>
                <w:rFonts w:ascii="Verdana" w:hAnsi="Verdana" w:cstheme="minorHAnsi"/>
                <w:sz w:val="18"/>
                <w:szCs w:val="18"/>
              </w:rPr>
              <w:t xml:space="preserve"> ook bij aan de uitwikkeling van best-</w:t>
            </w:r>
            <w:proofErr w:type="spellStart"/>
            <w:r w:rsidRPr="00D76BC8" w:rsidR="00450EAF">
              <w:rPr>
                <w:rFonts w:ascii="Verdana" w:hAnsi="Verdana" w:cstheme="minorHAnsi"/>
                <w:sz w:val="18"/>
                <w:szCs w:val="18"/>
              </w:rPr>
              <w:t>practices</w:t>
            </w:r>
            <w:proofErr w:type="spellEnd"/>
            <w:r w:rsidRPr="00D76BC8" w:rsidR="00450EAF">
              <w:rPr>
                <w:rFonts w:ascii="Verdana" w:hAnsi="Verdana" w:cstheme="minorHAnsi"/>
                <w:sz w:val="18"/>
                <w:szCs w:val="18"/>
              </w:rPr>
              <w:t xml:space="preserve"> en verdere visie ontwikkeling rondom noodvoorraden op nationaal, regionaal en Europees niveau.</w:t>
            </w:r>
          </w:p>
        </w:tc>
        <w:tc>
          <w:tcPr>
            <w:tcW w:w="1843" w:type="dxa"/>
            <w:tcBorders>
              <w:top w:val="single" w:color="auto" w:sz="4" w:space="0"/>
              <w:left w:val="single" w:color="auto" w:sz="4" w:space="0"/>
              <w:bottom w:val="single" w:color="auto" w:sz="4" w:space="0"/>
              <w:right w:val="single" w:color="auto" w:sz="4" w:space="0"/>
            </w:tcBorders>
          </w:tcPr>
          <w:p w:rsidRPr="00D76BC8" w:rsidR="00F615D4" w:rsidP="007C26FD" w:rsidRDefault="00F615D4" w14:paraId="78A32748" w14:textId="77777777">
            <w:pPr>
              <w:rPr>
                <w:rFonts w:ascii="Verdana" w:hAnsi="Verdana" w:cstheme="minorHAnsi"/>
                <w:color w:val="000000"/>
                <w:sz w:val="18"/>
                <w:szCs w:val="18"/>
              </w:rPr>
            </w:pPr>
            <w:r w:rsidRPr="00D76BC8">
              <w:rPr>
                <w:rFonts w:ascii="Verdana" w:hAnsi="Verdana" w:cstheme="minorHAnsi"/>
                <w:color w:val="000000"/>
                <w:sz w:val="18"/>
                <w:szCs w:val="18"/>
              </w:rPr>
              <w:t>Niet-wetgevend</w:t>
            </w:r>
          </w:p>
          <w:p w:rsidRPr="00D76BC8" w:rsidR="00450EAF" w:rsidP="007C26FD" w:rsidRDefault="00450EAF" w14:paraId="3F011DAA" w14:textId="77777777">
            <w:pPr>
              <w:rPr>
                <w:rFonts w:ascii="Verdana" w:hAnsi="Verdana" w:cstheme="minorHAnsi"/>
                <w:color w:val="000000"/>
                <w:sz w:val="18"/>
                <w:szCs w:val="18"/>
              </w:rPr>
            </w:pPr>
          </w:p>
        </w:tc>
      </w:tr>
      <w:tr w:rsidRPr="00D76BC8" w:rsidR="00450EAF" w:rsidTr="00450EAF" w14:paraId="1723A7A0"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450EAF" w:rsidP="007C26FD" w:rsidRDefault="00450EAF" w14:paraId="59443909" w14:textId="124E38CD">
            <w:pPr>
              <w:rPr>
                <w:rFonts w:ascii="Verdana" w:hAnsi="Verdana" w:cstheme="minorHAnsi"/>
                <w:sz w:val="18"/>
                <w:szCs w:val="18"/>
              </w:rPr>
            </w:pPr>
            <w:r w:rsidRPr="00D76BC8">
              <w:rPr>
                <w:rFonts w:ascii="Verdana" w:hAnsi="Verdana" w:cstheme="minorHAnsi"/>
                <w:sz w:val="18"/>
                <w:szCs w:val="18"/>
              </w:rPr>
              <w:t>23c</w:t>
            </w:r>
          </w:p>
        </w:tc>
        <w:tc>
          <w:tcPr>
            <w:tcW w:w="2410" w:type="dxa"/>
            <w:tcBorders>
              <w:top w:val="single" w:color="auto" w:sz="4" w:space="0"/>
              <w:left w:val="single" w:color="auto" w:sz="4" w:space="0"/>
              <w:bottom w:val="single" w:color="auto" w:sz="4" w:space="0"/>
              <w:right w:val="single" w:color="auto" w:sz="4" w:space="0"/>
            </w:tcBorders>
          </w:tcPr>
          <w:p w:rsidRPr="0086334D" w:rsidR="00450EAF" w:rsidP="007C26FD" w:rsidRDefault="00A80351" w14:paraId="294CE2A4" w14:textId="341A9C14">
            <w:pPr>
              <w:rPr>
                <w:rFonts w:ascii="Verdana" w:hAnsi="Verdana" w:cstheme="minorHAnsi"/>
                <w:sz w:val="18"/>
                <w:szCs w:val="18"/>
              </w:rPr>
            </w:pPr>
            <w:r w:rsidRPr="0086334D">
              <w:rPr>
                <w:rFonts w:ascii="Verdana" w:hAnsi="Verdana" w:cstheme="minorHAnsi"/>
                <w:sz w:val="18"/>
                <w:szCs w:val="18"/>
              </w:rPr>
              <w:t>EU-strategie voor opslag</w:t>
            </w:r>
            <w:r w:rsidRPr="0086334D" w:rsidDel="00A80351">
              <w:rPr>
                <w:rFonts w:ascii="Verdana" w:hAnsi="Verdana" w:cstheme="minorHAnsi"/>
                <w:sz w:val="18"/>
                <w:szCs w:val="18"/>
              </w:rPr>
              <w:t xml:space="preserve"> </w:t>
            </w:r>
            <w:r w:rsidRPr="0086334D" w:rsidR="00450EAF">
              <w:rPr>
                <w:rFonts w:ascii="Verdana" w:hAnsi="Verdana" w:cstheme="minorHAnsi"/>
                <w:sz w:val="18"/>
                <w:szCs w:val="18"/>
              </w:rPr>
              <w:t>(Q2 2025)</w:t>
            </w:r>
          </w:p>
        </w:tc>
        <w:tc>
          <w:tcPr>
            <w:tcW w:w="4678" w:type="dxa"/>
            <w:tcBorders>
              <w:top w:val="single" w:color="auto" w:sz="4" w:space="0"/>
              <w:left w:val="single" w:color="auto" w:sz="4" w:space="0"/>
              <w:bottom w:val="single" w:color="auto" w:sz="4" w:space="0"/>
              <w:right w:val="single" w:color="auto" w:sz="4" w:space="0"/>
            </w:tcBorders>
          </w:tcPr>
          <w:p w:rsidRPr="00D76BC8" w:rsidR="00450EAF" w:rsidP="007C26FD" w:rsidRDefault="00942932" w14:paraId="059F754A" w14:textId="6AFA5D00">
            <w:pPr>
              <w:rPr>
                <w:rFonts w:ascii="Verdana" w:hAnsi="Verdana" w:cstheme="minorHAnsi"/>
                <w:sz w:val="18"/>
                <w:szCs w:val="18"/>
              </w:rPr>
            </w:pPr>
            <w:r>
              <w:rPr>
                <w:rFonts w:ascii="Verdana" w:hAnsi="Verdana" w:cstheme="minorHAnsi"/>
                <w:sz w:val="18"/>
                <w:szCs w:val="18"/>
              </w:rPr>
              <w:t>De Commissie stelt deze strategie voor</w:t>
            </w:r>
            <w:r w:rsidRPr="00D76BC8" w:rsidR="00450EAF">
              <w:rPr>
                <w:rFonts w:ascii="Verdana" w:hAnsi="Verdana" w:cstheme="minorHAnsi"/>
                <w:sz w:val="18"/>
                <w:szCs w:val="18"/>
              </w:rPr>
              <w:t xml:space="preserve"> ten behoeve van de Civiele Bescherming, zoals die worden ingezet onder het EU </w:t>
            </w:r>
            <w:proofErr w:type="spellStart"/>
            <w:r w:rsidRPr="00262D75" w:rsidR="00450EAF">
              <w:rPr>
                <w:rFonts w:ascii="Verdana" w:hAnsi="Verdana" w:cstheme="minorHAnsi"/>
                <w:i/>
                <w:iCs/>
                <w:sz w:val="18"/>
                <w:szCs w:val="18"/>
              </w:rPr>
              <w:t>Civil</w:t>
            </w:r>
            <w:proofErr w:type="spellEnd"/>
            <w:r w:rsidRPr="00262D75" w:rsidR="00450EAF">
              <w:rPr>
                <w:rFonts w:ascii="Verdana" w:hAnsi="Verdana" w:cstheme="minorHAnsi"/>
                <w:i/>
                <w:iCs/>
                <w:sz w:val="18"/>
                <w:szCs w:val="18"/>
              </w:rPr>
              <w:t xml:space="preserve"> </w:t>
            </w:r>
            <w:proofErr w:type="spellStart"/>
            <w:r w:rsidRPr="00262D75" w:rsidR="00450EAF">
              <w:rPr>
                <w:rFonts w:ascii="Verdana" w:hAnsi="Verdana" w:cstheme="minorHAnsi"/>
                <w:i/>
                <w:iCs/>
                <w:sz w:val="18"/>
                <w:szCs w:val="18"/>
              </w:rPr>
              <w:t>Protection</w:t>
            </w:r>
            <w:proofErr w:type="spellEnd"/>
            <w:r w:rsidRPr="00262D75" w:rsidR="00450EAF">
              <w:rPr>
                <w:rFonts w:ascii="Verdana" w:hAnsi="Verdana" w:cstheme="minorHAnsi"/>
                <w:i/>
                <w:iCs/>
                <w:sz w:val="18"/>
                <w:szCs w:val="18"/>
              </w:rPr>
              <w:t xml:space="preserve"> </w:t>
            </w:r>
            <w:proofErr w:type="spellStart"/>
            <w:r w:rsidRPr="00262D75" w:rsidR="00450EAF">
              <w:rPr>
                <w:rFonts w:ascii="Verdana" w:hAnsi="Verdana" w:cstheme="minorHAnsi"/>
                <w:i/>
                <w:iCs/>
                <w:sz w:val="18"/>
                <w:szCs w:val="18"/>
              </w:rPr>
              <w:t>Mechanism</w:t>
            </w:r>
            <w:proofErr w:type="spellEnd"/>
            <w:r w:rsidRPr="00D76BC8" w:rsidR="00450EAF">
              <w:rPr>
                <w:rFonts w:ascii="Verdana" w:hAnsi="Verdana" w:cstheme="minorHAnsi"/>
                <w:sz w:val="18"/>
                <w:szCs w:val="18"/>
              </w:rPr>
              <w:t xml:space="preserve"> (UCPM). Het gaat dan om capaciteiten en apparatuur voor de bestrijding van een veelheid aan niet-gezondheidscrises, zoals noodwaterpompen, brandbestrijding, noodopvang, etc. </w:t>
            </w:r>
          </w:p>
        </w:tc>
        <w:tc>
          <w:tcPr>
            <w:tcW w:w="5953" w:type="dxa"/>
            <w:tcBorders>
              <w:top w:val="single" w:color="auto" w:sz="4" w:space="0"/>
              <w:left w:val="single" w:color="auto" w:sz="4" w:space="0"/>
              <w:bottom w:val="single" w:color="auto" w:sz="4" w:space="0"/>
              <w:right w:val="single" w:color="auto" w:sz="4" w:space="0"/>
            </w:tcBorders>
          </w:tcPr>
          <w:p w:rsidRPr="00D76BC8" w:rsidR="00450EAF" w:rsidP="007C26FD" w:rsidRDefault="00942932" w14:paraId="516344D7" w14:textId="3A6C48DF">
            <w:pPr>
              <w:rPr>
                <w:rFonts w:ascii="Verdana" w:hAnsi="Verdana" w:cstheme="minorHAnsi"/>
                <w:sz w:val="18"/>
                <w:szCs w:val="18"/>
              </w:rPr>
            </w:pPr>
            <w:bookmarkStart w:name="_Hlk192592793" w:id="5"/>
            <w:r>
              <w:rPr>
                <w:rFonts w:ascii="Verdana" w:hAnsi="Verdana" w:cstheme="minorHAnsi"/>
                <w:sz w:val="18"/>
                <w:szCs w:val="18"/>
              </w:rPr>
              <w:t>Het kabinet</w:t>
            </w:r>
            <w:r w:rsidRPr="00D76BC8" w:rsidR="00450EAF">
              <w:rPr>
                <w:rFonts w:ascii="Verdana" w:hAnsi="Verdana" w:cstheme="minorHAnsi"/>
                <w:sz w:val="18"/>
                <w:szCs w:val="18"/>
              </w:rPr>
              <w:t xml:space="preserve"> kan zich vinden in de ontwikkeling van een dergelijke strategie, waarmee EU en lidstaten elkaar kunnen aanvullen en versterken op het gebied van paraatheid en crisisbeheersing</w:t>
            </w:r>
            <w:bookmarkEnd w:id="5"/>
            <w:r w:rsidRPr="00D76BC8" w:rsidR="00450EAF">
              <w:rPr>
                <w:rFonts w:ascii="Verdana" w:hAnsi="Verdana" w:cstheme="minorHAnsi"/>
                <w:sz w:val="18"/>
                <w:szCs w:val="18"/>
              </w:rPr>
              <w:t>.</w:t>
            </w:r>
            <w:r w:rsidR="00AE1E68">
              <w:rPr>
                <w:rFonts w:ascii="Verdana" w:hAnsi="Verdana" w:cstheme="minorHAnsi"/>
                <w:sz w:val="18"/>
                <w:szCs w:val="18"/>
              </w:rPr>
              <w:t xml:space="preserve"> </w:t>
            </w:r>
            <w:r w:rsidR="00864F2D">
              <w:rPr>
                <w:rFonts w:ascii="Verdana" w:hAnsi="Verdana" w:cstheme="minorHAnsi"/>
                <w:sz w:val="18"/>
                <w:szCs w:val="18"/>
              </w:rPr>
              <w:t xml:space="preserve">Het kabinet hecht waarde aan een slagvaardige behandeling van het voorstel en ziet het met belangstelling tegemoet. </w:t>
            </w:r>
          </w:p>
        </w:tc>
        <w:tc>
          <w:tcPr>
            <w:tcW w:w="1843" w:type="dxa"/>
            <w:tcBorders>
              <w:top w:val="single" w:color="auto" w:sz="4" w:space="0"/>
              <w:left w:val="single" w:color="auto" w:sz="4" w:space="0"/>
              <w:bottom w:val="single" w:color="auto" w:sz="4" w:space="0"/>
              <w:right w:val="single" w:color="auto" w:sz="4" w:space="0"/>
            </w:tcBorders>
          </w:tcPr>
          <w:p w:rsidRPr="00D76BC8" w:rsidR="00450EAF" w:rsidP="007C26FD" w:rsidRDefault="00F615D4" w14:paraId="6854C558" w14:textId="0119F3D6">
            <w:pPr>
              <w:rPr>
                <w:rFonts w:ascii="Verdana" w:hAnsi="Verdana" w:cstheme="minorHAnsi"/>
                <w:color w:val="000000"/>
                <w:sz w:val="18"/>
                <w:szCs w:val="18"/>
              </w:rPr>
            </w:pPr>
            <w:r w:rsidRPr="00D76BC8">
              <w:rPr>
                <w:rFonts w:ascii="Verdana" w:hAnsi="Verdana" w:cstheme="minorHAnsi"/>
                <w:color w:val="000000"/>
                <w:sz w:val="18"/>
                <w:szCs w:val="18"/>
              </w:rPr>
              <w:t>Niet-wetgevend</w:t>
            </w:r>
          </w:p>
        </w:tc>
      </w:tr>
      <w:tr w:rsidRPr="00D76BC8" w:rsidR="004C4633" w:rsidTr="00450EAF" w14:paraId="38212BD2"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0A18818A" w14:textId="72DB261D">
            <w:pPr>
              <w:rPr>
                <w:rFonts w:ascii="Verdana" w:hAnsi="Verdana" w:cstheme="minorHAnsi"/>
                <w:sz w:val="18"/>
                <w:szCs w:val="18"/>
              </w:rPr>
            </w:pPr>
            <w:r w:rsidRPr="00D76BC8">
              <w:rPr>
                <w:rFonts w:ascii="Verdana" w:hAnsi="Verdana" w:cstheme="minorHAnsi"/>
                <w:color w:val="000000"/>
                <w:sz w:val="18"/>
                <w:szCs w:val="18"/>
              </w:rPr>
              <w:t>24.</w:t>
            </w:r>
          </w:p>
        </w:tc>
        <w:tc>
          <w:tcPr>
            <w:tcW w:w="2410" w:type="dxa"/>
            <w:tcBorders>
              <w:top w:val="single" w:color="auto" w:sz="4" w:space="0"/>
              <w:left w:val="single" w:color="auto" w:sz="4" w:space="0"/>
              <w:bottom w:val="single" w:color="auto" w:sz="4" w:space="0"/>
              <w:right w:val="single" w:color="auto" w:sz="4" w:space="0"/>
            </w:tcBorders>
          </w:tcPr>
          <w:p w:rsidRPr="0086334D" w:rsidR="004C4633" w:rsidP="007C26FD" w:rsidRDefault="00A80351" w14:paraId="692E3B4F" w14:textId="66FEE995">
            <w:pPr>
              <w:rPr>
                <w:rFonts w:ascii="Verdana" w:hAnsi="Verdana" w:cstheme="minorHAnsi"/>
                <w:sz w:val="18"/>
                <w:szCs w:val="18"/>
              </w:rPr>
            </w:pPr>
            <w:r w:rsidRPr="0086334D">
              <w:rPr>
                <w:rFonts w:ascii="Verdana" w:hAnsi="Verdana" w:cstheme="minorHAnsi"/>
                <w:sz w:val="18"/>
                <w:szCs w:val="18"/>
              </w:rPr>
              <w:t>Nieuwe Europese strategie voor interne veiligheid</w:t>
            </w:r>
            <w:r w:rsidRPr="0086334D" w:rsidR="004C4633">
              <w:rPr>
                <w:rFonts w:ascii="Verdana" w:hAnsi="Verdana" w:cstheme="minorHAnsi"/>
                <w:sz w:val="18"/>
                <w:szCs w:val="18"/>
              </w:rPr>
              <w:t xml:space="preserve"> (Q1 2025)</w:t>
            </w:r>
          </w:p>
        </w:tc>
        <w:tc>
          <w:tcPr>
            <w:tcW w:w="4678"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2DA63E09" w14:textId="200790D3">
            <w:pPr>
              <w:rPr>
                <w:rFonts w:ascii="Verdana" w:hAnsi="Verdana" w:cstheme="minorBidi"/>
                <w:sz w:val="18"/>
                <w:szCs w:val="18"/>
              </w:rPr>
            </w:pPr>
            <w:r w:rsidRPr="00D76BC8">
              <w:rPr>
                <w:rFonts w:ascii="Verdana" w:hAnsi="Verdana" w:cstheme="minorBidi"/>
                <w:sz w:val="18"/>
                <w:szCs w:val="18"/>
              </w:rPr>
              <w:t xml:space="preserve">De Interne Veiligheidsstrategie </w:t>
            </w:r>
            <w:r w:rsidR="00942932">
              <w:rPr>
                <w:rFonts w:ascii="Verdana" w:hAnsi="Verdana" w:cstheme="minorBidi"/>
                <w:sz w:val="18"/>
                <w:szCs w:val="18"/>
              </w:rPr>
              <w:t xml:space="preserve">richt zich op </w:t>
            </w:r>
            <w:r w:rsidRPr="00D76BC8">
              <w:rPr>
                <w:rFonts w:ascii="Verdana" w:hAnsi="Verdana" w:cstheme="minorBidi"/>
                <w:sz w:val="18"/>
                <w:szCs w:val="18"/>
              </w:rPr>
              <w:t xml:space="preserve">het versterken van de bescherming en veerkracht van kritieke infrastructuren, het aanpakken van toenemende dreigingen zowel online als offline en het bestrijden van terrorisme en georganiseerde criminaliteit. Ook </w:t>
            </w:r>
            <w:r w:rsidR="00942932">
              <w:rPr>
                <w:rFonts w:ascii="Verdana" w:hAnsi="Verdana" w:cstheme="minorBidi"/>
                <w:sz w:val="18"/>
                <w:szCs w:val="18"/>
              </w:rPr>
              <w:t>wordt</w:t>
            </w:r>
            <w:r w:rsidRPr="00D76BC8">
              <w:rPr>
                <w:rFonts w:ascii="Verdana" w:hAnsi="Verdana" w:cstheme="minorBidi"/>
                <w:sz w:val="18"/>
                <w:szCs w:val="18"/>
              </w:rPr>
              <w:t xml:space="preserve"> aandacht besteed aan de rechtmatige toegang tot data voor rechtshandhavingsautoriteiten en versterken van agentschappen.</w:t>
            </w:r>
          </w:p>
        </w:tc>
        <w:tc>
          <w:tcPr>
            <w:tcW w:w="5953" w:type="dxa"/>
            <w:tcBorders>
              <w:top w:val="single" w:color="auto" w:sz="4" w:space="0"/>
              <w:left w:val="single" w:color="auto" w:sz="4" w:space="0"/>
              <w:bottom w:val="single" w:color="auto" w:sz="4" w:space="0"/>
              <w:right w:val="single" w:color="auto" w:sz="4" w:space="0"/>
            </w:tcBorders>
          </w:tcPr>
          <w:p w:rsidRPr="00D76BC8" w:rsidR="004C4633" w:rsidP="002A0584" w:rsidRDefault="004C4633" w14:paraId="5DA6AE2B" w14:textId="3A11746A">
            <w:pPr>
              <w:rPr>
                <w:rFonts w:ascii="Verdana" w:hAnsi="Verdana" w:cstheme="minorHAnsi"/>
                <w:sz w:val="18"/>
                <w:szCs w:val="18"/>
              </w:rPr>
            </w:pPr>
            <w:r w:rsidRPr="00D76BC8">
              <w:rPr>
                <w:rFonts w:ascii="Verdana" w:hAnsi="Verdana"/>
                <w:sz w:val="18"/>
                <w:szCs w:val="18"/>
              </w:rPr>
              <w:t>Het kabinet onderschrijft de noodzaak van een alomvattende en gecoördineerde benadering van interne veiligheid</w:t>
            </w:r>
            <w:r w:rsidR="00942932">
              <w:rPr>
                <w:rFonts w:ascii="Verdana" w:hAnsi="Verdana"/>
                <w:sz w:val="18"/>
                <w:szCs w:val="18"/>
              </w:rPr>
              <w:t xml:space="preserve"> en staat dan ook positief tegenover deze strategie</w:t>
            </w:r>
            <w:r w:rsidRPr="00D76BC8">
              <w:rPr>
                <w:rFonts w:ascii="Verdana" w:hAnsi="Verdana"/>
                <w:sz w:val="18"/>
                <w:szCs w:val="18"/>
              </w:rPr>
              <w:t xml:space="preserve">. Uw Kamer is geïnformeerd over de prioriteiten </w:t>
            </w:r>
            <w:r w:rsidR="00942932">
              <w:rPr>
                <w:rFonts w:ascii="Verdana" w:hAnsi="Verdana"/>
                <w:sz w:val="18"/>
                <w:szCs w:val="18"/>
              </w:rPr>
              <w:t xml:space="preserve">op dit beleidsterrein </w:t>
            </w:r>
            <w:r w:rsidRPr="00D76BC8">
              <w:rPr>
                <w:rFonts w:ascii="Verdana" w:hAnsi="Verdana"/>
                <w:sz w:val="18"/>
                <w:szCs w:val="18"/>
              </w:rPr>
              <w:t>van het kabinet.</w:t>
            </w:r>
            <w:r w:rsidRPr="00D76BC8">
              <w:rPr>
                <w:rStyle w:val="FootnoteReference"/>
                <w:rFonts w:ascii="Verdana" w:hAnsi="Verdana"/>
                <w:sz w:val="18"/>
                <w:szCs w:val="18"/>
              </w:rPr>
              <w:footnoteReference w:id="7"/>
            </w:r>
            <w:r w:rsidR="002A0584">
              <w:rPr>
                <w:rFonts w:ascii="Verdana" w:hAnsi="Verdana"/>
                <w:sz w:val="18"/>
                <w:szCs w:val="18"/>
              </w:rPr>
              <w:t xml:space="preserve"> </w:t>
            </w:r>
          </w:p>
        </w:tc>
        <w:tc>
          <w:tcPr>
            <w:tcW w:w="1843"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5E748BB9" w14:textId="09816EDC">
            <w:pPr>
              <w:rPr>
                <w:rFonts w:ascii="Verdana" w:hAnsi="Verdana" w:cstheme="minorHAnsi"/>
                <w:color w:val="000000"/>
                <w:sz w:val="18"/>
                <w:szCs w:val="18"/>
                <w:lang w:val="en-US"/>
              </w:rPr>
            </w:pPr>
            <w:proofErr w:type="spellStart"/>
            <w:r w:rsidRPr="00D76BC8">
              <w:rPr>
                <w:rFonts w:ascii="Verdana" w:hAnsi="Verdana" w:cstheme="minorHAnsi"/>
                <w:color w:val="000000"/>
                <w:sz w:val="18"/>
                <w:szCs w:val="18"/>
                <w:lang w:val="en-US"/>
              </w:rPr>
              <w:t>Niet-wetgevend</w:t>
            </w:r>
            <w:proofErr w:type="spellEnd"/>
          </w:p>
        </w:tc>
      </w:tr>
      <w:tr w:rsidRPr="00D76BC8" w:rsidR="004C4633" w:rsidTr="00450EAF" w14:paraId="28EE4C74"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5BBFC316" w14:textId="5BFA9C81">
            <w:pPr>
              <w:rPr>
                <w:rFonts w:ascii="Verdana" w:hAnsi="Verdana" w:cstheme="minorHAnsi"/>
                <w:color w:val="000000"/>
                <w:sz w:val="18"/>
                <w:szCs w:val="18"/>
              </w:rPr>
            </w:pPr>
            <w:r w:rsidRPr="00D76BC8">
              <w:rPr>
                <w:rFonts w:ascii="Verdana" w:hAnsi="Verdana" w:cstheme="minorHAnsi"/>
                <w:color w:val="000000"/>
                <w:sz w:val="18"/>
                <w:szCs w:val="18"/>
              </w:rPr>
              <w:t>25</w:t>
            </w:r>
            <w:r w:rsidR="005734FD">
              <w:rPr>
                <w:rFonts w:ascii="Verdana" w:hAnsi="Verdana" w:cstheme="minorHAnsi"/>
                <w:color w:val="000000"/>
                <w:sz w:val="18"/>
                <w:szCs w:val="18"/>
              </w:rPr>
              <w:t>a</w:t>
            </w:r>
          </w:p>
        </w:tc>
        <w:tc>
          <w:tcPr>
            <w:tcW w:w="2410" w:type="dxa"/>
            <w:tcBorders>
              <w:top w:val="single" w:color="auto" w:sz="4" w:space="0"/>
              <w:left w:val="single" w:color="auto" w:sz="4" w:space="0"/>
              <w:bottom w:val="single" w:color="auto" w:sz="4" w:space="0"/>
              <w:right w:val="single" w:color="auto" w:sz="4" w:space="0"/>
            </w:tcBorders>
          </w:tcPr>
          <w:p w:rsidRPr="0086334D" w:rsidR="004C4633" w:rsidP="007C26FD" w:rsidRDefault="00A80351" w14:paraId="66AC0FB6" w14:textId="3CA57A7C">
            <w:pPr>
              <w:rPr>
                <w:rFonts w:ascii="Verdana" w:hAnsi="Verdana" w:cstheme="minorHAnsi"/>
                <w:sz w:val="18"/>
                <w:szCs w:val="18"/>
              </w:rPr>
            </w:pPr>
            <w:r w:rsidRPr="0086334D">
              <w:rPr>
                <w:rFonts w:ascii="Verdana" w:hAnsi="Verdana" w:cstheme="minorHAnsi"/>
                <w:sz w:val="18"/>
                <w:szCs w:val="18"/>
              </w:rPr>
              <w:t>Nieuwe regels inzake drugsprecursoren</w:t>
            </w:r>
            <w:r w:rsidRPr="0086334D" w:rsidDel="00A80351">
              <w:rPr>
                <w:rFonts w:ascii="Verdana" w:hAnsi="Verdana" w:cstheme="minorHAnsi"/>
                <w:sz w:val="18"/>
                <w:szCs w:val="18"/>
              </w:rPr>
              <w:t xml:space="preserve"> </w:t>
            </w:r>
            <w:r w:rsidRPr="0086334D" w:rsidR="004C4633">
              <w:rPr>
                <w:rFonts w:ascii="Verdana" w:hAnsi="Verdana" w:cstheme="minorHAnsi"/>
                <w:sz w:val="18"/>
                <w:szCs w:val="18"/>
              </w:rPr>
              <w:t>(Q4 2025)</w:t>
            </w:r>
          </w:p>
        </w:tc>
        <w:tc>
          <w:tcPr>
            <w:tcW w:w="4678" w:type="dxa"/>
            <w:tcBorders>
              <w:top w:val="single" w:color="auto" w:sz="4" w:space="0"/>
              <w:left w:val="single" w:color="auto" w:sz="4" w:space="0"/>
              <w:bottom w:val="single" w:color="auto" w:sz="4" w:space="0"/>
              <w:right w:val="single" w:color="auto" w:sz="4" w:space="0"/>
            </w:tcBorders>
          </w:tcPr>
          <w:p w:rsidRPr="00D76BC8" w:rsidR="004C4633" w:rsidP="007C26FD" w:rsidRDefault="001D2F3F" w14:paraId="71E3A875" w14:textId="5DF4C8A0">
            <w:pPr>
              <w:rPr>
                <w:rFonts w:ascii="Verdana" w:hAnsi="Verdana" w:eastAsia="Calibri" w:cs="Calibri"/>
                <w:sz w:val="18"/>
                <w:szCs w:val="18"/>
              </w:rPr>
            </w:pPr>
            <w:r w:rsidRPr="001D2F3F">
              <w:rPr>
                <w:rFonts w:ascii="Verdana" w:hAnsi="Verdana" w:eastAsia="Calibri" w:cs="Calibri"/>
                <w:sz w:val="18"/>
                <w:szCs w:val="18"/>
              </w:rPr>
              <w:t xml:space="preserve">De Commissie kondigt nieuwe wetgevende voorstellen over </w:t>
            </w:r>
            <w:r w:rsidRPr="002A0584" w:rsidR="002A0584">
              <w:rPr>
                <w:rFonts w:ascii="Verdana" w:hAnsi="Verdana" w:eastAsia="Calibri" w:cs="Calibri"/>
                <w:sz w:val="18"/>
                <w:szCs w:val="18"/>
              </w:rPr>
              <w:t>chemicaliën voor de productie van verdovende middelen</w:t>
            </w:r>
            <w:r w:rsidR="002A0584">
              <w:rPr>
                <w:rFonts w:ascii="Verdana" w:hAnsi="Verdana" w:eastAsia="Calibri" w:cs="Calibri"/>
                <w:sz w:val="18"/>
                <w:szCs w:val="18"/>
              </w:rPr>
              <w:t xml:space="preserve"> (</w:t>
            </w:r>
            <w:r w:rsidRPr="001D2F3F">
              <w:rPr>
                <w:rFonts w:ascii="Verdana" w:hAnsi="Verdana" w:eastAsia="Calibri" w:cs="Calibri"/>
                <w:sz w:val="18"/>
                <w:szCs w:val="18"/>
              </w:rPr>
              <w:t>drugsprecursoren</w:t>
            </w:r>
            <w:r w:rsidR="002A0584">
              <w:rPr>
                <w:rFonts w:ascii="Verdana" w:hAnsi="Verdana" w:eastAsia="Calibri" w:cs="Calibri"/>
                <w:sz w:val="18"/>
                <w:szCs w:val="18"/>
              </w:rPr>
              <w:t>)</w:t>
            </w:r>
            <w:r w:rsidRPr="001D2F3F">
              <w:rPr>
                <w:rFonts w:ascii="Verdana" w:hAnsi="Verdana" w:eastAsia="Calibri" w:cs="Calibri"/>
                <w:sz w:val="18"/>
                <w:szCs w:val="18"/>
              </w:rPr>
              <w:t xml:space="preserve"> gericht op het voorkomen van misbruik van drugsprecursoren.</w:t>
            </w:r>
          </w:p>
        </w:tc>
        <w:tc>
          <w:tcPr>
            <w:tcW w:w="5953" w:type="dxa"/>
            <w:tcBorders>
              <w:top w:val="single" w:color="auto" w:sz="4" w:space="0"/>
              <w:left w:val="single" w:color="auto" w:sz="4" w:space="0"/>
              <w:bottom w:val="single" w:color="auto" w:sz="4" w:space="0"/>
              <w:right w:val="single" w:color="auto" w:sz="4" w:space="0"/>
            </w:tcBorders>
          </w:tcPr>
          <w:p w:rsidRPr="00D76BC8" w:rsidR="004C4633" w:rsidP="007C26FD" w:rsidRDefault="001D2F3F" w14:paraId="45C28D8F" w14:textId="6D996565">
            <w:pPr>
              <w:rPr>
                <w:rFonts w:ascii="Verdana" w:hAnsi="Verdana" w:eastAsia="Calibri" w:cs="Calibri"/>
                <w:sz w:val="18"/>
                <w:szCs w:val="18"/>
              </w:rPr>
            </w:pPr>
            <w:r w:rsidRPr="001D2F3F">
              <w:rPr>
                <w:rFonts w:ascii="Verdana" w:hAnsi="Verdana" w:eastAsia="Calibri" w:cs="Calibri"/>
                <w:sz w:val="18"/>
                <w:szCs w:val="18"/>
              </w:rPr>
              <w:t xml:space="preserve"> Het kabinet hecht waarde aan een meer effectieve bestrijding van de stroom designerprecursoren richting Nederland</w:t>
            </w:r>
            <w:r w:rsidR="00942932">
              <w:rPr>
                <w:rFonts w:ascii="Verdana" w:hAnsi="Verdana" w:eastAsia="Calibri" w:cs="Calibri"/>
                <w:sz w:val="18"/>
                <w:szCs w:val="18"/>
              </w:rPr>
              <w:t xml:space="preserve"> en </w:t>
            </w:r>
            <w:r w:rsidR="00D44970">
              <w:rPr>
                <w:rFonts w:ascii="Verdana" w:hAnsi="Verdana" w:eastAsia="Calibri" w:cs="Calibri"/>
                <w:sz w:val="18"/>
                <w:szCs w:val="18"/>
              </w:rPr>
              <w:t>kijkt uit naar het voorstel.</w:t>
            </w:r>
          </w:p>
        </w:tc>
        <w:tc>
          <w:tcPr>
            <w:tcW w:w="1843"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53BD86EE" w14:textId="08C93F34">
            <w:pPr>
              <w:rPr>
                <w:rFonts w:ascii="Verdana" w:hAnsi="Verdana" w:cstheme="minorHAnsi"/>
                <w:color w:val="000000"/>
                <w:sz w:val="18"/>
                <w:szCs w:val="18"/>
                <w:lang w:val="en-US"/>
              </w:rPr>
            </w:pPr>
            <w:proofErr w:type="spellStart"/>
            <w:r w:rsidRPr="00D76BC8">
              <w:rPr>
                <w:rFonts w:ascii="Verdana" w:hAnsi="Verdana" w:cstheme="minorHAnsi"/>
                <w:color w:val="000000"/>
                <w:sz w:val="18"/>
                <w:szCs w:val="18"/>
                <w:lang w:val="en-US"/>
              </w:rPr>
              <w:t>Wetgevend</w:t>
            </w:r>
            <w:proofErr w:type="spellEnd"/>
            <w:r w:rsidRPr="00D76BC8">
              <w:rPr>
                <w:rFonts w:ascii="Verdana" w:hAnsi="Verdana" w:cstheme="minorHAnsi"/>
                <w:color w:val="000000"/>
                <w:sz w:val="18"/>
                <w:szCs w:val="18"/>
                <w:lang w:val="en-US"/>
              </w:rPr>
              <w:t xml:space="preserve"> (incl. impact assessment)</w:t>
            </w:r>
          </w:p>
        </w:tc>
      </w:tr>
      <w:tr w:rsidRPr="005734FD" w:rsidR="005734FD" w:rsidTr="0086334D" w14:paraId="5C0477B2" w14:textId="77777777">
        <w:trPr>
          <w:trHeight w:val="441"/>
        </w:trPr>
        <w:tc>
          <w:tcPr>
            <w:tcW w:w="567" w:type="dxa"/>
            <w:tcBorders>
              <w:top w:val="single" w:color="auto" w:sz="4" w:space="0"/>
              <w:left w:val="single" w:color="auto" w:sz="4" w:space="0"/>
              <w:bottom w:val="single" w:color="auto" w:sz="4" w:space="0"/>
              <w:right w:val="single" w:color="auto" w:sz="4" w:space="0"/>
            </w:tcBorders>
          </w:tcPr>
          <w:p w:rsidRPr="00D76BC8" w:rsidR="005734FD" w:rsidP="007C26FD" w:rsidRDefault="005734FD" w14:paraId="6055DD37" w14:textId="6A84CB5B">
            <w:pPr>
              <w:rPr>
                <w:rFonts w:ascii="Verdana" w:hAnsi="Verdana" w:cstheme="minorHAnsi"/>
                <w:color w:val="000000"/>
                <w:sz w:val="18"/>
                <w:szCs w:val="18"/>
              </w:rPr>
            </w:pPr>
            <w:r>
              <w:rPr>
                <w:rFonts w:ascii="Verdana" w:hAnsi="Verdana" w:cstheme="minorHAnsi"/>
                <w:color w:val="000000"/>
                <w:sz w:val="18"/>
                <w:szCs w:val="18"/>
              </w:rPr>
              <w:t>25b</w:t>
            </w:r>
          </w:p>
        </w:tc>
        <w:tc>
          <w:tcPr>
            <w:tcW w:w="2410" w:type="dxa"/>
            <w:tcBorders>
              <w:top w:val="single" w:color="auto" w:sz="4" w:space="0"/>
              <w:left w:val="single" w:color="auto" w:sz="4" w:space="0"/>
              <w:bottom w:val="single" w:color="auto" w:sz="4" w:space="0"/>
              <w:right w:val="single" w:color="auto" w:sz="4" w:space="0"/>
            </w:tcBorders>
          </w:tcPr>
          <w:p w:rsidRPr="00D76BC8" w:rsidR="005734FD" w:rsidP="007C26FD" w:rsidRDefault="00A80351" w14:paraId="59146E28" w14:textId="30D3C702">
            <w:pPr>
              <w:rPr>
                <w:rFonts w:ascii="Verdana" w:hAnsi="Verdana" w:cstheme="minorHAnsi"/>
                <w:sz w:val="18"/>
                <w:szCs w:val="18"/>
                <w:lang w:val="en-US"/>
              </w:rPr>
            </w:pPr>
            <w:proofErr w:type="spellStart"/>
            <w:r w:rsidRPr="00A80351">
              <w:rPr>
                <w:rFonts w:ascii="Verdana" w:hAnsi="Verdana" w:cstheme="minorHAnsi"/>
                <w:sz w:val="18"/>
                <w:szCs w:val="18"/>
                <w:lang w:val="en-US"/>
              </w:rPr>
              <w:t>Richtlijn</w:t>
            </w:r>
            <w:proofErr w:type="spellEnd"/>
            <w:r w:rsidRPr="00A80351">
              <w:rPr>
                <w:rFonts w:ascii="Verdana" w:hAnsi="Verdana" w:cstheme="minorHAnsi"/>
                <w:sz w:val="18"/>
                <w:szCs w:val="18"/>
                <w:lang w:val="en-US"/>
              </w:rPr>
              <w:t xml:space="preserve"> </w:t>
            </w:r>
            <w:proofErr w:type="spellStart"/>
            <w:r w:rsidRPr="00A80351">
              <w:rPr>
                <w:rFonts w:ascii="Verdana" w:hAnsi="Verdana" w:cstheme="minorHAnsi"/>
                <w:sz w:val="18"/>
                <w:szCs w:val="18"/>
                <w:lang w:val="en-US"/>
              </w:rPr>
              <w:t>illegale</w:t>
            </w:r>
            <w:proofErr w:type="spellEnd"/>
            <w:r w:rsidRPr="00A80351">
              <w:rPr>
                <w:rFonts w:ascii="Verdana" w:hAnsi="Verdana" w:cstheme="minorHAnsi"/>
                <w:sz w:val="18"/>
                <w:szCs w:val="18"/>
                <w:lang w:val="en-US"/>
              </w:rPr>
              <w:t xml:space="preserve"> </w:t>
            </w:r>
            <w:proofErr w:type="spellStart"/>
            <w:r w:rsidRPr="00A80351">
              <w:rPr>
                <w:rFonts w:ascii="Verdana" w:hAnsi="Verdana" w:cstheme="minorHAnsi"/>
                <w:sz w:val="18"/>
                <w:szCs w:val="18"/>
                <w:lang w:val="en-US"/>
              </w:rPr>
              <w:t>vuurwapenhandel</w:t>
            </w:r>
            <w:proofErr w:type="spellEnd"/>
            <w:r w:rsidRPr="00A80351" w:rsidDel="00A80351">
              <w:rPr>
                <w:rFonts w:ascii="Verdana" w:hAnsi="Verdana" w:cstheme="minorHAnsi"/>
                <w:sz w:val="18"/>
                <w:szCs w:val="18"/>
                <w:lang w:val="en-US"/>
              </w:rPr>
              <w:t xml:space="preserve"> </w:t>
            </w:r>
            <w:r w:rsidRPr="00D76BC8" w:rsidR="005734FD">
              <w:rPr>
                <w:rFonts w:ascii="Verdana" w:hAnsi="Verdana" w:cstheme="minorHAnsi"/>
                <w:sz w:val="18"/>
                <w:szCs w:val="18"/>
                <w:lang w:val="en-US"/>
              </w:rPr>
              <w:t>(Q4 2025)</w:t>
            </w:r>
          </w:p>
        </w:tc>
        <w:tc>
          <w:tcPr>
            <w:tcW w:w="4678" w:type="dxa"/>
            <w:tcBorders>
              <w:top w:val="single" w:color="auto" w:sz="4" w:space="0"/>
              <w:left w:val="single" w:color="auto" w:sz="4" w:space="0"/>
              <w:bottom w:val="single" w:color="auto" w:sz="4" w:space="0"/>
              <w:right w:val="single" w:color="auto" w:sz="4" w:space="0"/>
            </w:tcBorders>
          </w:tcPr>
          <w:p w:rsidRPr="005734FD" w:rsidR="005734FD" w:rsidP="007C26FD" w:rsidRDefault="00BC3D4D" w14:paraId="7FD2D2F0" w14:textId="4786602F">
            <w:pPr>
              <w:rPr>
                <w:rFonts w:ascii="Verdana" w:hAnsi="Verdana" w:eastAsia="Calibri" w:cs="Calibri"/>
                <w:sz w:val="18"/>
                <w:szCs w:val="18"/>
              </w:rPr>
            </w:pPr>
            <w:r>
              <w:rPr>
                <w:rFonts w:ascii="Verdana" w:hAnsi="Verdana" w:eastAsia="Calibri" w:cs="Calibri"/>
                <w:sz w:val="18"/>
                <w:szCs w:val="18"/>
              </w:rPr>
              <w:t>Met de</w:t>
            </w:r>
            <w:r w:rsidRPr="00D76BC8" w:rsidR="005734FD">
              <w:rPr>
                <w:rFonts w:ascii="Verdana" w:hAnsi="Verdana" w:eastAsia="Calibri" w:cs="Calibri"/>
                <w:sz w:val="18"/>
                <w:szCs w:val="18"/>
              </w:rPr>
              <w:t xml:space="preserve"> vuurwapenhandel richtlijn beoogt </w:t>
            </w:r>
            <w:r>
              <w:rPr>
                <w:rFonts w:ascii="Verdana" w:hAnsi="Verdana" w:eastAsia="Calibri" w:cs="Calibri"/>
                <w:sz w:val="18"/>
                <w:szCs w:val="18"/>
              </w:rPr>
              <w:t xml:space="preserve">de Commissie </w:t>
            </w:r>
            <w:r w:rsidRPr="00D76BC8" w:rsidR="005734FD">
              <w:rPr>
                <w:rFonts w:ascii="Verdana" w:hAnsi="Verdana" w:eastAsia="Calibri" w:cs="Calibri"/>
                <w:sz w:val="18"/>
                <w:szCs w:val="18"/>
              </w:rPr>
              <w:t>minimumcriteria vast te stellen voor de strafbaarstelling van vuurwapenmisdrijven, in overeenstemming met het VN-vuurwapenprotocol en de EU-vuurwapenwetgeving. De relevante strafbare feiten die de richtlijn zal behelzen zijn illegale vervaardiging, illegale handel, wijziging van markeringen en illegaal bezit van wapens.</w:t>
            </w:r>
          </w:p>
        </w:tc>
        <w:tc>
          <w:tcPr>
            <w:tcW w:w="5953" w:type="dxa"/>
            <w:tcBorders>
              <w:top w:val="single" w:color="auto" w:sz="4" w:space="0"/>
              <w:left w:val="single" w:color="auto" w:sz="4" w:space="0"/>
              <w:bottom w:val="single" w:color="auto" w:sz="4" w:space="0"/>
              <w:right w:val="single" w:color="auto" w:sz="4" w:space="0"/>
            </w:tcBorders>
          </w:tcPr>
          <w:p w:rsidRPr="005734FD" w:rsidR="005734FD" w:rsidP="007C26FD" w:rsidRDefault="005734FD" w14:paraId="55F33C4B" w14:textId="351AF1F3">
            <w:pPr>
              <w:rPr>
                <w:rFonts w:ascii="Verdana" w:hAnsi="Verdana" w:eastAsia="Calibri" w:cs="Calibri"/>
                <w:b/>
                <w:bCs/>
                <w:sz w:val="18"/>
                <w:szCs w:val="18"/>
              </w:rPr>
            </w:pPr>
            <w:r w:rsidRPr="00D76BC8">
              <w:rPr>
                <w:rFonts w:ascii="Verdana" w:hAnsi="Verdana" w:eastAsia="Calibri" w:cs="Calibri"/>
                <w:sz w:val="18"/>
                <w:szCs w:val="18"/>
              </w:rPr>
              <w:t xml:space="preserve">Het kabinet ziet het voorstel met belangstelling tegemoet, ook wat betreft de aansluiting van het voorstel bij de bestaande vuurwapenrichtlijn. </w:t>
            </w:r>
            <w:r w:rsidR="00BC3D4D">
              <w:rPr>
                <w:rFonts w:ascii="Verdana" w:hAnsi="Verdana" w:eastAsia="Calibri" w:cs="Calibri"/>
                <w:sz w:val="18"/>
                <w:szCs w:val="18"/>
              </w:rPr>
              <w:t>Het kabinet</w:t>
            </w:r>
            <w:r w:rsidRPr="00D76BC8">
              <w:rPr>
                <w:rFonts w:ascii="Verdana" w:hAnsi="Verdana" w:eastAsia="Calibri" w:cs="Calibri"/>
                <w:sz w:val="18"/>
                <w:szCs w:val="18"/>
              </w:rPr>
              <w:t xml:space="preserve"> hecht grote waarde aan een betere facilitering van de aanpak van illegale wapens.</w:t>
            </w:r>
          </w:p>
        </w:tc>
        <w:tc>
          <w:tcPr>
            <w:tcW w:w="1843" w:type="dxa"/>
            <w:tcBorders>
              <w:top w:val="single" w:color="auto" w:sz="4" w:space="0"/>
              <w:left w:val="single" w:color="auto" w:sz="4" w:space="0"/>
              <w:bottom w:val="single" w:color="auto" w:sz="4" w:space="0"/>
              <w:right w:val="single" w:color="auto" w:sz="4" w:space="0"/>
            </w:tcBorders>
          </w:tcPr>
          <w:p w:rsidRPr="005734FD" w:rsidR="005734FD" w:rsidP="007C26FD" w:rsidRDefault="005734FD" w14:paraId="6F5CF3DE" w14:textId="2E025C8E">
            <w:pPr>
              <w:rPr>
                <w:rFonts w:ascii="Verdana" w:hAnsi="Verdana" w:cstheme="minorHAnsi"/>
                <w:b/>
                <w:bCs/>
                <w:color w:val="000000"/>
                <w:sz w:val="18"/>
                <w:szCs w:val="18"/>
              </w:rPr>
            </w:pPr>
            <w:proofErr w:type="spellStart"/>
            <w:r w:rsidRPr="00D76BC8">
              <w:rPr>
                <w:rFonts w:ascii="Verdana" w:hAnsi="Verdana" w:cstheme="minorHAnsi"/>
                <w:color w:val="000000"/>
                <w:sz w:val="18"/>
                <w:szCs w:val="18"/>
                <w:lang w:val="en-US"/>
              </w:rPr>
              <w:t>Wetgevend</w:t>
            </w:r>
            <w:proofErr w:type="spellEnd"/>
            <w:r w:rsidRPr="00D76BC8">
              <w:rPr>
                <w:rFonts w:ascii="Verdana" w:hAnsi="Verdana" w:cstheme="minorHAnsi"/>
                <w:color w:val="000000"/>
                <w:sz w:val="18"/>
                <w:szCs w:val="18"/>
                <w:lang w:val="en-US"/>
              </w:rPr>
              <w:t xml:space="preserve"> (incl. impact assessment)</w:t>
            </w:r>
          </w:p>
        </w:tc>
      </w:tr>
      <w:tr w:rsidRPr="00D76BC8" w:rsidR="004C4633" w:rsidTr="0086334D" w14:paraId="29469B9F" w14:textId="77777777">
        <w:trPr>
          <w:trHeight w:val="441"/>
        </w:trPr>
        <w:tc>
          <w:tcPr>
            <w:tcW w:w="567"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3EFA2A03" w14:textId="007E900D">
            <w:pPr>
              <w:rPr>
                <w:rFonts w:ascii="Verdana" w:hAnsi="Verdana" w:cstheme="minorHAnsi"/>
                <w:color w:val="000000"/>
                <w:sz w:val="18"/>
                <w:szCs w:val="18"/>
              </w:rPr>
            </w:pPr>
            <w:bookmarkStart w:name="_Hlk191049419" w:id="6"/>
            <w:r w:rsidRPr="00D76BC8">
              <w:rPr>
                <w:rFonts w:ascii="Verdana" w:hAnsi="Verdana" w:cstheme="minorHAnsi"/>
                <w:color w:val="000000"/>
                <w:sz w:val="18"/>
                <w:szCs w:val="18"/>
              </w:rPr>
              <w:lastRenderedPageBreak/>
              <w:t>26.</w:t>
            </w:r>
          </w:p>
        </w:tc>
        <w:tc>
          <w:tcPr>
            <w:tcW w:w="2410" w:type="dxa"/>
            <w:tcBorders>
              <w:top w:val="single" w:color="auto" w:sz="4" w:space="0"/>
              <w:left w:val="single" w:color="auto" w:sz="4" w:space="0"/>
              <w:bottom w:val="single" w:color="auto" w:sz="4" w:space="0"/>
              <w:right w:val="single" w:color="auto" w:sz="4" w:space="0"/>
            </w:tcBorders>
          </w:tcPr>
          <w:p w:rsidRPr="0086334D" w:rsidR="004C4633" w:rsidP="007C26FD" w:rsidRDefault="00A80351" w14:paraId="1E2A7F6C" w14:textId="65C0CB92">
            <w:pPr>
              <w:rPr>
                <w:rFonts w:ascii="Verdana" w:hAnsi="Verdana" w:cstheme="minorHAnsi"/>
                <w:sz w:val="18"/>
                <w:szCs w:val="18"/>
              </w:rPr>
            </w:pPr>
            <w:bookmarkStart w:name="_Hlk192592818" w:id="7"/>
            <w:r w:rsidRPr="0086334D">
              <w:rPr>
                <w:rFonts w:ascii="Verdana" w:hAnsi="Verdana" w:cstheme="minorHAnsi"/>
                <w:sz w:val="18"/>
                <w:szCs w:val="18"/>
              </w:rPr>
              <w:t>Actieplan voor de cyberbeveiliging van ziekenhuizen en zorgverleners</w:t>
            </w:r>
            <w:r w:rsidRPr="0086334D" w:rsidDel="00A80351">
              <w:rPr>
                <w:rFonts w:ascii="Verdana" w:hAnsi="Verdana" w:cstheme="minorHAnsi"/>
                <w:sz w:val="18"/>
                <w:szCs w:val="18"/>
              </w:rPr>
              <w:t xml:space="preserve"> </w:t>
            </w:r>
            <w:bookmarkEnd w:id="7"/>
            <w:r w:rsidRPr="0086334D" w:rsidR="004C4633">
              <w:rPr>
                <w:rFonts w:ascii="Verdana" w:hAnsi="Verdana" w:cstheme="minorHAnsi"/>
                <w:sz w:val="18"/>
                <w:szCs w:val="18"/>
              </w:rPr>
              <w:t>(Q1 2025)</w:t>
            </w:r>
          </w:p>
        </w:tc>
        <w:tc>
          <w:tcPr>
            <w:tcW w:w="4678"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5F670CE7" w14:textId="304E8724">
            <w:pPr>
              <w:rPr>
                <w:rFonts w:ascii="Verdana" w:hAnsi="Verdana" w:cstheme="minorBidi"/>
                <w:sz w:val="18"/>
                <w:szCs w:val="18"/>
              </w:rPr>
            </w:pPr>
            <w:r w:rsidRPr="00D76BC8">
              <w:rPr>
                <w:rFonts w:ascii="Verdana" w:hAnsi="Verdana" w:cstheme="minorBidi"/>
                <w:sz w:val="18"/>
                <w:szCs w:val="18"/>
              </w:rPr>
              <w:t xml:space="preserve">Het actieplan van de Commissie ziet op de versterking van de cyberbeveiliging van ziekenhuizen en zorgaanbieders. De voorgestelde maatregelen in het actieplan zijn onderverdeeld in vijf thema’s: preventie, detectie, respons, herstel en afschrikking. Kernpunt van dit actieplan is de oprichting van een </w:t>
            </w:r>
            <w:r w:rsidRPr="00D76BC8">
              <w:rPr>
                <w:rFonts w:ascii="Verdana" w:hAnsi="Verdana" w:cstheme="minorBidi"/>
                <w:i/>
                <w:iCs/>
                <w:sz w:val="18"/>
                <w:szCs w:val="18"/>
              </w:rPr>
              <w:t xml:space="preserve">European Cybersecurity Support Centre </w:t>
            </w:r>
            <w:proofErr w:type="spellStart"/>
            <w:r w:rsidRPr="00D76BC8">
              <w:rPr>
                <w:rFonts w:ascii="Verdana" w:hAnsi="Verdana" w:cstheme="minorBidi"/>
                <w:i/>
                <w:iCs/>
                <w:sz w:val="18"/>
                <w:szCs w:val="18"/>
              </w:rPr>
              <w:t>for</w:t>
            </w:r>
            <w:proofErr w:type="spellEnd"/>
            <w:r w:rsidRPr="00D76BC8">
              <w:rPr>
                <w:rFonts w:ascii="Verdana" w:hAnsi="Verdana" w:cstheme="minorBidi"/>
                <w:i/>
                <w:iCs/>
                <w:sz w:val="18"/>
                <w:szCs w:val="18"/>
              </w:rPr>
              <w:t xml:space="preserve"> </w:t>
            </w:r>
            <w:proofErr w:type="spellStart"/>
            <w:r w:rsidRPr="00D76BC8">
              <w:rPr>
                <w:rFonts w:ascii="Verdana" w:hAnsi="Verdana" w:cstheme="minorBidi"/>
                <w:i/>
                <w:iCs/>
                <w:sz w:val="18"/>
                <w:szCs w:val="18"/>
              </w:rPr>
              <w:t>hospitals</w:t>
            </w:r>
            <w:proofErr w:type="spellEnd"/>
            <w:r w:rsidRPr="00D76BC8">
              <w:rPr>
                <w:rFonts w:ascii="Verdana" w:hAnsi="Verdana" w:cstheme="minorBidi"/>
                <w:i/>
                <w:iCs/>
                <w:sz w:val="18"/>
                <w:szCs w:val="18"/>
              </w:rPr>
              <w:t xml:space="preserve"> </w:t>
            </w:r>
            <w:proofErr w:type="spellStart"/>
            <w:r w:rsidRPr="00D76BC8">
              <w:rPr>
                <w:rFonts w:ascii="Verdana" w:hAnsi="Verdana" w:cstheme="minorBidi"/>
                <w:i/>
                <w:iCs/>
                <w:sz w:val="18"/>
                <w:szCs w:val="18"/>
              </w:rPr>
              <w:t>and</w:t>
            </w:r>
            <w:proofErr w:type="spellEnd"/>
            <w:r w:rsidRPr="00D76BC8">
              <w:rPr>
                <w:rFonts w:ascii="Verdana" w:hAnsi="Verdana" w:cstheme="minorBidi"/>
                <w:i/>
                <w:iCs/>
                <w:sz w:val="18"/>
                <w:szCs w:val="18"/>
              </w:rPr>
              <w:t xml:space="preserve"> </w:t>
            </w:r>
            <w:proofErr w:type="spellStart"/>
            <w:r w:rsidRPr="00D76BC8">
              <w:rPr>
                <w:rFonts w:ascii="Verdana" w:hAnsi="Verdana" w:cstheme="minorBidi"/>
                <w:i/>
                <w:iCs/>
                <w:sz w:val="18"/>
                <w:szCs w:val="18"/>
              </w:rPr>
              <w:t>healthcare</w:t>
            </w:r>
            <w:proofErr w:type="spellEnd"/>
            <w:r w:rsidRPr="00D76BC8">
              <w:rPr>
                <w:rFonts w:ascii="Verdana" w:hAnsi="Verdana" w:cstheme="minorBidi"/>
                <w:i/>
                <w:iCs/>
                <w:sz w:val="18"/>
                <w:szCs w:val="18"/>
              </w:rPr>
              <w:t xml:space="preserve"> providers</w:t>
            </w:r>
            <w:r w:rsidRPr="00D76BC8">
              <w:rPr>
                <w:rFonts w:ascii="Verdana" w:hAnsi="Verdana" w:cstheme="minorBidi"/>
                <w:sz w:val="18"/>
                <w:szCs w:val="18"/>
              </w:rPr>
              <w:t xml:space="preserve"> bij het EU Cybersecurity-agentschap (ENISA).</w:t>
            </w:r>
          </w:p>
        </w:tc>
        <w:tc>
          <w:tcPr>
            <w:tcW w:w="5953" w:type="dxa"/>
            <w:tcBorders>
              <w:top w:val="single" w:color="auto" w:sz="4" w:space="0"/>
              <w:left w:val="single" w:color="auto" w:sz="4" w:space="0"/>
              <w:bottom w:val="single" w:color="auto" w:sz="4" w:space="0"/>
              <w:right w:val="single" w:color="auto" w:sz="4" w:space="0"/>
            </w:tcBorders>
          </w:tcPr>
          <w:p w:rsidRPr="005734FD" w:rsidR="005734FD" w:rsidP="007C26FD" w:rsidRDefault="004C4633" w14:paraId="0F66DC61" w14:textId="25FE6DC9">
            <w:pPr>
              <w:rPr>
                <w:rFonts w:ascii="Verdana" w:hAnsi="Verdana" w:cstheme="minorBidi"/>
                <w:sz w:val="18"/>
                <w:szCs w:val="18"/>
              </w:rPr>
            </w:pPr>
            <w:r w:rsidRPr="00D76BC8">
              <w:rPr>
                <w:rFonts w:ascii="Verdana" w:hAnsi="Verdana" w:cstheme="minorBidi"/>
                <w:sz w:val="18"/>
                <w:szCs w:val="18"/>
              </w:rPr>
              <w:t xml:space="preserve">Het kabinet verwelkomt de doelstelling </w:t>
            </w:r>
            <w:r w:rsidR="005734FD">
              <w:rPr>
                <w:rFonts w:ascii="Verdana" w:hAnsi="Verdana" w:cstheme="minorBidi"/>
                <w:sz w:val="18"/>
                <w:szCs w:val="18"/>
              </w:rPr>
              <w:t>in</w:t>
            </w:r>
            <w:r w:rsidRPr="00D76BC8" w:rsidR="005734FD">
              <w:rPr>
                <w:rFonts w:ascii="Verdana" w:hAnsi="Verdana" w:cstheme="minorBidi"/>
                <w:sz w:val="18"/>
                <w:szCs w:val="18"/>
              </w:rPr>
              <w:t xml:space="preserve"> </w:t>
            </w:r>
            <w:r w:rsidRPr="00D76BC8">
              <w:rPr>
                <w:rFonts w:ascii="Verdana" w:hAnsi="Verdana" w:cstheme="minorBidi"/>
                <w:sz w:val="18"/>
                <w:szCs w:val="18"/>
              </w:rPr>
              <w:t>het actieplan om de digitale weerbaarheid van zorginstellingen binnen de EU te vergroten. Uw Kamer is middels een BNC-fiche geïnformeerd over het actieplan en de appreciatie van het kabinet t.a.v. de verschillende voorgestelde maatregelen, waaronder de</w:t>
            </w:r>
            <w:r w:rsidR="005734FD">
              <w:rPr>
                <w:rFonts w:ascii="Verdana" w:hAnsi="Verdana" w:cstheme="minorBidi"/>
                <w:sz w:val="18"/>
                <w:szCs w:val="18"/>
              </w:rPr>
              <w:t xml:space="preserve"> </w:t>
            </w:r>
            <w:r w:rsidRPr="00D76BC8">
              <w:rPr>
                <w:rFonts w:ascii="Verdana" w:hAnsi="Verdana" w:cstheme="minorBidi"/>
                <w:sz w:val="18"/>
                <w:szCs w:val="18"/>
              </w:rPr>
              <w:t>kanttekening die het kabinet plaatst omtrent de oprichting van een Steuncentrum.</w:t>
            </w:r>
            <w:r w:rsidRPr="00D76BC8">
              <w:rPr>
                <w:rStyle w:val="FootnoteReference"/>
                <w:rFonts w:ascii="Verdana" w:hAnsi="Verdana" w:cstheme="minorBidi"/>
                <w:sz w:val="18"/>
                <w:szCs w:val="18"/>
              </w:rPr>
              <w:footnoteReference w:id="8"/>
            </w:r>
          </w:p>
        </w:tc>
        <w:tc>
          <w:tcPr>
            <w:tcW w:w="1843"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78211C46" w14:textId="53D7BAC9">
            <w:pPr>
              <w:rPr>
                <w:rFonts w:ascii="Verdana" w:hAnsi="Verdana" w:cstheme="minorHAnsi"/>
                <w:color w:val="000000"/>
                <w:sz w:val="18"/>
                <w:szCs w:val="18"/>
                <w:lang w:val="en-US"/>
              </w:rPr>
            </w:pPr>
            <w:proofErr w:type="spellStart"/>
            <w:r w:rsidRPr="00D76BC8">
              <w:rPr>
                <w:rFonts w:ascii="Verdana" w:hAnsi="Verdana" w:cstheme="minorHAnsi"/>
                <w:color w:val="000000"/>
                <w:sz w:val="18"/>
                <w:szCs w:val="18"/>
                <w:lang w:val="en-US"/>
              </w:rPr>
              <w:t>Niet-wetgevend</w:t>
            </w:r>
            <w:proofErr w:type="spellEnd"/>
            <w:r w:rsidRPr="00D76BC8">
              <w:rPr>
                <w:rFonts w:ascii="Verdana" w:hAnsi="Verdana" w:cstheme="minorHAnsi"/>
                <w:color w:val="000000"/>
                <w:sz w:val="18"/>
                <w:szCs w:val="18"/>
                <w:lang w:val="en-US"/>
              </w:rPr>
              <w:t xml:space="preserve"> </w:t>
            </w:r>
          </w:p>
        </w:tc>
      </w:tr>
      <w:bookmarkEnd w:id="6"/>
      <w:tr w:rsidRPr="00D76BC8" w:rsidR="004C4633" w:rsidTr="00450EAF" w14:paraId="61813C60"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283E8916" w14:textId="5D91ED08">
            <w:pPr>
              <w:rPr>
                <w:rFonts w:ascii="Verdana" w:hAnsi="Verdana" w:cstheme="minorHAnsi"/>
                <w:color w:val="000000"/>
                <w:sz w:val="18"/>
                <w:szCs w:val="18"/>
              </w:rPr>
            </w:pPr>
            <w:r w:rsidRPr="00D76BC8">
              <w:rPr>
                <w:rFonts w:ascii="Verdana" w:hAnsi="Verdana" w:cstheme="minorHAnsi"/>
                <w:color w:val="000000"/>
                <w:sz w:val="18"/>
                <w:szCs w:val="18"/>
              </w:rPr>
              <w:t>27.</w:t>
            </w:r>
          </w:p>
        </w:tc>
        <w:tc>
          <w:tcPr>
            <w:tcW w:w="2410" w:type="dxa"/>
            <w:tcBorders>
              <w:top w:val="single" w:color="auto" w:sz="4" w:space="0"/>
              <w:left w:val="single" w:color="auto" w:sz="4" w:space="0"/>
              <w:bottom w:val="single" w:color="auto" w:sz="4" w:space="0"/>
              <w:right w:val="single" w:color="auto" w:sz="4" w:space="0"/>
            </w:tcBorders>
          </w:tcPr>
          <w:p w:rsidRPr="0086334D" w:rsidR="004C4633" w:rsidP="007C26FD" w:rsidRDefault="009E4740" w14:paraId="021DCA3E" w14:textId="069D07A6">
            <w:pPr>
              <w:rPr>
                <w:rFonts w:ascii="Verdana" w:hAnsi="Verdana" w:cstheme="minorHAnsi"/>
                <w:sz w:val="18"/>
                <w:szCs w:val="18"/>
              </w:rPr>
            </w:pPr>
            <w:r w:rsidRPr="00B14C0F">
              <w:rPr>
                <w:rFonts w:ascii="Verdana" w:hAnsi="Verdana" w:cstheme="minorHAnsi"/>
                <w:sz w:val="18"/>
                <w:szCs w:val="18"/>
              </w:rPr>
              <w:t>Nieuwe gemeenschappelijke aanpak inzake terugkeer</w:t>
            </w:r>
            <w:r w:rsidRPr="00B14C0F" w:rsidDel="00A80351">
              <w:rPr>
                <w:rFonts w:ascii="Verdana" w:hAnsi="Verdana" w:cstheme="minorHAnsi"/>
                <w:sz w:val="18"/>
                <w:szCs w:val="18"/>
              </w:rPr>
              <w:t xml:space="preserve"> </w:t>
            </w:r>
            <w:r w:rsidRPr="0086334D" w:rsidR="004C4633">
              <w:rPr>
                <w:rFonts w:ascii="Verdana" w:hAnsi="Verdana" w:cstheme="minorHAnsi"/>
                <w:sz w:val="18"/>
                <w:szCs w:val="18"/>
              </w:rPr>
              <w:t>(Q1 2025)</w:t>
            </w:r>
          </w:p>
        </w:tc>
        <w:tc>
          <w:tcPr>
            <w:tcW w:w="4678"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4BE4574F" w14:textId="7A93143C">
            <w:pPr>
              <w:rPr>
                <w:rFonts w:ascii="Verdana" w:hAnsi="Verdana" w:cstheme="minorHAnsi"/>
                <w:color w:val="000000"/>
                <w:sz w:val="18"/>
                <w:szCs w:val="18"/>
              </w:rPr>
            </w:pPr>
            <w:r w:rsidRPr="00D76BC8">
              <w:rPr>
                <w:rFonts w:ascii="Verdana" w:hAnsi="Verdana" w:cstheme="minorBidi"/>
                <w:color w:val="000000" w:themeColor="text1"/>
                <w:sz w:val="18"/>
                <w:szCs w:val="18"/>
              </w:rPr>
              <w:t xml:space="preserve">Een nieuw wetgevend kader voor terugkeer in de EU heeft als doel terugkeer van personen die geen recht meer hebben om te verblijven in de EU te versnellen en procedures te versimpelen.  Het voorstel zal ook </w:t>
            </w:r>
            <w:r w:rsidR="00FC7F36">
              <w:rPr>
                <w:rFonts w:ascii="Verdana" w:hAnsi="Verdana" w:cstheme="minorBidi"/>
                <w:color w:val="000000" w:themeColor="text1"/>
                <w:sz w:val="18"/>
                <w:szCs w:val="18"/>
              </w:rPr>
              <w:t xml:space="preserve">ingaan op </w:t>
            </w:r>
            <w:r w:rsidRPr="00D76BC8">
              <w:rPr>
                <w:rFonts w:ascii="Verdana" w:hAnsi="Verdana" w:cstheme="minorBidi"/>
                <w:color w:val="000000" w:themeColor="text1"/>
                <w:sz w:val="18"/>
                <w:szCs w:val="18"/>
              </w:rPr>
              <w:t xml:space="preserve">waar er gedigitaliseerd kan worden. </w:t>
            </w:r>
          </w:p>
        </w:tc>
        <w:tc>
          <w:tcPr>
            <w:tcW w:w="5953"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11F640AE" w14:textId="7484112D">
            <w:pPr>
              <w:rPr>
                <w:rFonts w:ascii="Verdana" w:hAnsi="Verdana" w:cstheme="minorHAnsi"/>
                <w:color w:val="000000"/>
                <w:sz w:val="18"/>
                <w:szCs w:val="18"/>
              </w:rPr>
            </w:pPr>
            <w:r w:rsidRPr="00D76BC8">
              <w:rPr>
                <w:rFonts w:ascii="Verdana" w:hAnsi="Verdana" w:cstheme="minorBidi"/>
                <w:color w:val="000000" w:themeColor="text1"/>
                <w:sz w:val="18"/>
                <w:szCs w:val="18"/>
              </w:rPr>
              <w:t xml:space="preserve">Het bevorderen van terugkeer is een prioriteit voor het kabinet. De afgelopen maanden heeft het kabinet benadrukt dat er nieuwe wetgeving nodig is om dit doel te bereiken. Het kabinet verwelkomt de voortvarende aanpak van de Commissie en kijkt uit naar het voorstel. </w:t>
            </w:r>
          </w:p>
        </w:tc>
        <w:tc>
          <w:tcPr>
            <w:tcW w:w="1843"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2F1C0890" w14:textId="056F8D24">
            <w:pPr>
              <w:rPr>
                <w:rFonts w:ascii="Verdana" w:hAnsi="Verdana" w:cstheme="minorHAnsi"/>
                <w:color w:val="000000"/>
                <w:sz w:val="18"/>
                <w:szCs w:val="18"/>
                <w:lang w:val="en-US"/>
              </w:rPr>
            </w:pPr>
            <w:proofErr w:type="spellStart"/>
            <w:r w:rsidRPr="00D76BC8">
              <w:rPr>
                <w:rFonts w:ascii="Verdana" w:hAnsi="Verdana" w:cstheme="minorHAnsi"/>
                <w:color w:val="000000"/>
                <w:sz w:val="18"/>
                <w:szCs w:val="18"/>
                <w:lang w:val="en-US"/>
              </w:rPr>
              <w:t>Wetgevend</w:t>
            </w:r>
            <w:proofErr w:type="spellEnd"/>
          </w:p>
        </w:tc>
      </w:tr>
      <w:tr w:rsidRPr="00D76BC8" w:rsidR="004C4633" w:rsidTr="0086334D" w14:paraId="605F122E" w14:textId="77777777">
        <w:trPr>
          <w:trHeight w:val="3761"/>
        </w:trPr>
        <w:tc>
          <w:tcPr>
            <w:tcW w:w="567"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026F06C6" w14:textId="0B17F7DB">
            <w:pPr>
              <w:rPr>
                <w:rFonts w:ascii="Verdana" w:hAnsi="Verdana" w:cstheme="minorHAnsi"/>
                <w:color w:val="000000"/>
                <w:sz w:val="18"/>
                <w:szCs w:val="18"/>
              </w:rPr>
            </w:pPr>
            <w:r w:rsidRPr="00D76BC8">
              <w:rPr>
                <w:rFonts w:ascii="Verdana" w:hAnsi="Verdana" w:cstheme="minorHAnsi"/>
                <w:color w:val="000000"/>
                <w:sz w:val="18"/>
                <w:szCs w:val="18"/>
              </w:rPr>
              <w:t>28.</w:t>
            </w:r>
          </w:p>
        </w:tc>
        <w:tc>
          <w:tcPr>
            <w:tcW w:w="2410" w:type="dxa"/>
            <w:tcBorders>
              <w:top w:val="single" w:color="auto" w:sz="4" w:space="0"/>
              <w:left w:val="single" w:color="auto" w:sz="4" w:space="0"/>
              <w:bottom w:val="single" w:color="auto" w:sz="4" w:space="0"/>
              <w:right w:val="single" w:color="auto" w:sz="4" w:space="0"/>
            </w:tcBorders>
          </w:tcPr>
          <w:p w:rsidRPr="0086334D" w:rsidR="004C4633" w:rsidP="007C26FD" w:rsidRDefault="009E4740" w14:paraId="78637D98" w14:textId="0993DF6A">
            <w:pPr>
              <w:rPr>
                <w:rFonts w:ascii="Verdana" w:hAnsi="Verdana" w:cstheme="minorHAnsi"/>
                <w:sz w:val="18"/>
                <w:szCs w:val="18"/>
              </w:rPr>
            </w:pPr>
            <w:r w:rsidRPr="009E4740">
              <w:rPr>
                <w:rFonts w:ascii="Verdana" w:hAnsi="Verdana" w:cstheme="minorHAnsi"/>
                <w:sz w:val="18"/>
                <w:szCs w:val="18"/>
              </w:rPr>
              <w:t>Europese migratie- en asielstrategie</w:t>
            </w:r>
            <w:r w:rsidRPr="009E4740" w:rsidDel="00A80351">
              <w:rPr>
                <w:rFonts w:ascii="Verdana" w:hAnsi="Verdana" w:cstheme="minorHAnsi"/>
                <w:sz w:val="18"/>
                <w:szCs w:val="18"/>
              </w:rPr>
              <w:t xml:space="preserve"> </w:t>
            </w:r>
            <w:r w:rsidRPr="0086334D" w:rsidR="004C4633">
              <w:rPr>
                <w:rFonts w:ascii="Verdana" w:hAnsi="Verdana" w:cstheme="minorHAnsi"/>
                <w:sz w:val="18"/>
                <w:szCs w:val="18"/>
              </w:rPr>
              <w:t>(Q4 2025)</w:t>
            </w:r>
          </w:p>
        </w:tc>
        <w:tc>
          <w:tcPr>
            <w:tcW w:w="4678"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0166D0FC" w14:textId="77777777">
            <w:pPr>
              <w:rPr>
                <w:rFonts w:ascii="Verdana" w:hAnsi="Verdana"/>
                <w:color w:val="000000" w:themeColor="text1"/>
                <w:sz w:val="18"/>
                <w:szCs w:val="18"/>
              </w:rPr>
            </w:pPr>
            <w:r w:rsidRPr="00D76BC8">
              <w:rPr>
                <w:rFonts w:ascii="Verdana" w:hAnsi="Verdana"/>
                <w:color w:val="000000" w:themeColor="text1"/>
                <w:sz w:val="18"/>
                <w:szCs w:val="18"/>
              </w:rPr>
              <w:t xml:space="preserve">Onder de Asiel- en migratiebeheerverordening (art. 8), AMMR, dient de Commissie een </w:t>
            </w:r>
          </w:p>
          <w:p w:rsidRPr="00D76BC8" w:rsidR="004C4633" w:rsidP="007C26FD" w:rsidRDefault="004C4633" w14:paraId="3CD6E849" w14:textId="4147F3A6">
            <w:pPr>
              <w:rPr>
                <w:rFonts w:ascii="Verdana" w:hAnsi="Verdana"/>
                <w:color w:val="000000" w:themeColor="text1"/>
                <w:sz w:val="18"/>
                <w:szCs w:val="18"/>
              </w:rPr>
            </w:pPr>
            <w:r w:rsidRPr="00D76BC8">
              <w:rPr>
                <w:rFonts w:ascii="Verdana" w:hAnsi="Verdana"/>
                <w:color w:val="000000" w:themeColor="text1"/>
                <w:sz w:val="18"/>
                <w:szCs w:val="18"/>
              </w:rPr>
              <w:t xml:space="preserve">vijfjarige Europese strategie voor asiel- en migratiebeheer op te stellen. De strategie wordt uiterlijk op 12 december 2025 vastgesteld en is gebaseerd op de nationale strategieën van lidstaten. In deze nationale strategieën wordt een aanpak vastgesteld </w:t>
            </w:r>
            <w:r w:rsidR="00550C27">
              <w:rPr>
                <w:rFonts w:ascii="Verdana" w:hAnsi="Verdana"/>
                <w:color w:val="000000" w:themeColor="text1"/>
                <w:sz w:val="18"/>
                <w:szCs w:val="18"/>
              </w:rPr>
              <w:t>gericht op</w:t>
            </w:r>
            <w:r w:rsidRPr="00D76BC8">
              <w:rPr>
                <w:rFonts w:ascii="Verdana" w:hAnsi="Verdana"/>
                <w:color w:val="000000" w:themeColor="text1"/>
                <w:sz w:val="18"/>
                <w:szCs w:val="18"/>
              </w:rPr>
              <w:t xml:space="preserve"> </w:t>
            </w:r>
            <w:r w:rsidR="00550C27">
              <w:rPr>
                <w:rFonts w:ascii="Verdana" w:hAnsi="Verdana"/>
                <w:color w:val="000000" w:themeColor="text1"/>
                <w:sz w:val="18"/>
                <w:szCs w:val="18"/>
              </w:rPr>
              <w:t>het verzekeren van voldoende</w:t>
            </w:r>
            <w:r w:rsidRPr="00D76BC8">
              <w:rPr>
                <w:rFonts w:ascii="Verdana" w:hAnsi="Verdana"/>
                <w:color w:val="000000" w:themeColor="text1"/>
                <w:sz w:val="18"/>
                <w:szCs w:val="18"/>
              </w:rPr>
              <w:t xml:space="preserve"> capaciteit om hun asiel- en migratiebeheersysteem doeltreffend uit te voeren, met volledige naleving van </w:t>
            </w:r>
          </w:p>
          <w:p w:rsidRPr="00D76BC8" w:rsidR="004C4633" w:rsidP="007C26FD" w:rsidRDefault="004C4633" w14:paraId="1BD61BBF" w14:textId="3755B14E">
            <w:pPr>
              <w:rPr>
                <w:rFonts w:ascii="Verdana" w:hAnsi="Verdana" w:cstheme="minorHAnsi"/>
                <w:color w:val="000000"/>
                <w:sz w:val="18"/>
                <w:szCs w:val="18"/>
              </w:rPr>
            </w:pPr>
            <w:r w:rsidRPr="00D76BC8">
              <w:rPr>
                <w:rFonts w:ascii="Verdana" w:hAnsi="Verdana"/>
                <w:color w:val="000000" w:themeColor="text1"/>
                <w:sz w:val="18"/>
                <w:szCs w:val="18"/>
              </w:rPr>
              <w:t xml:space="preserve">hun verplichtingen uit hoofde van het Unierecht. Lidstaten moeten dit uiterlijk voor 12 juni 2025 met de Commissie delen. </w:t>
            </w:r>
          </w:p>
        </w:tc>
        <w:tc>
          <w:tcPr>
            <w:tcW w:w="5953"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7FF32B99" w14:textId="6D7FBC93">
            <w:pPr>
              <w:rPr>
                <w:rFonts w:ascii="Verdana" w:hAnsi="Verdana" w:cstheme="minorHAnsi"/>
                <w:color w:val="000000"/>
                <w:sz w:val="18"/>
                <w:szCs w:val="18"/>
              </w:rPr>
            </w:pPr>
            <w:r w:rsidRPr="00D76BC8">
              <w:rPr>
                <w:rFonts w:ascii="Verdana" w:hAnsi="Verdana" w:cstheme="minorBidi"/>
                <w:color w:val="000000" w:themeColor="text1"/>
                <w:sz w:val="18"/>
                <w:szCs w:val="18"/>
              </w:rPr>
              <w:t xml:space="preserve">Het kabinet ziet de langetermijnstrategie als belangrijk onderdeel van een goede en effectieve implementatie van het </w:t>
            </w:r>
            <w:r w:rsidRPr="009E4740" w:rsidR="0086334D">
              <w:rPr>
                <w:rFonts w:ascii="Verdana" w:hAnsi="Verdana" w:cstheme="minorHAnsi"/>
                <w:sz w:val="18"/>
                <w:szCs w:val="18"/>
              </w:rPr>
              <w:t>Europese migratie- en asiel</w:t>
            </w:r>
            <w:r w:rsidR="0086334D">
              <w:rPr>
                <w:rFonts w:ascii="Verdana" w:hAnsi="Verdana" w:cstheme="minorHAnsi"/>
                <w:sz w:val="18"/>
                <w:szCs w:val="18"/>
              </w:rPr>
              <w:t xml:space="preserve"> </w:t>
            </w:r>
            <w:r w:rsidR="0086334D">
              <w:rPr>
                <w:rFonts w:ascii="Verdana" w:hAnsi="Verdana" w:cstheme="minorBidi"/>
                <w:color w:val="000000" w:themeColor="text1"/>
                <w:sz w:val="18"/>
                <w:szCs w:val="18"/>
              </w:rPr>
              <w:t>p</w:t>
            </w:r>
            <w:r w:rsidRPr="00D76BC8">
              <w:rPr>
                <w:rFonts w:ascii="Verdana" w:hAnsi="Verdana" w:cstheme="minorBidi"/>
                <w:color w:val="000000" w:themeColor="text1"/>
                <w:sz w:val="18"/>
                <w:szCs w:val="18"/>
              </w:rPr>
              <w:t xml:space="preserve">act. Het biedt inzicht in hoe lidstaten ervoor zorgen dat zij hun asiel- en migratiebeheer ingericht hebben en draagt bij aan een effectief migratiebeheer in de EU en een strategische discussie daarover. Het kabinet werkt op dit moment aan de nationale strategie.  </w:t>
            </w:r>
            <w:r w:rsidRPr="00D76BC8">
              <w:rPr>
                <w:rFonts w:ascii="Verdana" w:hAnsi="Verdana" w:cstheme="minorBidi"/>
                <w:b/>
                <w:bCs/>
                <w:color w:val="000000" w:themeColor="text1"/>
                <w:sz w:val="18"/>
                <w:szCs w:val="18"/>
              </w:rPr>
              <w:t xml:space="preserve"> </w:t>
            </w:r>
          </w:p>
        </w:tc>
        <w:tc>
          <w:tcPr>
            <w:tcW w:w="1843" w:type="dxa"/>
            <w:tcBorders>
              <w:top w:val="single" w:color="auto" w:sz="4" w:space="0"/>
              <w:left w:val="single" w:color="auto" w:sz="4" w:space="0"/>
              <w:bottom w:val="single" w:color="auto" w:sz="4" w:space="0"/>
              <w:right w:val="single" w:color="auto" w:sz="4" w:space="0"/>
            </w:tcBorders>
          </w:tcPr>
          <w:p w:rsidRPr="00D76BC8" w:rsidR="004C4633" w:rsidP="007C26FD" w:rsidRDefault="004C4633" w14:paraId="2EDC9C25" w14:textId="66E95885">
            <w:pPr>
              <w:rPr>
                <w:rFonts w:ascii="Verdana" w:hAnsi="Verdana" w:cstheme="minorHAnsi"/>
                <w:color w:val="000000"/>
                <w:sz w:val="18"/>
                <w:szCs w:val="18"/>
                <w:lang w:val="en-US"/>
              </w:rPr>
            </w:pPr>
            <w:proofErr w:type="spellStart"/>
            <w:r w:rsidRPr="00D76BC8">
              <w:rPr>
                <w:rFonts w:ascii="Verdana" w:hAnsi="Verdana" w:cstheme="minorHAnsi"/>
                <w:color w:val="000000"/>
                <w:sz w:val="18"/>
                <w:szCs w:val="18"/>
                <w:lang w:val="en-US"/>
              </w:rPr>
              <w:t>Niet-wetgevend</w:t>
            </w:r>
            <w:proofErr w:type="spellEnd"/>
          </w:p>
        </w:tc>
      </w:tr>
    </w:tbl>
    <w:p w:rsidRPr="00D76BC8" w:rsidR="00BC4B31" w:rsidP="007C26FD" w:rsidRDefault="00BC4B31" w14:paraId="1C9F34A0" w14:textId="07232AC7">
      <w:pPr>
        <w:spacing w:line="240" w:lineRule="auto"/>
        <w:rPr>
          <w:rFonts w:ascii="Verdana" w:hAnsi="Verdana"/>
          <w:b/>
          <w:bCs/>
          <w:sz w:val="18"/>
          <w:szCs w:val="18"/>
          <w:lang w:val="en-US"/>
        </w:rPr>
      </w:pPr>
    </w:p>
    <w:p w:rsidR="00D76BC8" w:rsidP="007C26FD" w:rsidRDefault="00D76BC8" w14:paraId="01A0080D" w14:textId="77777777">
      <w:pPr>
        <w:rPr>
          <w:rFonts w:ascii="Verdana" w:hAnsi="Verdana"/>
          <w:b/>
          <w:bCs/>
          <w:sz w:val="18"/>
          <w:szCs w:val="18"/>
        </w:rPr>
      </w:pPr>
      <w:r>
        <w:rPr>
          <w:rFonts w:ascii="Verdana" w:hAnsi="Verdana"/>
          <w:b/>
          <w:bCs/>
          <w:sz w:val="18"/>
          <w:szCs w:val="18"/>
        </w:rPr>
        <w:br w:type="page"/>
      </w:r>
    </w:p>
    <w:p w:rsidRPr="00D76BC8" w:rsidR="00530C15" w:rsidP="007C26FD" w:rsidRDefault="007E5965" w14:paraId="510BDA50" w14:textId="431116AF">
      <w:pPr>
        <w:pStyle w:val="NormalWeb"/>
        <w:rPr>
          <w:rFonts w:ascii="Verdana" w:hAnsi="Verdana" w:eastAsiaTheme="minorHAnsi" w:cstheme="minorBidi"/>
          <w:b/>
          <w:bCs/>
          <w:sz w:val="18"/>
          <w:szCs w:val="18"/>
          <w:lang w:eastAsia="en-US"/>
        </w:rPr>
      </w:pPr>
      <w:r w:rsidRPr="00D76BC8">
        <w:rPr>
          <w:rFonts w:ascii="Verdana" w:hAnsi="Verdana" w:eastAsiaTheme="minorHAnsi" w:cstheme="minorBidi"/>
          <w:b/>
          <w:bCs/>
          <w:sz w:val="18"/>
          <w:szCs w:val="18"/>
          <w:lang w:eastAsia="en-US"/>
        </w:rPr>
        <w:lastRenderedPageBreak/>
        <w:t xml:space="preserve">Prioriteit 3: </w:t>
      </w:r>
      <w:r w:rsidRPr="00D76BC8" w:rsidR="00BC4B31">
        <w:rPr>
          <w:rFonts w:ascii="Verdana" w:hAnsi="Verdana" w:eastAsiaTheme="minorHAnsi" w:cstheme="minorBidi"/>
          <w:b/>
          <w:bCs/>
          <w:sz w:val="18"/>
          <w:szCs w:val="18"/>
          <w:lang w:eastAsia="en-US"/>
        </w:rPr>
        <w:t>Mensen ondersteunen, onze samenlevingen versterken en ons sociaal model verbeteren</w:t>
      </w:r>
    </w:p>
    <w:tbl>
      <w:tblPr>
        <w:tblStyle w:val="TableGrid"/>
        <w:tblW w:w="15451" w:type="dxa"/>
        <w:tblInd w:w="-5" w:type="dxa"/>
        <w:tblLayout w:type="fixed"/>
        <w:tblLook w:val="04A0" w:firstRow="1" w:lastRow="0" w:firstColumn="1" w:lastColumn="0" w:noHBand="0" w:noVBand="1"/>
      </w:tblPr>
      <w:tblGrid>
        <w:gridCol w:w="567"/>
        <w:gridCol w:w="2410"/>
        <w:gridCol w:w="4678"/>
        <w:gridCol w:w="5953"/>
        <w:gridCol w:w="1843"/>
      </w:tblGrid>
      <w:tr w:rsidRPr="00D76BC8" w:rsidR="0088029E" w:rsidTr="000A5CE8" w14:paraId="008A2E3B" w14:textId="77777777">
        <w:trPr>
          <w:trHeight w:val="634"/>
        </w:trPr>
        <w:tc>
          <w:tcPr>
            <w:tcW w:w="567" w:type="dxa"/>
            <w:tcBorders>
              <w:top w:val="single" w:color="auto" w:sz="4" w:space="0"/>
              <w:left w:val="single" w:color="auto" w:sz="4" w:space="0"/>
              <w:bottom w:val="single" w:color="auto" w:sz="4" w:space="0"/>
              <w:right w:val="single" w:color="auto" w:sz="4" w:space="0"/>
            </w:tcBorders>
          </w:tcPr>
          <w:p w:rsidRPr="00D76BC8" w:rsidR="0088029E" w:rsidP="007C26FD" w:rsidRDefault="0088029E" w14:paraId="4B195D75" w14:textId="77777777">
            <w:pPr>
              <w:rPr>
                <w:rFonts w:ascii="Verdana" w:hAnsi="Verdana" w:cstheme="minorHAnsi"/>
                <w:b/>
                <w:bCs/>
                <w:sz w:val="18"/>
                <w:szCs w:val="18"/>
              </w:rPr>
            </w:pPr>
            <w:r w:rsidRPr="00D76BC8">
              <w:rPr>
                <w:rFonts w:ascii="Verdana" w:hAnsi="Verdana" w:cstheme="minorHAnsi"/>
                <w:b/>
                <w:bCs/>
                <w:sz w:val="18"/>
                <w:szCs w:val="18"/>
              </w:rPr>
              <w:t>No.</w:t>
            </w:r>
          </w:p>
        </w:tc>
        <w:tc>
          <w:tcPr>
            <w:tcW w:w="2410" w:type="dxa"/>
            <w:tcBorders>
              <w:top w:val="single" w:color="auto" w:sz="4" w:space="0"/>
              <w:left w:val="single" w:color="auto" w:sz="4" w:space="0"/>
              <w:bottom w:val="single" w:color="auto" w:sz="4" w:space="0"/>
              <w:right w:val="single" w:color="auto" w:sz="4" w:space="0"/>
            </w:tcBorders>
            <w:hideMark/>
          </w:tcPr>
          <w:p w:rsidRPr="00D76BC8" w:rsidR="0088029E" w:rsidP="007C26FD" w:rsidRDefault="0088029E" w14:paraId="27233263" w14:textId="77777777">
            <w:pPr>
              <w:rPr>
                <w:rFonts w:ascii="Verdana" w:hAnsi="Verdana" w:cstheme="minorHAnsi"/>
                <w:b/>
                <w:bCs/>
                <w:sz w:val="18"/>
                <w:szCs w:val="18"/>
              </w:rPr>
            </w:pPr>
            <w:r w:rsidRPr="00D76BC8">
              <w:rPr>
                <w:rFonts w:ascii="Verdana" w:hAnsi="Verdana" w:cstheme="minorHAnsi"/>
                <w:b/>
                <w:bCs/>
                <w:sz w:val="18"/>
                <w:szCs w:val="18"/>
              </w:rPr>
              <w:t>Titel (publicatiedatum)</w:t>
            </w:r>
          </w:p>
        </w:tc>
        <w:tc>
          <w:tcPr>
            <w:tcW w:w="4678" w:type="dxa"/>
            <w:tcBorders>
              <w:top w:val="single" w:color="auto" w:sz="4" w:space="0"/>
              <w:left w:val="single" w:color="auto" w:sz="4" w:space="0"/>
              <w:bottom w:val="single" w:color="auto" w:sz="4" w:space="0"/>
              <w:right w:val="single" w:color="auto" w:sz="4" w:space="0"/>
            </w:tcBorders>
            <w:hideMark/>
          </w:tcPr>
          <w:p w:rsidRPr="00D76BC8" w:rsidR="0088029E" w:rsidP="007C26FD" w:rsidRDefault="0088029E" w14:paraId="0C50D47D" w14:textId="77777777">
            <w:pPr>
              <w:rPr>
                <w:rFonts w:ascii="Verdana" w:hAnsi="Verdana" w:cstheme="minorHAnsi"/>
                <w:b/>
                <w:bCs/>
                <w:sz w:val="18"/>
                <w:szCs w:val="18"/>
              </w:rPr>
            </w:pPr>
            <w:r w:rsidRPr="00D76BC8">
              <w:rPr>
                <w:rFonts w:ascii="Verdana" w:hAnsi="Verdana" w:cstheme="minorHAnsi"/>
                <w:b/>
                <w:bCs/>
                <w:sz w:val="18"/>
                <w:szCs w:val="18"/>
              </w:rPr>
              <w:t>Korte beschrijving</w:t>
            </w:r>
          </w:p>
        </w:tc>
        <w:tc>
          <w:tcPr>
            <w:tcW w:w="5953" w:type="dxa"/>
            <w:tcBorders>
              <w:top w:val="single" w:color="auto" w:sz="4" w:space="0"/>
              <w:left w:val="single" w:color="auto" w:sz="4" w:space="0"/>
              <w:bottom w:val="single" w:color="auto" w:sz="4" w:space="0"/>
              <w:right w:val="single" w:color="auto" w:sz="4" w:space="0"/>
            </w:tcBorders>
            <w:hideMark/>
          </w:tcPr>
          <w:p w:rsidRPr="00D76BC8" w:rsidR="0088029E" w:rsidP="007C26FD" w:rsidRDefault="0088029E" w14:paraId="13F46EB1" w14:textId="77777777">
            <w:pPr>
              <w:rPr>
                <w:rFonts w:ascii="Verdana" w:hAnsi="Verdana" w:cstheme="minorHAnsi"/>
                <w:b/>
                <w:bCs/>
                <w:sz w:val="18"/>
                <w:szCs w:val="18"/>
              </w:rPr>
            </w:pPr>
            <w:r w:rsidRPr="00D76BC8">
              <w:rPr>
                <w:rFonts w:ascii="Verdana" w:hAnsi="Verdana" w:cstheme="minorHAnsi"/>
                <w:b/>
                <w:bCs/>
                <w:sz w:val="18"/>
                <w:szCs w:val="18"/>
              </w:rPr>
              <w:t>Kabinetsappreciatie</w:t>
            </w:r>
          </w:p>
        </w:tc>
        <w:tc>
          <w:tcPr>
            <w:tcW w:w="1843" w:type="dxa"/>
            <w:tcBorders>
              <w:top w:val="single" w:color="auto" w:sz="4" w:space="0"/>
              <w:left w:val="single" w:color="auto" w:sz="4" w:space="0"/>
              <w:bottom w:val="single" w:color="auto" w:sz="4" w:space="0"/>
              <w:right w:val="single" w:color="auto" w:sz="4" w:space="0"/>
            </w:tcBorders>
          </w:tcPr>
          <w:p w:rsidRPr="00D76BC8" w:rsidR="0088029E" w:rsidP="007C26FD" w:rsidRDefault="0088029E" w14:paraId="23474762" w14:textId="77777777">
            <w:pPr>
              <w:rPr>
                <w:rFonts w:ascii="Verdana" w:hAnsi="Verdana" w:cstheme="minorHAnsi"/>
                <w:b/>
                <w:bCs/>
                <w:sz w:val="18"/>
                <w:szCs w:val="18"/>
              </w:rPr>
            </w:pPr>
            <w:r w:rsidRPr="00D76BC8">
              <w:rPr>
                <w:rFonts w:ascii="Verdana" w:hAnsi="Verdana" w:cstheme="minorHAnsi"/>
                <w:b/>
                <w:bCs/>
                <w:sz w:val="18"/>
                <w:szCs w:val="18"/>
              </w:rPr>
              <w:t>Wetgevend/niet-Wetgevend</w:t>
            </w:r>
          </w:p>
        </w:tc>
      </w:tr>
      <w:tr w:rsidRPr="00D76BC8" w:rsidR="0088029E" w:rsidTr="0086334D" w14:paraId="4DEB3788" w14:textId="77777777">
        <w:trPr>
          <w:trHeight w:val="2002"/>
        </w:trPr>
        <w:tc>
          <w:tcPr>
            <w:tcW w:w="567" w:type="dxa"/>
            <w:tcBorders>
              <w:top w:val="single" w:color="auto" w:sz="4" w:space="0"/>
              <w:left w:val="single" w:color="auto" w:sz="4" w:space="0"/>
              <w:bottom w:val="single" w:color="auto" w:sz="4" w:space="0"/>
              <w:right w:val="single" w:color="auto" w:sz="4" w:space="0"/>
            </w:tcBorders>
          </w:tcPr>
          <w:p w:rsidRPr="00D76BC8" w:rsidR="0088029E" w:rsidP="007C26FD" w:rsidRDefault="0068013D" w14:paraId="501C46AE" w14:textId="25E5F541">
            <w:pPr>
              <w:rPr>
                <w:rFonts w:ascii="Verdana" w:hAnsi="Verdana" w:cstheme="minorHAnsi"/>
                <w:sz w:val="18"/>
                <w:szCs w:val="18"/>
                <w:lang w:val="en-US"/>
              </w:rPr>
            </w:pPr>
            <w:r w:rsidRPr="00D76BC8">
              <w:rPr>
                <w:rFonts w:ascii="Verdana" w:hAnsi="Verdana" w:cstheme="minorHAnsi"/>
                <w:sz w:val="18"/>
                <w:szCs w:val="18"/>
                <w:lang w:val="en-US"/>
              </w:rPr>
              <w:t>29</w:t>
            </w:r>
            <w:r w:rsidRPr="00D76BC8" w:rsidR="0088029E">
              <w:rPr>
                <w:rFonts w:ascii="Verdana" w:hAnsi="Verdana" w:cstheme="minorHAnsi"/>
                <w:sz w:val="18"/>
                <w:szCs w:val="18"/>
                <w:lang w:val="en-US"/>
              </w:rPr>
              <w:t>.</w:t>
            </w:r>
          </w:p>
        </w:tc>
        <w:tc>
          <w:tcPr>
            <w:tcW w:w="2410" w:type="dxa"/>
            <w:tcBorders>
              <w:top w:val="single" w:color="auto" w:sz="4" w:space="0"/>
              <w:left w:val="single" w:color="auto" w:sz="4" w:space="0"/>
              <w:bottom w:val="single" w:color="auto" w:sz="4" w:space="0"/>
              <w:right w:val="single" w:color="auto" w:sz="4" w:space="0"/>
            </w:tcBorders>
          </w:tcPr>
          <w:p w:rsidRPr="0086334D" w:rsidR="0088029E" w:rsidP="007C26FD" w:rsidRDefault="009E4740" w14:paraId="67D0525B" w14:textId="587238EE">
            <w:pPr>
              <w:rPr>
                <w:rFonts w:ascii="Verdana" w:hAnsi="Verdana" w:cstheme="minorHAnsi"/>
                <w:sz w:val="18"/>
                <w:szCs w:val="18"/>
              </w:rPr>
            </w:pPr>
            <w:r w:rsidRPr="0086334D">
              <w:rPr>
                <w:rFonts w:ascii="Verdana" w:hAnsi="Verdana" w:cstheme="minorHAnsi"/>
                <w:sz w:val="18"/>
                <w:szCs w:val="18"/>
              </w:rPr>
              <w:t>Een nieuw actieplan voor de uitvoering van de Europese pijler van sociale rechten</w:t>
            </w:r>
            <w:r w:rsidRPr="0086334D" w:rsidDel="009E4740">
              <w:rPr>
                <w:rFonts w:ascii="Verdana" w:hAnsi="Verdana" w:cstheme="minorHAnsi"/>
                <w:sz w:val="18"/>
                <w:szCs w:val="18"/>
              </w:rPr>
              <w:t xml:space="preserve"> </w:t>
            </w:r>
            <w:r w:rsidRPr="0086334D" w:rsidR="0088029E">
              <w:rPr>
                <w:rFonts w:ascii="Verdana" w:hAnsi="Verdana" w:cstheme="minorHAnsi"/>
                <w:sz w:val="18"/>
                <w:szCs w:val="18"/>
              </w:rPr>
              <w:t>(Q4 2025)</w:t>
            </w:r>
          </w:p>
        </w:tc>
        <w:tc>
          <w:tcPr>
            <w:tcW w:w="4678" w:type="dxa"/>
            <w:tcBorders>
              <w:top w:val="single" w:color="auto" w:sz="4" w:space="0"/>
              <w:left w:val="single" w:color="auto" w:sz="4" w:space="0"/>
              <w:bottom w:val="single" w:color="auto" w:sz="4" w:space="0"/>
              <w:right w:val="single" w:color="auto" w:sz="4" w:space="0"/>
            </w:tcBorders>
          </w:tcPr>
          <w:p w:rsidRPr="00D76BC8" w:rsidR="0088029E" w:rsidP="007C26FD" w:rsidRDefault="00D76BC8" w14:paraId="3DF46DDC" w14:textId="1C3F2DA1">
            <w:pPr>
              <w:rPr>
                <w:rFonts w:ascii="Verdana" w:hAnsi="Verdana" w:cstheme="minorHAnsi"/>
                <w:color w:val="000000"/>
                <w:sz w:val="18"/>
                <w:szCs w:val="18"/>
              </w:rPr>
            </w:pPr>
            <w:r w:rsidRPr="00D76BC8">
              <w:rPr>
                <w:rFonts w:ascii="Verdana" w:hAnsi="Verdana"/>
                <w:sz w:val="18"/>
                <w:szCs w:val="18"/>
              </w:rPr>
              <w:t xml:space="preserve">De Commissie kondigt aan gedeelde uitdagingen rond werkgelegenheid, vaardigheden en sociale kwestie te willen adresseren </w:t>
            </w:r>
            <w:r w:rsidR="00E97EA0">
              <w:rPr>
                <w:rFonts w:ascii="Verdana" w:hAnsi="Verdana"/>
                <w:sz w:val="18"/>
                <w:szCs w:val="18"/>
              </w:rPr>
              <w:t>en stelt voor dit te doen door</w:t>
            </w:r>
            <w:r w:rsidR="009E4740">
              <w:rPr>
                <w:rFonts w:ascii="Verdana" w:hAnsi="Verdana"/>
                <w:sz w:val="18"/>
                <w:szCs w:val="18"/>
              </w:rPr>
              <w:t xml:space="preserve"> </w:t>
            </w:r>
            <w:r w:rsidRPr="00D76BC8">
              <w:rPr>
                <w:rFonts w:ascii="Verdana" w:hAnsi="Verdana"/>
                <w:sz w:val="18"/>
                <w:szCs w:val="18"/>
              </w:rPr>
              <w:t xml:space="preserve">verdere implementatie van de principes van de Europese Pijler voor Sociale Rechten middels een nieuw </w:t>
            </w:r>
            <w:r w:rsidR="000A7FE3">
              <w:rPr>
                <w:rFonts w:ascii="Verdana" w:hAnsi="Verdana"/>
                <w:sz w:val="18"/>
                <w:szCs w:val="18"/>
              </w:rPr>
              <w:t>a</w:t>
            </w:r>
            <w:r w:rsidRPr="00D76BC8">
              <w:rPr>
                <w:rFonts w:ascii="Verdana" w:hAnsi="Verdana"/>
                <w:sz w:val="18"/>
                <w:szCs w:val="18"/>
              </w:rPr>
              <w:t>ctieplan.</w:t>
            </w:r>
          </w:p>
        </w:tc>
        <w:tc>
          <w:tcPr>
            <w:tcW w:w="5953" w:type="dxa"/>
            <w:tcBorders>
              <w:top w:val="single" w:color="auto" w:sz="4" w:space="0"/>
              <w:left w:val="single" w:color="auto" w:sz="4" w:space="0"/>
              <w:bottom w:val="single" w:color="auto" w:sz="4" w:space="0"/>
              <w:right w:val="single" w:color="auto" w:sz="4" w:space="0"/>
            </w:tcBorders>
          </w:tcPr>
          <w:p w:rsidRPr="00D76BC8" w:rsidR="0088029E" w:rsidP="007C26FD" w:rsidRDefault="00D76BC8" w14:paraId="652773FA" w14:textId="5E876CC7">
            <w:pPr>
              <w:spacing w:after="160"/>
              <w:rPr>
                <w:rFonts w:ascii="Verdana" w:hAnsi="Verdana" w:eastAsiaTheme="minorHAnsi" w:cstheme="minorBidi"/>
                <w:sz w:val="18"/>
                <w:szCs w:val="18"/>
                <w:lang w:eastAsia="en-US"/>
              </w:rPr>
            </w:pPr>
            <w:r w:rsidRPr="00D76BC8">
              <w:rPr>
                <w:rFonts w:ascii="Verdana" w:hAnsi="Verdana"/>
                <w:sz w:val="18"/>
                <w:szCs w:val="18"/>
              </w:rPr>
              <w:t xml:space="preserve">Het kabinet ziet uit naar het </w:t>
            </w:r>
            <w:r w:rsidR="000C6048">
              <w:rPr>
                <w:rFonts w:ascii="Verdana" w:hAnsi="Verdana"/>
                <w:sz w:val="18"/>
                <w:szCs w:val="18"/>
              </w:rPr>
              <w:t>a</w:t>
            </w:r>
            <w:r w:rsidRPr="00D76BC8">
              <w:rPr>
                <w:rFonts w:ascii="Verdana" w:hAnsi="Verdana"/>
                <w:sz w:val="18"/>
                <w:szCs w:val="18"/>
              </w:rPr>
              <w:t>ctieplan. Het kabinet beoordeelt de toegevoegde waarde van initiatieven in het sociale- en werkgelegenheidsdomein in de kern op het feit of ze bijdragen aan opwaartse sociaaleconomische convergentie en/of een gelijk speelveld tussen lidstaten, bedrijven en werkenden. Het kabinet acht het daarom van belang om de verdere invulling van de sociale en werkgelegenheidsdimensie van de Unie proactief te beïnvloeden en zal daartoe de eigen prioriteiten in de Brusselse discussies (blijven) inbrengen.</w:t>
            </w:r>
          </w:p>
        </w:tc>
        <w:tc>
          <w:tcPr>
            <w:tcW w:w="1843" w:type="dxa"/>
            <w:tcBorders>
              <w:top w:val="single" w:color="auto" w:sz="4" w:space="0"/>
              <w:left w:val="single" w:color="auto" w:sz="4" w:space="0"/>
              <w:bottom w:val="single" w:color="auto" w:sz="4" w:space="0"/>
              <w:right w:val="single" w:color="auto" w:sz="4" w:space="0"/>
            </w:tcBorders>
          </w:tcPr>
          <w:p w:rsidRPr="00D76BC8" w:rsidR="0088029E" w:rsidP="007C26FD" w:rsidRDefault="0088029E" w14:paraId="35991C9B" w14:textId="77777777">
            <w:pPr>
              <w:rPr>
                <w:rFonts w:ascii="Verdana" w:hAnsi="Verdana" w:cstheme="minorHAnsi"/>
                <w:color w:val="000000"/>
                <w:sz w:val="18"/>
                <w:szCs w:val="18"/>
              </w:rPr>
            </w:pPr>
            <w:r w:rsidRPr="00D76BC8">
              <w:rPr>
                <w:rFonts w:ascii="Verdana" w:hAnsi="Verdana" w:cstheme="minorHAnsi"/>
                <w:color w:val="000000"/>
                <w:sz w:val="18"/>
                <w:szCs w:val="18"/>
              </w:rPr>
              <w:t>Niet-wetgevend</w:t>
            </w:r>
          </w:p>
        </w:tc>
      </w:tr>
      <w:tr w:rsidRPr="00D76BC8" w:rsidR="0088029E" w:rsidTr="000A5CE8" w14:paraId="3D56DA32"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88029E" w:rsidP="007C26FD" w:rsidRDefault="0088029E" w14:paraId="53BE3259" w14:textId="1BDB71F7">
            <w:pPr>
              <w:rPr>
                <w:rFonts w:ascii="Verdana" w:hAnsi="Verdana" w:cstheme="minorHAnsi"/>
                <w:sz w:val="18"/>
                <w:szCs w:val="18"/>
                <w:lang w:val="en-US"/>
              </w:rPr>
            </w:pPr>
            <w:r w:rsidRPr="00D76BC8">
              <w:rPr>
                <w:rFonts w:ascii="Verdana" w:hAnsi="Verdana" w:cstheme="minorHAnsi"/>
                <w:sz w:val="18"/>
                <w:szCs w:val="18"/>
                <w:lang w:val="en-US"/>
              </w:rPr>
              <w:t>3</w:t>
            </w:r>
            <w:r w:rsidRPr="00D76BC8" w:rsidR="0068013D">
              <w:rPr>
                <w:rFonts w:ascii="Verdana" w:hAnsi="Verdana" w:cstheme="minorHAnsi"/>
                <w:sz w:val="18"/>
                <w:szCs w:val="18"/>
                <w:lang w:val="en-US"/>
              </w:rPr>
              <w:t>0</w:t>
            </w:r>
            <w:r w:rsidRPr="00D76BC8">
              <w:rPr>
                <w:rFonts w:ascii="Verdana" w:hAnsi="Verdana" w:cstheme="minorHAnsi"/>
                <w:sz w:val="18"/>
                <w:szCs w:val="18"/>
                <w:lang w:val="en-US"/>
              </w:rPr>
              <w:t>.</w:t>
            </w:r>
          </w:p>
        </w:tc>
        <w:tc>
          <w:tcPr>
            <w:tcW w:w="2410" w:type="dxa"/>
            <w:tcBorders>
              <w:top w:val="single" w:color="auto" w:sz="4" w:space="0"/>
              <w:left w:val="single" w:color="auto" w:sz="4" w:space="0"/>
              <w:bottom w:val="single" w:color="auto" w:sz="4" w:space="0"/>
              <w:right w:val="single" w:color="auto" w:sz="4" w:space="0"/>
            </w:tcBorders>
          </w:tcPr>
          <w:p w:rsidRPr="0086334D" w:rsidR="0088029E" w:rsidP="007C26FD" w:rsidRDefault="009E4740" w14:paraId="429E6749" w14:textId="3B5EFC2D">
            <w:pPr>
              <w:rPr>
                <w:rFonts w:ascii="Verdana" w:hAnsi="Verdana" w:cstheme="minorHAnsi"/>
                <w:b/>
                <w:bCs/>
                <w:sz w:val="18"/>
                <w:szCs w:val="18"/>
              </w:rPr>
            </w:pPr>
            <w:r w:rsidRPr="009E4740">
              <w:rPr>
                <w:rFonts w:ascii="Verdana" w:hAnsi="Verdana"/>
                <w:sz w:val="18"/>
                <w:szCs w:val="18"/>
              </w:rPr>
              <w:t>Routekaart voor hoogwaardige banen</w:t>
            </w:r>
            <w:r w:rsidRPr="009E4740" w:rsidDel="009E4740">
              <w:rPr>
                <w:rFonts w:ascii="Verdana" w:hAnsi="Verdana"/>
                <w:sz w:val="18"/>
                <w:szCs w:val="18"/>
              </w:rPr>
              <w:t xml:space="preserve"> </w:t>
            </w:r>
            <w:r w:rsidRPr="0086334D" w:rsidR="0088029E">
              <w:rPr>
                <w:rFonts w:ascii="Verdana" w:hAnsi="Verdana" w:cstheme="minorHAnsi"/>
                <w:sz w:val="18"/>
                <w:szCs w:val="18"/>
              </w:rPr>
              <w:t>(Q4 2025)</w:t>
            </w:r>
          </w:p>
        </w:tc>
        <w:tc>
          <w:tcPr>
            <w:tcW w:w="4678" w:type="dxa"/>
            <w:tcBorders>
              <w:top w:val="single" w:color="auto" w:sz="4" w:space="0"/>
              <w:left w:val="single" w:color="auto" w:sz="4" w:space="0"/>
              <w:bottom w:val="single" w:color="auto" w:sz="4" w:space="0"/>
              <w:right w:val="single" w:color="auto" w:sz="4" w:space="0"/>
            </w:tcBorders>
          </w:tcPr>
          <w:p w:rsidRPr="00D76BC8" w:rsidR="0088029E" w:rsidP="007C26FD" w:rsidRDefault="00D76BC8" w14:paraId="51ED2506" w14:textId="64D6B84B">
            <w:pPr>
              <w:rPr>
                <w:rFonts w:ascii="Verdana" w:hAnsi="Verdana" w:cstheme="minorHAnsi"/>
                <w:color w:val="000000"/>
                <w:sz w:val="18"/>
                <w:szCs w:val="18"/>
              </w:rPr>
            </w:pPr>
            <w:r w:rsidRPr="00D76BC8">
              <w:rPr>
                <w:rFonts w:ascii="Verdana" w:hAnsi="Verdana"/>
                <w:sz w:val="18"/>
                <w:szCs w:val="18"/>
              </w:rPr>
              <w:t>De Commissie kondigt een routekaart aan om kwaliteitsbanen te garanderen, met aandacht voor fatsoenlijke arbeidsomstandigheden, hoge normen voor gezondheid en veiligheid en collectieve onderhandelingen.</w:t>
            </w:r>
          </w:p>
        </w:tc>
        <w:tc>
          <w:tcPr>
            <w:tcW w:w="5953" w:type="dxa"/>
            <w:tcBorders>
              <w:top w:val="single" w:color="auto" w:sz="4" w:space="0"/>
              <w:left w:val="single" w:color="auto" w:sz="4" w:space="0"/>
              <w:bottom w:val="single" w:color="auto" w:sz="4" w:space="0"/>
              <w:right w:val="single" w:color="auto" w:sz="4" w:space="0"/>
            </w:tcBorders>
          </w:tcPr>
          <w:p w:rsidRPr="00D76BC8" w:rsidR="0088029E" w:rsidP="007C26FD" w:rsidRDefault="00D76BC8" w14:paraId="11B2384A" w14:textId="0523CAE5">
            <w:pPr>
              <w:rPr>
                <w:rFonts w:ascii="Verdana" w:hAnsi="Verdana" w:cstheme="minorHAnsi"/>
                <w:color w:val="000000"/>
                <w:sz w:val="18"/>
                <w:szCs w:val="18"/>
              </w:rPr>
            </w:pPr>
            <w:r w:rsidRPr="00D76BC8">
              <w:rPr>
                <w:rFonts w:ascii="Verdana" w:hAnsi="Verdana"/>
                <w:sz w:val="18"/>
                <w:szCs w:val="18"/>
              </w:rPr>
              <w:t xml:space="preserve">Het kabinet verwelkomt de aandacht </w:t>
            </w:r>
            <w:r w:rsidR="00E97EA0">
              <w:rPr>
                <w:rFonts w:ascii="Verdana" w:hAnsi="Verdana"/>
                <w:sz w:val="18"/>
                <w:szCs w:val="18"/>
              </w:rPr>
              <w:t xml:space="preserve">kwalitatief hoogwaardig werk </w:t>
            </w:r>
            <w:r w:rsidRPr="00D76BC8">
              <w:rPr>
                <w:rFonts w:ascii="Verdana" w:hAnsi="Verdana"/>
                <w:sz w:val="18"/>
                <w:szCs w:val="18"/>
              </w:rPr>
              <w:t xml:space="preserve">in lijn met de eigen inzet op </w:t>
            </w:r>
            <w:r w:rsidR="00E97EA0">
              <w:rPr>
                <w:rFonts w:ascii="Verdana" w:hAnsi="Verdana"/>
                <w:sz w:val="18"/>
                <w:szCs w:val="18"/>
              </w:rPr>
              <w:t>dit onderwerp</w:t>
            </w:r>
            <w:r w:rsidRPr="00D76BC8">
              <w:rPr>
                <w:rFonts w:ascii="Verdana" w:hAnsi="Verdana"/>
                <w:sz w:val="18"/>
                <w:szCs w:val="18"/>
              </w:rPr>
              <w:t xml:space="preserve">. Mede in het licht van arbeidsmarktkrapte kan kwalitatief goed werk bijdragen aan duurzame inzetbaarheid van de beroepsbevolking op de arbeidsmarkt. Ook een betere bescherming van werkenden op het gebied van gezonde en veilige werkomstandigheden draagt bij aan het versterken van de capaciteiten van onze beroepsbevolking en is daarmee een investering in menselijk kapitaal, hetgeen aansluit bij de Nederlandse prioriteiten op sociaal- en werkgelegenheidsgebied. </w:t>
            </w:r>
          </w:p>
        </w:tc>
        <w:tc>
          <w:tcPr>
            <w:tcW w:w="1843" w:type="dxa"/>
            <w:tcBorders>
              <w:top w:val="single" w:color="auto" w:sz="4" w:space="0"/>
              <w:left w:val="single" w:color="auto" w:sz="4" w:space="0"/>
              <w:bottom w:val="single" w:color="auto" w:sz="4" w:space="0"/>
              <w:right w:val="single" w:color="auto" w:sz="4" w:space="0"/>
            </w:tcBorders>
          </w:tcPr>
          <w:p w:rsidRPr="00D76BC8" w:rsidR="0088029E" w:rsidP="007C26FD" w:rsidRDefault="0088029E" w14:paraId="7D2631F1" w14:textId="77777777">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tc>
      </w:tr>
      <w:tr w:rsidRPr="00D76BC8" w:rsidR="00D76BC8" w:rsidTr="000A5CE8" w14:paraId="3BF19C9D"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D76BC8" w:rsidP="007C26FD" w:rsidRDefault="00D76BC8" w14:paraId="47FD7C84" w14:textId="7C753A83">
            <w:pPr>
              <w:rPr>
                <w:rFonts w:ascii="Verdana" w:hAnsi="Verdana" w:cstheme="minorHAnsi"/>
                <w:sz w:val="18"/>
                <w:szCs w:val="18"/>
              </w:rPr>
            </w:pPr>
            <w:r w:rsidRPr="00D76BC8">
              <w:rPr>
                <w:rFonts w:ascii="Verdana" w:hAnsi="Verdana" w:cstheme="minorHAnsi"/>
                <w:sz w:val="18"/>
                <w:szCs w:val="18"/>
              </w:rPr>
              <w:t>31.</w:t>
            </w:r>
          </w:p>
        </w:tc>
        <w:tc>
          <w:tcPr>
            <w:tcW w:w="2410" w:type="dxa"/>
            <w:tcBorders>
              <w:top w:val="single" w:color="auto" w:sz="4" w:space="0"/>
              <w:left w:val="single" w:color="auto" w:sz="4" w:space="0"/>
              <w:bottom w:val="single" w:color="auto" w:sz="4" w:space="0"/>
              <w:right w:val="single" w:color="auto" w:sz="4" w:space="0"/>
            </w:tcBorders>
          </w:tcPr>
          <w:p w:rsidRPr="00D76BC8" w:rsidR="00D76BC8" w:rsidP="007C26FD" w:rsidRDefault="003810AC" w14:paraId="5A3468C5" w14:textId="27345C25">
            <w:pPr>
              <w:rPr>
                <w:rFonts w:ascii="Verdana" w:hAnsi="Verdana" w:cstheme="minorHAnsi"/>
                <w:sz w:val="18"/>
                <w:szCs w:val="18"/>
                <w:lang w:val="en-US"/>
              </w:rPr>
            </w:pPr>
            <w:proofErr w:type="spellStart"/>
            <w:r>
              <w:rPr>
                <w:rFonts w:ascii="Verdana" w:hAnsi="Verdana" w:cstheme="minorHAnsi"/>
                <w:sz w:val="18"/>
                <w:szCs w:val="18"/>
                <w:lang w:val="en-US"/>
              </w:rPr>
              <w:t>Unie</w:t>
            </w:r>
            <w:proofErr w:type="spellEnd"/>
            <w:r>
              <w:rPr>
                <w:rFonts w:ascii="Verdana" w:hAnsi="Verdana" w:cstheme="minorHAnsi"/>
                <w:sz w:val="18"/>
                <w:szCs w:val="18"/>
                <w:lang w:val="en-US"/>
              </w:rPr>
              <w:t xml:space="preserve"> van </w:t>
            </w:r>
            <w:proofErr w:type="spellStart"/>
            <w:r>
              <w:rPr>
                <w:rFonts w:ascii="Verdana" w:hAnsi="Verdana" w:cstheme="minorHAnsi"/>
                <w:sz w:val="18"/>
                <w:szCs w:val="18"/>
                <w:lang w:val="en-US"/>
              </w:rPr>
              <w:t>Vaardigheden</w:t>
            </w:r>
            <w:proofErr w:type="spellEnd"/>
            <w:r w:rsidRPr="009E4740" w:rsidDel="009E4740" w:rsidR="009E4740">
              <w:rPr>
                <w:rFonts w:ascii="Verdana" w:hAnsi="Verdana" w:cstheme="minorHAnsi"/>
                <w:sz w:val="18"/>
                <w:szCs w:val="18"/>
                <w:lang w:val="en-US"/>
              </w:rPr>
              <w:t xml:space="preserve"> </w:t>
            </w:r>
            <w:r w:rsidRPr="00D76BC8" w:rsidR="00D76BC8">
              <w:rPr>
                <w:rFonts w:ascii="Verdana" w:hAnsi="Verdana" w:cstheme="minorHAnsi"/>
                <w:sz w:val="18"/>
                <w:szCs w:val="18"/>
                <w:lang w:val="en-US"/>
              </w:rPr>
              <w:t>(Q1 2025)</w:t>
            </w:r>
          </w:p>
        </w:tc>
        <w:tc>
          <w:tcPr>
            <w:tcW w:w="4678" w:type="dxa"/>
            <w:tcBorders>
              <w:top w:val="single" w:color="auto" w:sz="4" w:space="0"/>
              <w:left w:val="single" w:color="auto" w:sz="4" w:space="0"/>
              <w:bottom w:val="single" w:color="auto" w:sz="4" w:space="0"/>
              <w:right w:val="single" w:color="auto" w:sz="4" w:space="0"/>
            </w:tcBorders>
          </w:tcPr>
          <w:p w:rsidRPr="00D76BC8" w:rsidR="00D76BC8" w:rsidP="007C26FD" w:rsidRDefault="00FC1C0C" w14:paraId="18F6D372" w14:textId="3E3A44AF">
            <w:pPr>
              <w:rPr>
                <w:rFonts w:ascii="Verdana" w:hAnsi="Verdana" w:cstheme="minorHAnsi"/>
                <w:sz w:val="18"/>
                <w:szCs w:val="18"/>
              </w:rPr>
            </w:pPr>
            <w:r>
              <w:rPr>
                <w:rFonts w:ascii="Verdana" w:hAnsi="Verdana"/>
                <w:sz w:val="18"/>
                <w:szCs w:val="18"/>
              </w:rPr>
              <w:t xml:space="preserve">Dit </w:t>
            </w:r>
            <w:r w:rsidRPr="00D76BC8" w:rsidR="00D76BC8">
              <w:rPr>
                <w:rFonts w:ascii="Verdana" w:hAnsi="Verdana"/>
                <w:sz w:val="18"/>
                <w:szCs w:val="18"/>
              </w:rPr>
              <w:t xml:space="preserve">initiatief </w:t>
            </w:r>
            <w:r w:rsidR="00C60ADF">
              <w:rPr>
                <w:rFonts w:ascii="Verdana" w:hAnsi="Verdana"/>
                <w:sz w:val="18"/>
                <w:szCs w:val="18"/>
              </w:rPr>
              <w:t>van de Commissie</w:t>
            </w:r>
            <w:r w:rsidRPr="00D76BC8" w:rsidR="00D76BC8">
              <w:rPr>
                <w:rFonts w:ascii="Verdana" w:hAnsi="Verdana"/>
                <w:sz w:val="18"/>
                <w:szCs w:val="18"/>
              </w:rPr>
              <w:t xml:space="preserve"> zal zowel gericht zijn op het voorzien in tekorten op de arbeidsmarkt en een adequaat geschoolde beroepsbevolking, als op onderwijs en opleidingsstelsels die voorzien in kwalitatief hoogwaardig en inclusief onderwijs, opleiding en leven lang ontwikkelen, via voortzetting van het streven naar een Europese onderwijsruimte. </w:t>
            </w:r>
          </w:p>
        </w:tc>
        <w:tc>
          <w:tcPr>
            <w:tcW w:w="5953" w:type="dxa"/>
            <w:tcBorders>
              <w:top w:val="single" w:color="auto" w:sz="4" w:space="0"/>
              <w:left w:val="single" w:color="auto" w:sz="4" w:space="0"/>
              <w:bottom w:val="single" w:color="auto" w:sz="4" w:space="0"/>
              <w:right w:val="single" w:color="auto" w:sz="4" w:space="0"/>
            </w:tcBorders>
          </w:tcPr>
          <w:p w:rsidRPr="00D76BC8" w:rsidR="00D76BC8" w:rsidP="00FC1C0C" w:rsidRDefault="00D76BC8" w14:paraId="6EA59B62" w14:textId="41E0E47D">
            <w:pPr>
              <w:rPr>
                <w:rFonts w:ascii="Verdana" w:hAnsi="Verdana" w:cstheme="minorHAnsi"/>
                <w:sz w:val="18"/>
                <w:szCs w:val="18"/>
              </w:rPr>
            </w:pPr>
            <w:r w:rsidRPr="00D76BC8">
              <w:rPr>
                <w:rFonts w:ascii="Verdana" w:hAnsi="Verdana"/>
                <w:sz w:val="18"/>
                <w:szCs w:val="18"/>
              </w:rPr>
              <w:t xml:space="preserve">Het kabinet verwelkomt de </w:t>
            </w:r>
            <w:r w:rsidR="003810AC">
              <w:rPr>
                <w:rFonts w:ascii="Verdana" w:hAnsi="Verdana" w:cstheme="minorHAnsi"/>
                <w:sz w:val="18"/>
                <w:szCs w:val="18"/>
              </w:rPr>
              <w:t>Unie van Vaardigheden</w:t>
            </w:r>
            <w:r w:rsidRPr="000A7FE3" w:rsidDel="009E4740" w:rsidR="000A7FE3">
              <w:rPr>
                <w:rFonts w:ascii="Verdana" w:hAnsi="Verdana" w:cstheme="minorHAnsi"/>
                <w:sz w:val="18"/>
                <w:szCs w:val="18"/>
              </w:rPr>
              <w:t xml:space="preserve"> </w:t>
            </w:r>
            <w:r w:rsidR="00FC1C0C">
              <w:rPr>
                <w:rFonts w:ascii="Verdana" w:hAnsi="Verdana"/>
                <w:sz w:val="18"/>
                <w:szCs w:val="18"/>
              </w:rPr>
              <w:t xml:space="preserve">en de analyse </w:t>
            </w:r>
            <w:r w:rsidRPr="00D76BC8">
              <w:rPr>
                <w:rFonts w:ascii="Verdana" w:hAnsi="Verdana"/>
                <w:sz w:val="18"/>
                <w:szCs w:val="18"/>
              </w:rPr>
              <w:t>dat talent, vaardigheden en competenties essentieel zijn voor het concurrentievermogen van Europa</w:t>
            </w:r>
            <w:r w:rsidR="00FC1C0C">
              <w:rPr>
                <w:rFonts w:ascii="Verdana" w:hAnsi="Verdana"/>
                <w:sz w:val="18"/>
                <w:szCs w:val="18"/>
              </w:rPr>
              <w:t xml:space="preserve"> (cf. </w:t>
            </w:r>
            <w:r w:rsidR="00C60ADF">
              <w:rPr>
                <w:rFonts w:ascii="Verdana" w:hAnsi="Verdana"/>
                <w:sz w:val="18"/>
                <w:szCs w:val="18"/>
              </w:rPr>
              <w:t xml:space="preserve">het </w:t>
            </w:r>
            <w:proofErr w:type="spellStart"/>
            <w:r w:rsidRPr="00D76BC8" w:rsidR="00FC1C0C">
              <w:rPr>
                <w:rFonts w:ascii="Verdana" w:hAnsi="Verdana"/>
                <w:sz w:val="18"/>
                <w:szCs w:val="18"/>
              </w:rPr>
              <w:t>Draghi</w:t>
            </w:r>
            <w:proofErr w:type="spellEnd"/>
            <w:r w:rsidR="00C60ADF">
              <w:rPr>
                <w:rFonts w:ascii="Verdana" w:hAnsi="Verdana"/>
                <w:sz w:val="18"/>
                <w:szCs w:val="18"/>
              </w:rPr>
              <w:t xml:space="preserve"> rapport</w:t>
            </w:r>
            <w:r w:rsidR="0086334D">
              <w:rPr>
                <w:rStyle w:val="FootnoteReference"/>
                <w:rFonts w:ascii="Verdana" w:hAnsi="Verdana"/>
                <w:sz w:val="18"/>
                <w:szCs w:val="18"/>
              </w:rPr>
              <w:footnoteReference w:id="9"/>
            </w:r>
            <w:r w:rsidRPr="00D76BC8" w:rsidR="00FC1C0C">
              <w:rPr>
                <w:rFonts w:ascii="Verdana" w:hAnsi="Verdana"/>
                <w:sz w:val="18"/>
                <w:szCs w:val="18"/>
              </w:rPr>
              <w:t xml:space="preserve"> en het Concurrentievermogen Kompas</w:t>
            </w:r>
            <w:r w:rsidR="0086334D">
              <w:rPr>
                <w:rStyle w:val="FootnoteReference"/>
                <w:rFonts w:ascii="Verdana" w:hAnsi="Verdana"/>
                <w:sz w:val="18"/>
                <w:szCs w:val="18"/>
              </w:rPr>
              <w:footnoteReference w:id="10"/>
            </w:r>
            <w:r w:rsidR="00FC1C0C">
              <w:rPr>
                <w:rFonts w:ascii="Verdana" w:hAnsi="Verdana"/>
                <w:sz w:val="18"/>
                <w:szCs w:val="18"/>
              </w:rPr>
              <w:t>)</w:t>
            </w:r>
            <w:r w:rsidRPr="00D76BC8">
              <w:rPr>
                <w:rFonts w:ascii="Verdana" w:hAnsi="Verdana"/>
                <w:sz w:val="18"/>
                <w:szCs w:val="18"/>
              </w:rPr>
              <w:t xml:space="preserve">. </w:t>
            </w:r>
            <w:r w:rsidR="00FC1C0C">
              <w:rPr>
                <w:rFonts w:ascii="Verdana" w:hAnsi="Verdana"/>
                <w:sz w:val="18"/>
                <w:szCs w:val="18"/>
              </w:rPr>
              <w:t>Het draagt bij</w:t>
            </w:r>
            <w:r w:rsidRPr="00D76BC8">
              <w:rPr>
                <w:rFonts w:ascii="Verdana" w:hAnsi="Verdana"/>
                <w:sz w:val="18"/>
                <w:szCs w:val="18"/>
              </w:rPr>
              <w:t xml:space="preserve"> aan de aanpak van tekorten op de arbeidsmarkt, verhoging van de arbeidsproductiviteit en verdienvermogen en </w:t>
            </w:r>
            <w:r w:rsidR="00FC1C0C">
              <w:rPr>
                <w:rFonts w:ascii="Verdana" w:hAnsi="Verdana"/>
                <w:sz w:val="18"/>
                <w:szCs w:val="18"/>
              </w:rPr>
              <w:t>het versnellen van de</w:t>
            </w:r>
            <w:r w:rsidRPr="00D76BC8">
              <w:rPr>
                <w:rFonts w:ascii="Verdana" w:hAnsi="Verdana"/>
                <w:sz w:val="18"/>
                <w:szCs w:val="18"/>
              </w:rPr>
              <w:t xml:space="preserve"> transities. </w:t>
            </w:r>
            <w:r w:rsidR="00FC1C0C">
              <w:rPr>
                <w:rFonts w:ascii="Verdana" w:hAnsi="Verdana"/>
                <w:sz w:val="18"/>
                <w:szCs w:val="18"/>
              </w:rPr>
              <w:t xml:space="preserve">Het kabinet vindt dat </w:t>
            </w:r>
            <w:r w:rsidR="00FC1C0C">
              <w:rPr>
                <w:rFonts w:ascii="Verdana" w:hAnsi="Verdana"/>
                <w:sz w:val="18"/>
                <w:szCs w:val="18"/>
                <w:lang w:eastAsia="en-US"/>
              </w:rPr>
              <w:t>de</w:t>
            </w:r>
            <w:r w:rsidRPr="00D76BC8">
              <w:rPr>
                <w:rFonts w:ascii="Verdana" w:hAnsi="Verdana"/>
                <w:sz w:val="18"/>
                <w:szCs w:val="18"/>
              </w:rPr>
              <w:t xml:space="preserve"> samenwerking tussen lidstaten gericht op de Europese onderwijsruimte </w:t>
            </w:r>
            <w:r w:rsidR="00FC1C0C">
              <w:rPr>
                <w:rFonts w:ascii="Verdana" w:hAnsi="Verdana"/>
                <w:sz w:val="18"/>
                <w:szCs w:val="18"/>
              </w:rPr>
              <w:t xml:space="preserve">(2021) </w:t>
            </w:r>
            <w:r w:rsidRPr="00D76BC8">
              <w:rPr>
                <w:rFonts w:ascii="Verdana" w:hAnsi="Verdana"/>
                <w:sz w:val="18"/>
                <w:szCs w:val="18"/>
              </w:rPr>
              <w:t>en de geformuleerde streefdoelen</w:t>
            </w:r>
            <w:r w:rsidR="00FC1C0C">
              <w:rPr>
                <w:rFonts w:ascii="Verdana" w:hAnsi="Verdana"/>
                <w:sz w:val="18"/>
                <w:szCs w:val="18"/>
              </w:rPr>
              <w:t xml:space="preserve"> richting </w:t>
            </w:r>
            <w:r w:rsidRPr="00D76BC8" w:rsidR="00FC1C0C">
              <w:rPr>
                <w:rFonts w:ascii="Verdana" w:hAnsi="Verdana"/>
                <w:sz w:val="18"/>
                <w:szCs w:val="18"/>
              </w:rPr>
              <w:t>2030</w:t>
            </w:r>
            <w:r w:rsidRPr="00D76BC8">
              <w:rPr>
                <w:rFonts w:ascii="Verdana" w:hAnsi="Verdana"/>
                <w:sz w:val="18"/>
                <w:szCs w:val="18"/>
              </w:rPr>
              <w:t xml:space="preserve"> en </w:t>
            </w:r>
            <w:proofErr w:type="spellStart"/>
            <w:r w:rsidRPr="00D76BC8">
              <w:rPr>
                <w:rFonts w:ascii="Verdana" w:hAnsi="Verdana"/>
                <w:sz w:val="18"/>
                <w:szCs w:val="18"/>
              </w:rPr>
              <w:t>governance</w:t>
            </w:r>
            <w:proofErr w:type="spellEnd"/>
            <w:r w:rsidRPr="00D76BC8">
              <w:rPr>
                <w:rFonts w:ascii="Verdana" w:hAnsi="Verdana"/>
                <w:sz w:val="18"/>
                <w:szCs w:val="18"/>
              </w:rPr>
              <w:t xml:space="preserve"> worden voortgezet</w:t>
            </w:r>
            <w:r w:rsidR="00FC1C0C">
              <w:rPr>
                <w:rFonts w:ascii="Verdana" w:hAnsi="Verdana"/>
                <w:sz w:val="18"/>
                <w:szCs w:val="18"/>
              </w:rPr>
              <w:t xml:space="preserve"> (o.a. </w:t>
            </w:r>
            <w:r w:rsidRPr="00D76BC8">
              <w:rPr>
                <w:rFonts w:ascii="Verdana" w:hAnsi="Verdana"/>
                <w:sz w:val="18"/>
                <w:szCs w:val="18"/>
              </w:rPr>
              <w:t>arbeidsmarktbehoeften,</w:t>
            </w:r>
            <w:r w:rsidR="00FC1C0C">
              <w:rPr>
                <w:rFonts w:ascii="Verdana" w:hAnsi="Verdana"/>
                <w:sz w:val="18"/>
                <w:szCs w:val="18"/>
              </w:rPr>
              <w:t xml:space="preserve"> </w:t>
            </w:r>
            <w:r w:rsidRPr="00D76BC8">
              <w:rPr>
                <w:rFonts w:ascii="Verdana" w:hAnsi="Verdana"/>
                <w:sz w:val="18"/>
                <w:szCs w:val="18"/>
              </w:rPr>
              <w:t xml:space="preserve">individuele ontwikkeling, leermobiliteit, kwaliteit en </w:t>
            </w:r>
            <w:r w:rsidR="00FC1C0C">
              <w:rPr>
                <w:rFonts w:ascii="Verdana" w:hAnsi="Verdana"/>
                <w:sz w:val="18"/>
                <w:szCs w:val="18"/>
              </w:rPr>
              <w:t>inclusie).</w:t>
            </w:r>
          </w:p>
        </w:tc>
        <w:tc>
          <w:tcPr>
            <w:tcW w:w="1843" w:type="dxa"/>
            <w:tcBorders>
              <w:top w:val="single" w:color="auto" w:sz="4" w:space="0"/>
              <w:left w:val="single" w:color="auto" w:sz="4" w:space="0"/>
              <w:bottom w:val="single" w:color="auto" w:sz="4" w:space="0"/>
              <w:right w:val="single" w:color="auto" w:sz="4" w:space="0"/>
            </w:tcBorders>
          </w:tcPr>
          <w:p w:rsidRPr="00D76BC8" w:rsidR="00D76BC8" w:rsidP="007C26FD" w:rsidRDefault="00D76BC8" w14:paraId="4F2790FA" w14:textId="48A49141">
            <w:pPr>
              <w:rPr>
                <w:rFonts w:ascii="Verdana" w:hAnsi="Verdana" w:cstheme="minorHAnsi"/>
                <w:color w:val="000000"/>
                <w:sz w:val="18"/>
                <w:szCs w:val="18"/>
              </w:rPr>
            </w:pPr>
            <w:r w:rsidRPr="00D76BC8">
              <w:rPr>
                <w:rFonts w:ascii="Verdana" w:hAnsi="Verdana" w:cstheme="minorHAnsi"/>
                <w:color w:val="000000"/>
                <w:sz w:val="18"/>
                <w:szCs w:val="18"/>
              </w:rPr>
              <w:t>Niet-wetgevend</w:t>
            </w:r>
          </w:p>
        </w:tc>
      </w:tr>
      <w:tr w:rsidRPr="00D76BC8" w:rsidR="000A5CE8" w:rsidTr="000A5CE8" w14:paraId="06646049"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0A5CE8" w:rsidP="007C26FD" w:rsidRDefault="000A5CE8" w14:paraId="3F120C0D" w14:textId="57104CC5">
            <w:pPr>
              <w:rPr>
                <w:rFonts w:ascii="Verdana" w:hAnsi="Verdana" w:cstheme="minorHAnsi"/>
                <w:sz w:val="18"/>
                <w:szCs w:val="18"/>
              </w:rPr>
            </w:pPr>
            <w:r w:rsidRPr="00D76BC8">
              <w:rPr>
                <w:rFonts w:ascii="Verdana" w:hAnsi="Verdana" w:cstheme="minorHAnsi"/>
                <w:color w:val="000000"/>
                <w:sz w:val="18"/>
                <w:szCs w:val="18"/>
              </w:rPr>
              <w:lastRenderedPageBreak/>
              <w:t>32.</w:t>
            </w:r>
          </w:p>
        </w:tc>
        <w:tc>
          <w:tcPr>
            <w:tcW w:w="2410" w:type="dxa"/>
            <w:tcBorders>
              <w:top w:val="single" w:color="auto" w:sz="4" w:space="0"/>
              <w:left w:val="single" w:color="auto" w:sz="4" w:space="0"/>
              <w:bottom w:val="single" w:color="auto" w:sz="4" w:space="0"/>
              <w:right w:val="single" w:color="auto" w:sz="4" w:space="0"/>
            </w:tcBorders>
          </w:tcPr>
          <w:p w:rsidRPr="0086334D" w:rsidR="000A5CE8" w:rsidP="007C26FD" w:rsidRDefault="009E4740" w14:paraId="32652078" w14:textId="66AFA35F">
            <w:pPr>
              <w:rPr>
                <w:rFonts w:ascii="Verdana" w:hAnsi="Verdana" w:cstheme="minorHAnsi"/>
                <w:sz w:val="18"/>
                <w:szCs w:val="18"/>
              </w:rPr>
            </w:pPr>
            <w:r w:rsidRPr="0086334D">
              <w:rPr>
                <w:rFonts w:ascii="Verdana" w:hAnsi="Verdana" w:cstheme="minorHAnsi"/>
                <w:sz w:val="18"/>
                <w:szCs w:val="18"/>
              </w:rPr>
              <w:t>Consumentenagenda 2030, met inbegrip van een actieplan voor consumenten op de eengemaakte markt</w:t>
            </w:r>
            <w:r w:rsidRPr="0086334D" w:rsidDel="009E4740">
              <w:rPr>
                <w:rFonts w:ascii="Verdana" w:hAnsi="Verdana" w:cstheme="minorHAnsi"/>
                <w:sz w:val="18"/>
                <w:szCs w:val="18"/>
              </w:rPr>
              <w:t xml:space="preserve"> </w:t>
            </w:r>
            <w:r w:rsidRPr="0086334D" w:rsidR="000A5CE8">
              <w:rPr>
                <w:rFonts w:ascii="Verdana" w:hAnsi="Verdana" w:cstheme="minorHAnsi"/>
                <w:sz w:val="18"/>
                <w:szCs w:val="18"/>
              </w:rPr>
              <w:t>(Q4 2025)</w:t>
            </w:r>
          </w:p>
        </w:tc>
        <w:tc>
          <w:tcPr>
            <w:tcW w:w="4678" w:type="dxa"/>
            <w:tcBorders>
              <w:top w:val="single" w:color="auto" w:sz="4" w:space="0"/>
              <w:left w:val="single" w:color="auto" w:sz="4" w:space="0"/>
              <w:bottom w:val="single" w:color="auto" w:sz="4" w:space="0"/>
              <w:right w:val="single" w:color="auto" w:sz="4" w:space="0"/>
            </w:tcBorders>
          </w:tcPr>
          <w:p w:rsidRPr="00D76BC8" w:rsidR="000A5CE8" w:rsidP="007C26FD" w:rsidRDefault="000A5CE8" w14:paraId="6C9B7BF3" w14:textId="561BF654">
            <w:pPr>
              <w:rPr>
                <w:rFonts w:ascii="Verdana" w:hAnsi="Verdana" w:cstheme="minorHAnsi"/>
                <w:sz w:val="18"/>
                <w:szCs w:val="18"/>
              </w:rPr>
            </w:pPr>
            <w:r w:rsidRPr="00D76BC8">
              <w:rPr>
                <w:rFonts w:ascii="Verdana" w:hAnsi="Verdana" w:cstheme="minorBidi"/>
                <w:color w:val="000000" w:themeColor="text1"/>
                <w:sz w:val="18"/>
                <w:szCs w:val="18"/>
              </w:rPr>
              <w:t xml:space="preserve">De Commissie </w:t>
            </w:r>
            <w:r w:rsidRPr="00D76BC8">
              <w:rPr>
                <w:rFonts w:ascii="Verdana" w:hAnsi="Verdana" w:eastAsia="Calibri" w:cs="Calibri"/>
                <w:sz w:val="18"/>
                <w:szCs w:val="18"/>
              </w:rPr>
              <w:t xml:space="preserve">is voornemens een nieuwe EU consumentenagenda te publiceren. In </w:t>
            </w:r>
            <w:r w:rsidR="00C206B4">
              <w:rPr>
                <w:rFonts w:ascii="Verdana" w:hAnsi="Verdana" w:eastAsia="Calibri" w:cs="Calibri"/>
                <w:sz w:val="18"/>
                <w:szCs w:val="18"/>
              </w:rPr>
              <w:t>het tweede kwartaal</w:t>
            </w:r>
            <w:r w:rsidRPr="00D76BC8" w:rsidR="00C206B4">
              <w:rPr>
                <w:rFonts w:ascii="Verdana" w:hAnsi="Verdana" w:eastAsia="Calibri" w:cs="Calibri"/>
                <w:sz w:val="18"/>
                <w:szCs w:val="18"/>
              </w:rPr>
              <w:t xml:space="preserve"> </w:t>
            </w:r>
            <w:r w:rsidRPr="00D76BC8">
              <w:rPr>
                <w:rFonts w:ascii="Verdana" w:hAnsi="Verdana" w:eastAsia="Calibri" w:cs="Calibri"/>
                <w:sz w:val="18"/>
                <w:szCs w:val="18"/>
              </w:rPr>
              <w:t xml:space="preserve">van dit jaar zal een publieke consultatie </w:t>
            </w:r>
            <w:r w:rsidRPr="00D76BC8" w:rsidDel="000A5CE8">
              <w:rPr>
                <w:rFonts w:ascii="Verdana" w:hAnsi="Verdana" w:eastAsia="Calibri" w:cs="Calibri"/>
                <w:sz w:val="18"/>
                <w:szCs w:val="18"/>
              </w:rPr>
              <w:t xml:space="preserve">hiervan </w:t>
            </w:r>
            <w:r w:rsidRPr="00D76BC8">
              <w:rPr>
                <w:rFonts w:ascii="Verdana" w:hAnsi="Verdana" w:eastAsia="Calibri" w:cs="Calibri"/>
                <w:sz w:val="18"/>
                <w:szCs w:val="18"/>
              </w:rPr>
              <w:t>hierover plaatsvinden. De Commissie geeft aan dat hierbij een gebalanceerde aanpak wordt gevolgd tussen het beschermen van consumenten en het beperken van administratie lasten van bedrijven.</w:t>
            </w:r>
          </w:p>
        </w:tc>
        <w:tc>
          <w:tcPr>
            <w:tcW w:w="5953" w:type="dxa"/>
            <w:tcBorders>
              <w:top w:val="single" w:color="auto" w:sz="4" w:space="0"/>
              <w:left w:val="single" w:color="auto" w:sz="4" w:space="0"/>
              <w:bottom w:val="single" w:color="auto" w:sz="4" w:space="0"/>
              <w:right w:val="single" w:color="auto" w:sz="4" w:space="0"/>
            </w:tcBorders>
          </w:tcPr>
          <w:p w:rsidRPr="00D76BC8" w:rsidR="000A5CE8" w:rsidP="007C26FD" w:rsidRDefault="000A5CE8" w14:paraId="6C08D18A" w14:textId="00C73A84">
            <w:pPr>
              <w:rPr>
                <w:rFonts w:ascii="Verdana" w:hAnsi="Verdana"/>
                <w:sz w:val="18"/>
                <w:szCs w:val="18"/>
              </w:rPr>
            </w:pPr>
            <w:r w:rsidRPr="00D76BC8">
              <w:rPr>
                <w:rFonts w:ascii="Verdana" w:hAnsi="Verdana" w:eastAsia="Calibri" w:cs="Calibri"/>
                <w:sz w:val="18"/>
                <w:szCs w:val="18"/>
              </w:rPr>
              <w:t>Het kabinet ondersteunt de gebalanceerde aanpak die is aangekondigd door de Commissie.</w:t>
            </w:r>
          </w:p>
          <w:p w:rsidRPr="00D76BC8" w:rsidR="000A5CE8" w:rsidP="007C26FD" w:rsidRDefault="000A5CE8" w14:paraId="23EF09BF" w14:textId="4B2881CF">
            <w:pPr>
              <w:rPr>
                <w:rFonts w:ascii="Verdana" w:hAnsi="Verdana" w:cstheme="minorHAnsi"/>
                <w:sz w:val="18"/>
                <w:szCs w:val="18"/>
              </w:rPr>
            </w:pPr>
          </w:p>
        </w:tc>
        <w:tc>
          <w:tcPr>
            <w:tcW w:w="1843" w:type="dxa"/>
            <w:tcBorders>
              <w:top w:val="single" w:color="auto" w:sz="4" w:space="0"/>
              <w:left w:val="single" w:color="auto" w:sz="4" w:space="0"/>
              <w:bottom w:val="single" w:color="auto" w:sz="4" w:space="0"/>
              <w:right w:val="single" w:color="auto" w:sz="4" w:space="0"/>
            </w:tcBorders>
          </w:tcPr>
          <w:p w:rsidRPr="00D76BC8" w:rsidR="000A5CE8" w:rsidP="007C26FD" w:rsidRDefault="000A5CE8" w14:paraId="2455B097" w14:textId="77777777">
            <w:pPr>
              <w:rPr>
                <w:rFonts w:ascii="Verdana" w:hAnsi="Verdana" w:cstheme="minorHAnsi"/>
                <w:color w:val="000000"/>
                <w:sz w:val="18"/>
                <w:szCs w:val="18"/>
                <w:lang w:val="en-US"/>
              </w:rPr>
            </w:pPr>
            <w:proofErr w:type="spellStart"/>
            <w:r w:rsidRPr="00D76BC8">
              <w:rPr>
                <w:rFonts w:ascii="Verdana" w:hAnsi="Verdana" w:cstheme="minorHAnsi"/>
                <w:color w:val="000000"/>
                <w:sz w:val="18"/>
                <w:szCs w:val="18"/>
                <w:lang w:val="en-US"/>
              </w:rPr>
              <w:t>Niet-wetgevend</w:t>
            </w:r>
            <w:proofErr w:type="spellEnd"/>
          </w:p>
        </w:tc>
      </w:tr>
    </w:tbl>
    <w:p w:rsidR="003F0874" w:rsidP="007C26FD" w:rsidRDefault="003F0874" w14:paraId="027C36BC" w14:textId="77777777">
      <w:pPr>
        <w:pStyle w:val="NormalWeb"/>
        <w:rPr>
          <w:rFonts w:ascii="Verdana" w:hAnsi="Verdana" w:eastAsiaTheme="minorHAnsi" w:cstheme="minorBidi"/>
          <w:b/>
          <w:bCs/>
          <w:sz w:val="18"/>
          <w:szCs w:val="18"/>
          <w:lang w:eastAsia="en-US"/>
        </w:rPr>
      </w:pPr>
    </w:p>
    <w:p w:rsidR="003F0874" w:rsidRDefault="003F0874" w14:paraId="7AA7706E" w14:textId="77777777">
      <w:pPr>
        <w:rPr>
          <w:rFonts w:ascii="Verdana" w:hAnsi="Verdana"/>
          <w:b/>
          <w:bCs/>
          <w:sz w:val="18"/>
          <w:szCs w:val="18"/>
        </w:rPr>
      </w:pPr>
      <w:r>
        <w:rPr>
          <w:rFonts w:ascii="Verdana" w:hAnsi="Verdana"/>
          <w:b/>
          <w:bCs/>
          <w:sz w:val="18"/>
          <w:szCs w:val="18"/>
        </w:rPr>
        <w:br w:type="page"/>
      </w:r>
    </w:p>
    <w:p w:rsidRPr="00D76BC8" w:rsidR="007E5965" w:rsidP="007C26FD" w:rsidRDefault="007E5965" w14:paraId="143F85CB" w14:textId="724C7813">
      <w:pPr>
        <w:pStyle w:val="NormalWeb"/>
        <w:rPr>
          <w:rFonts w:ascii="Verdana" w:hAnsi="Verdana" w:eastAsiaTheme="minorHAnsi" w:cstheme="minorBidi"/>
          <w:b/>
          <w:bCs/>
          <w:sz w:val="18"/>
          <w:szCs w:val="18"/>
          <w:lang w:eastAsia="en-US"/>
        </w:rPr>
      </w:pPr>
      <w:r w:rsidRPr="00D76BC8">
        <w:rPr>
          <w:rFonts w:ascii="Verdana" w:hAnsi="Verdana" w:eastAsiaTheme="minorHAnsi" w:cstheme="minorBidi"/>
          <w:b/>
          <w:bCs/>
          <w:sz w:val="18"/>
          <w:szCs w:val="18"/>
          <w:lang w:eastAsia="en-US"/>
        </w:rPr>
        <w:lastRenderedPageBreak/>
        <w:t xml:space="preserve">Prioriteit 4: </w:t>
      </w:r>
      <w:r w:rsidRPr="00D76BC8" w:rsidR="00BC4B31">
        <w:rPr>
          <w:rFonts w:ascii="Verdana" w:hAnsi="Verdana" w:eastAsiaTheme="minorHAnsi" w:cstheme="minorBidi"/>
          <w:b/>
          <w:bCs/>
          <w:sz w:val="18"/>
          <w:szCs w:val="18"/>
          <w:lang w:eastAsia="en-US"/>
        </w:rPr>
        <w:t>Onze levenskwaliteit in stand houden: voedselzekerheid, water en natuur</w:t>
      </w:r>
    </w:p>
    <w:tbl>
      <w:tblPr>
        <w:tblStyle w:val="TableGrid"/>
        <w:tblW w:w="15451" w:type="dxa"/>
        <w:tblInd w:w="-5" w:type="dxa"/>
        <w:tblLayout w:type="fixed"/>
        <w:tblLook w:val="04A0" w:firstRow="1" w:lastRow="0" w:firstColumn="1" w:lastColumn="0" w:noHBand="0" w:noVBand="1"/>
      </w:tblPr>
      <w:tblGrid>
        <w:gridCol w:w="567"/>
        <w:gridCol w:w="2410"/>
        <w:gridCol w:w="4678"/>
        <w:gridCol w:w="5953"/>
        <w:gridCol w:w="1843"/>
      </w:tblGrid>
      <w:tr w:rsidRPr="00D76BC8" w:rsidR="0088029E" w:rsidTr="000A5CE8" w14:paraId="3BF4B1AC" w14:textId="77777777">
        <w:trPr>
          <w:trHeight w:val="634"/>
        </w:trPr>
        <w:tc>
          <w:tcPr>
            <w:tcW w:w="567" w:type="dxa"/>
            <w:tcBorders>
              <w:top w:val="single" w:color="auto" w:sz="4" w:space="0"/>
              <w:left w:val="single" w:color="auto" w:sz="4" w:space="0"/>
              <w:bottom w:val="single" w:color="auto" w:sz="4" w:space="0"/>
              <w:right w:val="single" w:color="auto" w:sz="4" w:space="0"/>
            </w:tcBorders>
          </w:tcPr>
          <w:p w:rsidRPr="00D76BC8" w:rsidR="0088029E" w:rsidP="007C26FD" w:rsidRDefault="0088029E" w14:paraId="6654FECA" w14:textId="77777777">
            <w:pPr>
              <w:rPr>
                <w:rFonts w:ascii="Verdana" w:hAnsi="Verdana" w:cstheme="minorHAnsi"/>
                <w:b/>
                <w:bCs/>
                <w:sz w:val="18"/>
                <w:szCs w:val="18"/>
              </w:rPr>
            </w:pPr>
            <w:r w:rsidRPr="00D76BC8">
              <w:rPr>
                <w:rFonts w:ascii="Verdana" w:hAnsi="Verdana" w:cstheme="minorHAnsi"/>
                <w:b/>
                <w:bCs/>
                <w:sz w:val="18"/>
                <w:szCs w:val="18"/>
              </w:rPr>
              <w:t>No.</w:t>
            </w:r>
          </w:p>
        </w:tc>
        <w:tc>
          <w:tcPr>
            <w:tcW w:w="2410" w:type="dxa"/>
            <w:tcBorders>
              <w:top w:val="single" w:color="auto" w:sz="4" w:space="0"/>
              <w:left w:val="single" w:color="auto" w:sz="4" w:space="0"/>
              <w:bottom w:val="single" w:color="auto" w:sz="4" w:space="0"/>
              <w:right w:val="single" w:color="auto" w:sz="4" w:space="0"/>
            </w:tcBorders>
            <w:hideMark/>
          </w:tcPr>
          <w:p w:rsidRPr="00D76BC8" w:rsidR="0088029E" w:rsidP="007C26FD" w:rsidRDefault="0088029E" w14:paraId="65BF6DB0" w14:textId="77777777">
            <w:pPr>
              <w:rPr>
                <w:rFonts w:ascii="Verdana" w:hAnsi="Verdana" w:cstheme="minorHAnsi"/>
                <w:b/>
                <w:bCs/>
                <w:sz w:val="18"/>
                <w:szCs w:val="18"/>
              </w:rPr>
            </w:pPr>
            <w:r w:rsidRPr="00D76BC8">
              <w:rPr>
                <w:rFonts w:ascii="Verdana" w:hAnsi="Verdana" w:cstheme="minorHAnsi"/>
                <w:b/>
                <w:bCs/>
                <w:sz w:val="18"/>
                <w:szCs w:val="18"/>
              </w:rPr>
              <w:t>Titel (publicatiedatum)</w:t>
            </w:r>
          </w:p>
        </w:tc>
        <w:tc>
          <w:tcPr>
            <w:tcW w:w="4678" w:type="dxa"/>
            <w:tcBorders>
              <w:top w:val="single" w:color="auto" w:sz="4" w:space="0"/>
              <w:left w:val="single" w:color="auto" w:sz="4" w:space="0"/>
              <w:bottom w:val="single" w:color="auto" w:sz="4" w:space="0"/>
              <w:right w:val="single" w:color="auto" w:sz="4" w:space="0"/>
            </w:tcBorders>
            <w:hideMark/>
          </w:tcPr>
          <w:p w:rsidRPr="00D76BC8" w:rsidR="0088029E" w:rsidP="007C26FD" w:rsidRDefault="0088029E" w14:paraId="7BDFDEC3" w14:textId="77777777">
            <w:pPr>
              <w:rPr>
                <w:rFonts w:ascii="Verdana" w:hAnsi="Verdana" w:cstheme="minorHAnsi"/>
                <w:b/>
                <w:bCs/>
                <w:sz w:val="18"/>
                <w:szCs w:val="18"/>
              </w:rPr>
            </w:pPr>
            <w:r w:rsidRPr="00D76BC8">
              <w:rPr>
                <w:rFonts w:ascii="Verdana" w:hAnsi="Verdana" w:cstheme="minorHAnsi"/>
                <w:b/>
                <w:bCs/>
                <w:sz w:val="18"/>
                <w:szCs w:val="18"/>
              </w:rPr>
              <w:t>Korte beschrijving</w:t>
            </w:r>
          </w:p>
        </w:tc>
        <w:tc>
          <w:tcPr>
            <w:tcW w:w="5953" w:type="dxa"/>
            <w:tcBorders>
              <w:top w:val="single" w:color="auto" w:sz="4" w:space="0"/>
              <w:left w:val="single" w:color="auto" w:sz="4" w:space="0"/>
              <w:bottom w:val="single" w:color="auto" w:sz="4" w:space="0"/>
              <w:right w:val="single" w:color="auto" w:sz="4" w:space="0"/>
            </w:tcBorders>
            <w:hideMark/>
          </w:tcPr>
          <w:p w:rsidRPr="00D76BC8" w:rsidR="0088029E" w:rsidP="007C26FD" w:rsidRDefault="0088029E" w14:paraId="5671D946" w14:textId="77777777">
            <w:pPr>
              <w:rPr>
                <w:rFonts w:ascii="Verdana" w:hAnsi="Verdana" w:cstheme="minorHAnsi"/>
                <w:b/>
                <w:bCs/>
                <w:sz w:val="18"/>
                <w:szCs w:val="18"/>
              </w:rPr>
            </w:pPr>
            <w:r w:rsidRPr="00D76BC8">
              <w:rPr>
                <w:rFonts w:ascii="Verdana" w:hAnsi="Verdana" w:cstheme="minorHAnsi"/>
                <w:b/>
                <w:bCs/>
                <w:sz w:val="18"/>
                <w:szCs w:val="18"/>
              </w:rPr>
              <w:t>Kabinetsappreciatie</w:t>
            </w:r>
          </w:p>
        </w:tc>
        <w:tc>
          <w:tcPr>
            <w:tcW w:w="1843" w:type="dxa"/>
            <w:tcBorders>
              <w:top w:val="single" w:color="auto" w:sz="4" w:space="0"/>
              <w:left w:val="single" w:color="auto" w:sz="4" w:space="0"/>
              <w:bottom w:val="single" w:color="auto" w:sz="4" w:space="0"/>
              <w:right w:val="single" w:color="auto" w:sz="4" w:space="0"/>
            </w:tcBorders>
          </w:tcPr>
          <w:p w:rsidRPr="00D76BC8" w:rsidR="0088029E" w:rsidP="007C26FD" w:rsidRDefault="0088029E" w14:paraId="68A924C6" w14:textId="77777777">
            <w:pPr>
              <w:rPr>
                <w:rFonts w:ascii="Verdana" w:hAnsi="Verdana" w:cstheme="minorHAnsi"/>
                <w:b/>
                <w:bCs/>
                <w:sz w:val="18"/>
                <w:szCs w:val="18"/>
              </w:rPr>
            </w:pPr>
            <w:r w:rsidRPr="00D76BC8">
              <w:rPr>
                <w:rFonts w:ascii="Verdana" w:hAnsi="Verdana" w:cstheme="minorHAnsi"/>
                <w:b/>
                <w:bCs/>
                <w:sz w:val="18"/>
                <w:szCs w:val="18"/>
              </w:rPr>
              <w:t>Wetgevend/niet-Wetgevend</w:t>
            </w:r>
          </w:p>
        </w:tc>
      </w:tr>
      <w:tr w:rsidRPr="00D76BC8" w:rsidR="000A5CE8" w:rsidTr="000A5CE8" w14:paraId="7020F7A5"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D76BC8" w:rsidR="000A5CE8" w:rsidP="007C26FD" w:rsidRDefault="000A5CE8" w14:paraId="3550E2FC" w14:textId="5BC4B37A">
            <w:pPr>
              <w:rPr>
                <w:rFonts w:ascii="Verdana" w:hAnsi="Verdana" w:cstheme="minorHAnsi"/>
                <w:sz w:val="18"/>
                <w:szCs w:val="18"/>
                <w:lang w:val="en-US"/>
              </w:rPr>
            </w:pPr>
            <w:r w:rsidRPr="00D76BC8">
              <w:rPr>
                <w:rFonts w:ascii="Verdana" w:hAnsi="Verdana" w:cstheme="minorHAnsi"/>
                <w:sz w:val="18"/>
                <w:szCs w:val="18"/>
                <w:lang w:val="en-US"/>
              </w:rPr>
              <w:t>33.</w:t>
            </w:r>
          </w:p>
        </w:tc>
        <w:tc>
          <w:tcPr>
            <w:tcW w:w="2410" w:type="dxa"/>
            <w:tcBorders>
              <w:top w:val="single" w:color="auto" w:sz="4" w:space="0"/>
              <w:left w:val="single" w:color="auto" w:sz="4" w:space="0"/>
              <w:bottom w:val="single" w:color="auto" w:sz="4" w:space="0"/>
              <w:right w:val="single" w:color="auto" w:sz="4" w:space="0"/>
            </w:tcBorders>
          </w:tcPr>
          <w:p w:rsidRPr="0086334D" w:rsidR="000A5CE8" w:rsidP="007C26FD" w:rsidRDefault="009E4740" w14:paraId="7B20ACAB" w14:textId="761C84A9">
            <w:pPr>
              <w:rPr>
                <w:rFonts w:ascii="Verdana" w:hAnsi="Verdana" w:cstheme="minorHAnsi"/>
                <w:sz w:val="18"/>
                <w:szCs w:val="18"/>
              </w:rPr>
            </w:pPr>
            <w:r w:rsidRPr="0086334D">
              <w:rPr>
                <w:rFonts w:ascii="Verdana" w:hAnsi="Verdana" w:cstheme="minorHAnsi"/>
                <w:sz w:val="18"/>
                <w:szCs w:val="18"/>
              </w:rPr>
              <w:t>Wijziging van de Europese klimaatwet</w:t>
            </w:r>
            <w:r w:rsidRPr="0086334D" w:rsidDel="009E4740">
              <w:rPr>
                <w:rFonts w:ascii="Verdana" w:hAnsi="Verdana" w:cstheme="minorHAnsi"/>
                <w:sz w:val="18"/>
                <w:szCs w:val="18"/>
              </w:rPr>
              <w:t xml:space="preserve"> </w:t>
            </w:r>
            <w:r w:rsidRPr="0086334D" w:rsidR="000A5CE8">
              <w:rPr>
                <w:rFonts w:ascii="Verdana" w:hAnsi="Verdana" w:cstheme="minorHAnsi"/>
                <w:sz w:val="18"/>
                <w:szCs w:val="18"/>
              </w:rPr>
              <w:t>(Q1 2025)</w:t>
            </w:r>
          </w:p>
        </w:tc>
        <w:tc>
          <w:tcPr>
            <w:tcW w:w="4678" w:type="dxa"/>
            <w:tcBorders>
              <w:top w:val="single" w:color="auto" w:sz="4" w:space="0"/>
              <w:left w:val="single" w:color="auto" w:sz="4" w:space="0"/>
              <w:bottom w:val="single" w:color="auto" w:sz="4" w:space="0"/>
              <w:right w:val="single" w:color="auto" w:sz="4" w:space="0"/>
            </w:tcBorders>
          </w:tcPr>
          <w:p w:rsidRPr="00D76BC8" w:rsidR="000A5CE8" w:rsidP="007C26FD" w:rsidRDefault="000A5CE8" w14:paraId="2F8D1522" w14:textId="33DB5EE3">
            <w:pPr>
              <w:rPr>
                <w:rFonts w:ascii="Verdana" w:hAnsi="Verdana" w:cstheme="minorHAnsi"/>
                <w:color w:val="000000"/>
                <w:sz w:val="18"/>
                <w:szCs w:val="18"/>
              </w:rPr>
            </w:pPr>
            <w:r w:rsidRPr="00D76BC8">
              <w:rPr>
                <w:rFonts w:ascii="Verdana" w:hAnsi="Verdana" w:cstheme="minorHAnsi"/>
                <w:color w:val="000000"/>
                <w:sz w:val="18"/>
                <w:szCs w:val="18"/>
              </w:rPr>
              <w:t xml:space="preserve">Dit voorstel betreft het opnemen van een EU breed tussendoel voor het jaar 2040 in de EU Klimaatwet van netto 90% emissiereductie t.o.v. 1990. Het voorstel is </w:t>
            </w:r>
            <w:r w:rsidR="002657EE">
              <w:rPr>
                <w:rFonts w:ascii="Verdana" w:hAnsi="Verdana" w:cstheme="minorHAnsi"/>
                <w:color w:val="000000"/>
                <w:sz w:val="18"/>
                <w:szCs w:val="18"/>
              </w:rPr>
              <w:t>ge</w:t>
            </w:r>
            <w:r w:rsidRPr="00D76BC8">
              <w:rPr>
                <w:rFonts w:ascii="Verdana" w:hAnsi="Verdana" w:cstheme="minorHAnsi"/>
                <w:color w:val="000000"/>
                <w:sz w:val="18"/>
                <w:szCs w:val="18"/>
              </w:rPr>
              <w:t>baseer</w:t>
            </w:r>
            <w:r w:rsidR="002657EE">
              <w:rPr>
                <w:rFonts w:ascii="Verdana" w:hAnsi="Verdana" w:cstheme="minorHAnsi"/>
                <w:color w:val="000000"/>
                <w:sz w:val="18"/>
                <w:szCs w:val="18"/>
              </w:rPr>
              <w:t>d</w:t>
            </w:r>
            <w:r w:rsidRPr="00D76BC8">
              <w:rPr>
                <w:rFonts w:ascii="Verdana" w:hAnsi="Verdana" w:cstheme="minorHAnsi"/>
                <w:color w:val="000000"/>
                <w:sz w:val="18"/>
                <w:szCs w:val="18"/>
              </w:rPr>
              <w:t xml:space="preserve"> op het Parijs </w:t>
            </w:r>
            <w:r w:rsidR="00C11C92">
              <w:rPr>
                <w:rFonts w:ascii="Verdana" w:hAnsi="Verdana" w:cstheme="minorHAnsi"/>
                <w:color w:val="000000"/>
                <w:sz w:val="18"/>
                <w:szCs w:val="18"/>
              </w:rPr>
              <w:t>A</w:t>
            </w:r>
            <w:r w:rsidRPr="00D76BC8">
              <w:rPr>
                <w:rFonts w:ascii="Verdana" w:hAnsi="Verdana" w:cstheme="minorHAnsi"/>
                <w:color w:val="000000"/>
                <w:sz w:val="18"/>
                <w:szCs w:val="18"/>
              </w:rPr>
              <w:t>kkoord en in lijn met wetenschappelijk advies.</w:t>
            </w:r>
          </w:p>
        </w:tc>
        <w:tc>
          <w:tcPr>
            <w:tcW w:w="5953" w:type="dxa"/>
            <w:tcBorders>
              <w:top w:val="single" w:color="auto" w:sz="4" w:space="0"/>
              <w:left w:val="single" w:color="auto" w:sz="4" w:space="0"/>
              <w:bottom w:val="single" w:color="auto" w:sz="4" w:space="0"/>
              <w:right w:val="single" w:color="auto" w:sz="4" w:space="0"/>
            </w:tcBorders>
          </w:tcPr>
          <w:p w:rsidRPr="00D76BC8" w:rsidR="000A5CE8" w:rsidP="007C26FD" w:rsidRDefault="00991856" w14:paraId="52707A50" w14:textId="02949F96">
            <w:pPr>
              <w:rPr>
                <w:rFonts w:ascii="Verdana" w:hAnsi="Verdana" w:cstheme="minorHAnsi"/>
                <w:color w:val="000000"/>
                <w:sz w:val="18"/>
                <w:szCs w:val="18"/>
              </w:rPr>
            </w:pPr>
            <w:r>
              <w:rPr>
                <w:rFonts w:ascii="Verdana" w:hAnsi="Verdana" w:cstheme="minorHAnsi"/>
                <w:color w:val="000000"/>
                <w:sz w:val="18"/>
                <w:szCs w:val="18"/>
              </w:rPr>
              <w:t>H</w:t>
            </w:r>
            <w:r w:rsidR="00BF745F">
              <w:rPr>
                <w:rFonts w:ascii="Verdana" w:hAnsi="Verdana" w:cstheme="minorHAnsi"/>
                <w:color w:val="000000"/>
                <w:sz w:val="18"/>
                <w:szCs w:val="18"/>
              </w:rPr>
              <w:t xml:space="preserve">et kabinet staat positief tegenover </w:t>
            </w:r>
            <w:r w:rsidRPr="00D76BC8" w:rsidR="000A5CE8">
              <w:rPr>
                <w:rFonts w:ascii="Verdana" w:hAnsi="Verdana" w:cstheme="minorHAnsi"/>
                <w:color w:val="000000"/>
                <w:sz w:val="18"/>
                <w:szCs w:val="18"/>
              </w:rPr>
              <w:t>het voorstel. Dit is een stap op weg naar klimaatneutraliteit in 2050, reeds opgenomen</w:t>
            </w:r>
            <w:r w:rsidRPr="00D76BC8" w:rsidDel="000A5CE8" w:rsidR="000A5CE8">
              <w:rPr>
                <w:rFonts w:ascii="Verdana" w:hAnsi="Verdana" w:cstheme="minorHAnsi"/>
                <w:color w:val="000000"/>
                <w:sz w:val="18"/>
                <w:szCs w:val="18"/>
              </w:rPr>
              <w:t xml:space="preserve"> </w:t>
            </w:r>
            <w:r w:rsidRPr="00D76BC8" w:rsidR="000A5CE8">
              <w:rPr>
                <w:rFonts w:ascii="Verdana" w:hAnsi="Verdana" w:cstheme="minorHAnsi"/>
                <w:color w:val="000000"/>
                <w:sz w:val="18"/>
                <w:szCs w:val="18"/>
              </w:rPr>
              <w:t>in de EU klimaatwet. Van belang is een goede uitvoeringsagenda, zodat klimaat- en energiedoelen effectief behaald kunnen worden. Componenten hiervan zijn</w:t>
            </w:r>
            <w:r w:rsidRPr="00D76BC8" w:rsidR="001A369B">
              <w:rPr>
                <w:rFonts w:ascii="Verdana" w:hAnsi="Verdana" w:cstheme="minorHAnsi"/>
                <w:color w:val="000000"/>
                <w:sz w:val="18"/>
                <w:szCs w:val="18"/>
              </w:rPr>
              <w:t xml:space="preserve">, onder andere, </w:t>
            </w:r>
            <w:r w:rsidRPr="00D76BC8" w:rsidR="000A5CE8">
              <w:rPr>
                <w:rFonts w:ascii="Verdana" w:hAnsi="Verdana" w:cstheme="minorHAnsi"/>
                <w:color w:val="000000"/>
                <w:sz w:val="18"/>
                <w:szCs w:val="18"/>
              </w:rPr>
              <w:t>een versnelde vergunningsverlening voor duurzame projecten, verbeterde grensoverschrijdende infrastructuur en het tegengaan van netcongestie.</w:t>
            </w:r>
          </w:p>
        </w:tc>
        <w:tc>
          <w:tcPr>
            <w:tcW w:w="1843" w:type="dxa"/>
            <w:tcBorders>
              <w:top w:val="single" w:color="auto" w:sz="4" w:space="0"/>
              <w:left w:val="single" w:color="auto" w:sz="4" w:space="0"/>
              <w:bottom w:val="single" w:color="auto" w:sz="4" w:space="0"/>
              <w:right w:val="single" w:color="auto" w:sz="4" w:space="0"/>
            </w:tcBorders>
          </w:tcPr>
          <w:p w:rsidRPr="00D76BC8" w:rsidR="000A5CE8" w:rsidP="007C26FD" w:rsidRDefault="000A5CE8" w14:paraId="40113B69" w14:textId="397015D2">
            <w:pPr>
              <w:rPr>
                <w:rFonts w:ascii="Verdana" w:hAnsi="Verdana" w:cstheme="minorHAnsi"/>
                <w:color w:val="000000"/>
                <w:sz w:val="18"/>
                <w:szCs w:val="18"/>
              </w:rPr>
            </w:pPr>
            <w:r w:rsidRPr="00D76BC8">
              <w:rPr>
                <w:rFonts w:ascii="Verdana" w:hAnsi="Verdana" w:cstheme="minorHAnsi"/>
                <w:color w:val="000000"/>
                <w:sz w:val="18"/>
                <w:szCs w:val="18"/>
              </w:rPr>
              <w:t>Wetgevend</w:t>
            </w:r>
          </w:p>
        </w:tc>
      </w:tr>
      <w:tr w:rsidRPr="00D76BC8" w:rsidR="00E64190" w:rsidTr="0086334D" w14:paraId="459A893B" w14:textId="77777777">
        <w:trPr>
          <w:trHeight w:val="441"/>
        </w:trPr>
        <w:tc>
          <w:tcPr>
            <w:tcW w:w="567" w:type="dxa"/>
            <w:tcBorders>
              <w:top w:val="single" w:color="auto" w:sz="4" w:space="0"/>
              <w:left w:val="single" w:color="auto" w:sz="4" w:space="0"/>
              <w:bottom w:val="single" w:color="auto" w:sz="4" w:space="0"/>
              <w:right w:val="single" w:color="auto" w:sz="4" w:space="0"/>
            </w:tcBorders>
          </w:tcPr>
          <w:p w:rsidRPr="00D76BC8" w:rsidR="00E64190" w:rsidP="007C26FD" w:rsidRDefault="00E64190" w14:paraId="3BC9603D" w14:textId="69FF994B">
            <w:pPr>
              <w:rPr>
                <w:rFonts w:ascii="Verdana" w:hAnsi="Verdana" w:cstheme="minorHAnsi"/>
                <w:sz w:val="18"/>
                <w:szCs w:val="18"/>
                <w:lang w:val="en-US"/>
              </w:rPr>
            </w:pPr>
            <w:r w:rsidRPr="00D76BC8">
              <w:rPr>
                <w:rFonts w:ascii="Verdana" w:hAnsi="Verdana" w:cstheme="minorHAnsi"/>
                <w:sz w:val="18"/>
                <w:szCs w:val="18"/>
                <w:lang w:val="en-US"/>
              </w:rPr>
              <w:t>34.</w:t>
            </w:r>
          </w:p>
        </w:tc>
        <w:tc>
          <w:tcPr>
            <w:tcW w:w="2410" w:type="dxa"/>
            <w:tcBorders>
              <w:top w:val="single" w:color="auto" w:sz="4" w:space="0"/>
              <w:left w:val="single" w:color="auto" w:sz="4" w:space="0"/>
              <w:bottom w:val="single" w:color="auto" w:sz="4" w:space="0"/>
              <w:right w:val="single" w:color="auto" w:sz="4" w:space="0"/>
            </w:tcBorders>
          </w:tcPr>
          <w:p w:rsidRPr="0086334D" w:rsidR="00E64190" w:rsidP="007C26FD" w:rsidRDefault="009E4740" w14:paraId="377DE232" w14:textId="43F8FD8F">
            <w:pPr>
              <w:rPr>
                <w:rFonts w:ascii="Verdana" w:hAnsi="Verdana" w:cstheme="minorHAnsi"/>
                <w:b/>
                <w:bCs/>
                <w:sz w:val="18"/>
                <w:szCs w:val="18"/>
              </w:rPr>
            </w:pPr>
            <w:r w:rsidRPr="0086334D">
              <w:rPr>
                <w:rFonts w:ascii="Verdana" w:hAnsi="Verdana" w:cstheme="minorHAnsi"/>
                <w:sz w:val="18"/>
                <w:szCs w:val="18"/>
              </w:rPr>
              <w:t>Visie voor landbouw en voedsel</w:t>
            </w:r>
            <w:r w:rsidRPr="0086334D" w:rsidDel="009E4740">
              <w:rPr>
                <w:rFonts w:ascii="Verdana" w:hAnsi="Verdana" w:cstheme="minorHAnsi"/>
                <w:sz w:val="18"/>
                <w:szCs w:val="18"/>
              </w:rPr>
              <w:t xml:space="preserve"> </w:t>
            </w:r>
            <w:r w:rsidRPr="0086334D" w:rsidR="00E64190">
              <w:rPr>
                <w:rFonts w:ascii="Verdana" w:hAnsi="Verdana" w:cstheme="minorHAnsi"/>
                <w:sz w:val="18"/>
                <w:szCs w:val="18"/>
              </w:rPr>
              <w:t>(Q1 2025)</w:t>
            </w:r>
          </w:p>
        </w:tc>
        <w:tc>
          <w:tcPr>
            <w:tcW w:w="4678" w:type="dxa"/>
            <w:tcBorders>
              <w:top w:val="single" w:color="auto" w:sz="4" w:space="0"/>
              <w:left w:val="single" w:color="auto" w:sz="4" w:space="0"/>
              <w:bottom w:val="single" w:color="auto" w:sz="4" w:space="0"/>
              <w:right w:val="single" w:color="auto" w:sz="4" w:space="0"/>
            </w:tcBorders>
          </w:tcPr>
          <w:p w:rsidRPr="00D76BC8" w:rsidR="00E64190" w:rsidP="007C26FD" w:rsidRDefault="00E64190" w14:paraId="735B706D" w14:textId="6D8C2DBB">
            <w:pPr>
              <w:rPr>
                <w:rFonts w:ascii="Verdana" w:hAnsi="Verdana" w:cstheme="minorHAnsi"/>
                <w:color w:val="000000"/>
                <w:sz w:val="18"/>
                <w:szCs w:val="18"/>
              </w:rPr>
            </w:pPr>
            <w:r w:rsidRPr="00D76BC8">
              <w:rPr>
                <w:rFonts w:ascii="Verdana" w:hAnsi="Verdana" w:cstheme="minorHAnsi"/>
                <w:color w:val="000000"/>
                <w:sz w:val="18"/>
                <w:szCs w:val="18"/>
              </w:rPr>
              <w:t>Voortbouwend op de aanbevelingen uit de Strategische Dialoog over de toekomst van de landbouw in de EU, wordt een Visie voor Landbouw en Voedsel opgesteld. Deze Visie moet zorgen voor verbetering van de lange termijn concurrentiekracht en een weerbaar, toekomstbestendig voedselsysteem.</w:t>
            </w:r>
          </w:p>
        </w:tc>
        <w:tc>
          <w:tcPr>
            <w:tcW w:w="5953" w:type="dxa"/>
            <w:tcBorders>
              <w:top w:val="single" w:color="auto" w:sz="4" w:space="0"/>
              <w:left w:val="single" w:color="auto" w:sz="4" w:space="0"/>
              <w:bottom w:val="single" w:color="auto" w:sz="4" w:space="0"/>
              <w:right w:val="single" w:color="auto" w:sz="4" w:space="0"/>
            </w:tcBorders>
          </w:tcPr>
          <w:p w:rsidRPr="00D76BC8" w:rsidR="00E64190" w:rsidP="007C26FD" w:rsidRDefault="00E64190" w14:paraId="15F504C1" w14:textId="1E8E0968">
            <w:pPr>
              <w:rPr>
                <w:rFonts w:ascii="Verdana" w:hAnsi="Verdana" w:cstheme="minorHAnsi"/>
                <w:color w:val="000000"/>
                <w:sz w:val="18"/>
                <w:szCs w:val="18"/>
              </w:rPr>
            </w:pPr>
            <w:r w:rsidRPr="00D76BC8">
              <w:rPr>
                <w:rFonts w:ascii="Verdana" w:hAnsi="Verdana" w:cstheme="minorHAnsi"/>
                <w:color w:val="000000"/>
                <w:sz w:val="18"/>
                <w:szCs w:val="18"/>
              </w:rPr>
              <w:t>Het kabinet verwelkomt de</w:t>
            </w:r>
            <w:r w:rsidR="00BF745F">
              <w:rPr>
                <w:rFonts w:ascii="Verdana" w:hAnsi="Verdana" w:cstheme="minorHAnsi"/>
                <w:color w:val="000000"/>
                <w:sz w:val="18"/>
                <w:szCs w:val="18"/>
              </w:rPr>
              <w:t>ze reeds gepubliceerde</w:t>
            </w:r>
            <w:r w:rsidRPr="00D76BC8">
              <w:rPr>
                <w:rFonts w:ascii="Verdana" w:hAnsi="Verdana" w:cstheme="minorHAnsi"/>
                <w:color w:val="000000"/>
                <w:sz w:val="18"/>
                <w:szCs w:val="18"/>
              </w:rPr>
              <w:t xml:space="preserve"> Visie</w:t>
            </w:r>
            <w:r w:rsidR="00BF745F">
              <w:rPr>
                <w:rFonts w:ascii="Verdana" w:hAnsi="Verdana" w:cstheme="minorHAnsi"/>
                <w:color w:val="000000"/>
                <w:sz w:val="18"/>
                <w:szCs w:val="18"/>
              </w:rPr>
              <w:t xml:space="preserve"> </w:t>
            </w:r>
            <w:r w:rsidRPr="00D76BC8">
              <w:rPr>
                <w:rFonts w:ascii="Verdana" w:hAnsi="Verdana" w:cstheme="minorHAnsi"/>
                <w:color w:val="000000"/>
                <w:sz w:val="18"/>
                <w:szCs w:val="18"/>
              </w:rPr>
              <w:t>en onderschrijft het belang ervan. Prioriteiten voor het kabinet zijn voedselzekerheid, innovatie, een gelijk speelveld door middel van benchmarking en een doelgerichte aanpak.</w:t>
            </w:r>
            <w:r w:rsidR="00A97D43">
              <w:rPr>
                <w:rFonts w:ascii="Verdana" w:hAnsi="Verdana" w:cstheme="minorHAnsi"/>
                <w:color w:val="000000"/>
                <w:sz w:val="18"/>
                <w:szCs w:val="18"/>
              </w:rPr>
              <w:t xml:space="preserve"> </w:t>
            </w:r>
          </w:p>
        </w:tc>
        <w:tc>
          <w:tcPr>
            <w:tcW w:w="1843" w:type="dxa"/>
            <w:tcBorders>
              <w:top w:val="single" w:color="auto" w:sz="4" w:space="0"/>
              <w:left w:val="single" w:color="auto" w:sz="4" w:space="0"/>
              <w:bottom w:val="single" w:color="auto" w:sz="4" w:space="0"/>
              <w:right w:val="single" w:color="auto" w:sz="4" w:space="0"/>
            </w:tcBorders>
          </w:tcPr>
          <w:p w:rsidRPr="00D76BC8" w:rsidR="00E64190" w:rsidP="007C26FD" w:rsidRDefault="00E64190" w14:paraId="73C41D07" w14:textId="77777777">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tc>
      </w:tr>
      <w:tr w:rsidRPr="00D76BC8" w:rsidR="00E64190" w:rsidTr="000A5CE8" w14:paraId="431A98EA"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E64190" w:rsidP="007C26FD" w:rsidRDefault="00E64190" w14:paraId="548F87A8" w14:textId="1DDE1723">
            <w:pPr>
              <w:rPr>
                <w:rFonts w:ascii="Verdana" w:hAnsi="Verdana" w:cstheme="minorHAnsi"/>
                <w:sz w:val="18"/>
                <w:szCs w:val="18"/>
              </w:rPr>
            </w:pPr>
            <w:r w:rsidRPr="00D76BC8">
              <w:rPr>
                <w:rFonts w:ascii="Verdana" w:hAnsi="Verdana" w:cstheme="minorHAnsi"/>
                <w:sz w:val="18"/>
                <w:szCs w:val="18"/>
              </w:rPr>
              <w:t>35.</w:t>
            </w:r>
          </w:p>
        </w:tc>
        <w:tc>
          <w:tcPr>
            <w:tcW w:w="2410" w:type="dxa"/>
            <w:tcBorders>
              <w:top w:val="single" w:color="auto" w:sz="4" w:space="0"/>
              <w:left w:val="single" w:color="auto" w:sz="4" w:space="0"/>
              <w:bottom w:val="single" w:color="auto" w:sz="4" w:space="0"/>
              <w:right w:val="single" w:color="auto" w:sz="4" w:space="0"/>
            </w:tcBorders>
          </w:tcPr>
          <w:p w:rsidRPr="0086334D" w:rsidR="00E64190" w:rsidP="007C26FD" w:rsidRDefault="009E4740" w14:paraId="21540F1A" w14:textId="256BDA69">
            <w:pPr>
              <w:rPr>
                <w:rFonts w:ascii="Verdana" w:hAnsi="Verdana" w:cstheme="minorHAnsi"/>
                <w:sz w:val="18"/>
                <w:szCs w:val="18"/>
              </w:rPr>
            </w:pPr>
            <w:r w:rsidRPr="0086334D">
              <w:rPr>
                <w:rFonts w:ascii="Verdana" w:hAnsi="Verdana" w:cstheme="minorHAnsi"/>
                <w:sz w:val="18"/>
                <w:szCs w:val="18"/>
              </w:rPr>
              <w:t>Pakket vereenvoudiging gemeenschappelijk landbouwbeleid</w:t>
            </w:r>
            <w:r w:rsidRPr="0086334D" w:rsidDel="009E4740">
              <w:rPr>
                <w:rFonts w:ascii="Verdana" w:hAnsi="Verdana" w:cstheme="minorHAnsi"/>
                <w:sz w:val="18"/>
                <w:szCs w:val="18"/>
              </w:rPr>
              <w:t xml:space="preserve"> </w:t>
            </w:r>
            <w:r w:rsidRPr="0086334D" w:rsidR="00E64190">
              <w:rPr>
                <w:rFonts w:ascii="Verdana" w:hAnsi="Verdana" w:cstheme="minorHAnsi"/>
                <w:sz w:val="18"/>
                <w:szCs w:val="18"/>
              </w:rPr>
              <w:t>(Q2 2025)</w:t>
            </w:r>
          </w:p>
        </w:tc>
        <w:tc>
          <w:tcPr>
            <w:tcW w:w="4678" w:type="dxa"/>
            <w:tcBorders>
              <w:top w:val="single" w:color="auto" w:sz="4" w:space="0"/>
              <w:left w:val="single" w:color="auto" w:sz="4" w:space="0"/>
              <w:bottom w:val="single" w:color="auto" w:sz="4" w:space="0"/>
              <w:right w:val="single" w:color="auto" w:sz="4" w:space="0"/>
            </w:tcBorders>
          </w:tcPr>
          <w:p w:rsidRPr="00D76BC8" w:rsidR="00E64190" w:rsidP="007C26FD" w:rsidRDefault="00E64190" w14:paraId="30D40E78" w14:textId="675D762D">
            <w:pPr>
              <w:rPr>
                <w:rFonts w:ascii="Verdana" w:hAnsi="Verdana" w:cstheme="minorHAnsi"/>
                <w:sz w:val="18"/>
                <w:szCs w:val="18"/>
              </w:rPr>
            </w:pPr>
            <w:r w:rsidRPr="00D76BC8">
              <w:rPr>
                <w:rFonts w:ascii="Verdana" w:hAnsi="Verdana" w:cstheme="minorHAnsi"/>
                <w:sz w:val="18"/>
                <w:szCs w:val="18"/>
              </w:rPr>
              <w:t>De</w:t>
            </w:r>
            <w:r w:rsidR="00C11C92">
              <w:rPr>
                <w:rFonts w:ascii="Verdana" w:hAnsi="Verdana" w:cstheme="minorHAnsi"/>
                <w:sz w:val="18"/>
                <w:szCs w:val="18"/>
              </w:rPr>
              <w:t xml:space="preserve"> </w:t>
            </w:r>
            <w:r w:rsidRPr="00D76BC8">
              <w:rPr>
                <w:rFonts w:ascii="Verdana" w:hAnsi="Verdana" w:cstheme="minorHAnsi"/>
                <w:sz w:val="18"/>
                <w:szCs w:val="18"/>
              </w:rPr>
              <w:t>Commissie is voornemens een gericht pakket te presenteren met vereenvoudigingen van het huidige Europees Gemeenschappelijk Landbouwbeleid (GLB) voor de periode 2023-2027. Hierbij streeft de Commissie er naar om de  administratieve lasten en bureaucratie te verminderen.</w:t>
            </w:r>
          </w:p>
        </w:tc>
        <w:tc>
          <w:tcPr>
            <w:tcW w:w="5953" w:type="dxa"/>
            <w:tcBorders>
              <w:top w:val="single" w:color="auto" w:sz="4" w:space="0"/>
              <w:left w:val="single" w:color="auto" w:sz="4" w:space="0"/>
              <w:bottom w:val="single" w:color="auto" w:sz="4" w:space="0"/>
              <w:right w:val="single" w:color="auto" w:sz="4" w:space="0"/>
            </w:tcBorders>
          </w:tcPr>
          <w:p w:rsidRPr="00D76BC8" w:rsidR="00E64190" w:rsidP="007C26FD" w:rsidRDefault="001F380A" w14:paraId="5F8D3574" w14:textId="3DF41AF2">
            <w:pPr>
              <w:rPr>
                <w:rFonts w:ascii="Verdana" w:hAnsi="Verdana" w:cstheme="minorHAnsi"/>
                <w:sz w:val="18"/>
                <w:szCs w:val="18"/>
              </w:rPr>
            </w:pPr>
            <w:r>
              <w:rPr>
                <w:rFonts w:ascii="Verdana" w:hAnsi="Verdana" w:cstheme="minorHAnsi"/>
                <w:sz w:val="18"/>
                <w:szCs w:val="18"/>
              </w:rPr>
              <w:t xml:space="preserve">Het kabinet onderschrijft het doel van regeldrukvermindering en staat </w:t>
            </w:r>
            <w:r w:rsidRPr="00D76BC8" w:rsidR="00E64190">
              <w:rPr>
                <w:rFonts w:ascii="Verdana" w:hAnsi="Verdana" w:cstheme="minorHAnsi"/>
                <w:sz w:val="18"/>
                <w:szCs w:val="18"/>
              </w:rPr>
              <w:t xml:space="preserve">positief tegenover het </w:t>
            </w:r>
            <w:r>
              <w:rPr>
                <w:rFonts w:ascii="Verdana" w:hAnsi="Verdana" w:cstheme="minorHAnsi"/>
                <w:sz w:val="18"/>
                <w:szCs w:val="18"/>
              </w:rPr>
              <w:t xml:space="preserve">aangekondigde </w:t>
            </w:r>
            <w:r w:rsidRPr="00D76BC8" w:rsidR="00E64190">
              <w:rPr>
                <w:rFonts w:ascii="Verdana" w:hAnsi="Verdana" w:cstheme="minorHAnsi"/>
                <w:sz w:val="18"/>
                <w:szCs w:val="18"/>
              </w:rPr>
              <w:t xml:space="preserve">pakket en de uitvoering ervan. In de appreciatie zal het kabinet rekening houden met de volgende factoren: vereenvoudiging op het boerenerf, vermindering van administratieve lasten voor de boeren alsook van uitvoeringslasten voor de administraties, doelbereik, uitvoerbaarheid, stabiliteit van het systeem en voorspelbaarheid voor boeren en andere ontvangers van GLB-subsidies. </w:t>
            </w:r>
          </w:p>
        </w:tc>
        <w:tc>
          <w:tcPr>
            <w:tcW w:w="1843" w:type="dxa"/>
            <w:tcBorders>
              <w:top w:val="single" w:color="auto" w:sz="4" w:space="0"/>
              <w:left w:val="single" w:color="auto" w:sz="4" w:space="0"/>
              <w:bottom w:val="single" w:color="auto" w:sz="4" w:space="0"/>
              <w:right w:val="single" w:color="auto" w:sz="4" w:space="0"/>
            </w:tcBorders>
          </w:tcPr>
          <w:p w:rsidRPr="00D76BC8" w:rsidR="00E64190" w:rsidP="007C26FD" w:rsidRDefault="00E64190" w14:paraId="47487E1A" w14:textId="7F042E29">
            <w:pPr>
              <w:rPr>
                <w:rFonts w:ascii="Verdana" w:hAnsi="Verdana" w:cstheme="minorHAnsi"/>
                <w:color w:val="000000"/>
                <w:sz w:val="18"/>
                <w:szCs w:val="18"/>
              </w:rPr>
            </w:pPr>
            <w:r w:rsidRPr="00D76BC8">
              <w:rPr>
                <w:rFonts w:ascii="Verdana" w:hAnsi="Verdana" w:cstheme="minorHAnsi"/>
                <w:color w:val="000000"/>
                <w:sz w:val="18"/>
                <w:szCs w:val="18"/>
              </w:rPr>
              <w:t>Wetgevend</w:t>
            </w:r>
          </w:p>
        </w:tc>
      </w:tr>
      <w:tr w:rsidRPr="00D76BC8" w:rsidR="00FA5F1E" w:rsidTr="000A5CE8" w14:paraId="2B2B550D"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FA5F1E" w:rsidP="007C26FD" w:rsidRDefault="00FA5F1E" w14:paraId="6E69314E" w14:textId="6386BFF4">
            <w:pPr>
              <w:rPr>
                <w:rFonts w:ascii="Verdana" w:hAnsi="Verdana" w:cstheme="minorHAnsi"/>
                <w:sz w:val="18"/>
                <w:szCs w:val="18"/>
              </w:rPr>
            </w:pPr>
            <w:r w:rsidRPr="00D76BC8">
              <w:rPr>
                <w:rFonts w:ascii="Verdana" w:hAnsi="Verdana" w:cstheme="minorHAnsi"/>
                <w:color w:val="000000"/>
                <w:sz w:val="18"/>
                <w:szCs w:val="18"/>
              </w:rPr>
              <w:t>36.</w:t>
            </w:r>
          </w:p>
        </w:tc>
        <w:tc>
          <w:tcPr>
            <w:tcW w:w="2410" w:type="dxa"/>
            <w:tcBorders>
              <w:top w:val="single" w:color="auto" w:sz="4" w:space="0"/>
              <w:left w:val="single" w:color="auto" w:sz="4" w:space="0"/>
              <w:bottom w:val="single" w:color="auto" w:sz="4" w:space="0"/>
              <w:right w:val="single" w:color="auto" w:sz="4" w:space="0"/>
            </w:tcBorders>
          </w:tcPr>
          <w:p w:rsidRPr="00D76BC8" w:rsidR="00FA5F1E" w:rsidP="007C26FD" w:rsidRDefault="009E4740" w14:paraId="5495778B" w14:textId="58BA84AA">
            <w:pPr>
              <w:rPr>
                <w:rFonts w:ascii="Verdana" w:hAnsi="Verdana" w:cstheme="minorHAnsi"/>
                <w:sz w:val="18"/>
                <w:szCs w:val="18"/>
                <w:lang w:val="en-US"/>
              </w:rPr>
            </w:pPr>
            <w:proofErr w:type="spellStart"/>
            <w:r w:rsidRPr="009E4740">
              <w:rPr>
                <w:rFonts w:ascii="Verdana" w:hAnsi="Verdana" w:cstheme="minorHAnsi"/>
                <w:sz w:val="18"/>
                <w:szCs w:val="18"/>
                <w:lang w:val="en-US"/>
              </w:rPr>
              <w:t>Oceaanpact</w:t>
            </w:r>
            <w:proofErr w:type="spellEnd"/>
            <w:r w:rsidRPr="009E4740" w:rsidDel="009E4740">
              <w:rPr>
                <w:rFonts w:ascii="Verdana" w:hAnsi="Verdana" w:cstheme="minorHAnsi"/>
                <w:sz w:val="18"/>
                <w:szCs w:val="18"/>
                <w:lang w:val="en-US"/>
              </w:rPr>
              <w:t xml:space="preserve"> </w:t>
            </w:r>
            <w:r w:rsidRPr="00D76BC8" w:rsidR="00FA5F1E">
              <w:rPr>
                <w:rFonts w:ascii="Verdana" w:hAnsi="Verdana" w:cstheme="minorHAnsi"/>
                <w:sz w:val="18"/>
                <w:szCs w:val="18"/>
                <w:lang w:val="en-US"/>
              </w:rPr>
              <w:t>(Q2 2025)</w:t>
            </w:r>
          </w:p>
        </w:tc>
        <w:tc>
          <w:tcPr>
            <w:tcW w:w="4678" w:type="dxa"/>
            <w:tcBorders>
              <w:top w:val="single" w:color="auto" w:sz="4" w:space="0"/>
              <w:left w:val="single" w:color="auto" w:sz="4" w:space="0"/>
              <w:bottom w:val="single" w:color="auto" w:sz="4" w:space="0"/>
              <w:right w:val="single" w:color="auto" w:sz="4" w:space="0"/>
            </w:tcBorders>
          </w:tcPr>
          <w:p w:rsidRPr="00D76BC8" w:rsidR="00FA5F1E" w:rsidP="007C26FD" w:rsidRDefault="00FA5F1E" w14:paraId="0517F33B" w14:textId="0BE8BB2A">
            <w:pPr>
              <w:rPr>
                <w:rFonts w:ascii="Verdana" w:hAnsi="Verdana" w:cstheme="minorHAnsi"/>
                <w:sz w:val="18"/>
                <w:szCs w:val="18"/>
              </w:rPr>
            </w:pPr>
            <w:r w:rsidRPr="00D76BC8">
              <w:rPr>
                <w:rFonts w:ascii="Verdana" w:hAnsi="Verdana" w:cstheme="minorHAnsi"/>
                <w:sz w:val="18"/>
                <w:szCs w:val="18"/>
              </w:rPr>
              <w:t xml:space="preserve">De Commissie erkent dat oceanen en zeeën belangrijk zijn voor de welvaart, </w:t>
            </w:r>
            <w:r w:rsidR="00C11C92">
              <w:rPr>
                <w:rFonts w:ascii="Verdana" w:hAnsi="Verdana" w:cstheme="minorHAnsi"/>
                <w:sz w:val="18"/>
                <w:szCs w:val="18"/>
              </w:rPr>
              <w:t xml:space="preserve">het tegengaan van </w:t>
            </w:r>
            <w:r w:rsidRPr="00D76BC8">
              <w:rPr>
                <w:rFonts w:ascii="Verdana" w:hAnsi="Verdana" w:cstheme="minorHAnsi"/>
                <w:sz w:val="18"/>
                <w:szCs w:val="18"/>
              </w:rPr>
              <w:t>klimaatverandering, duurzaamheid en veiligheid van Europa. Daarom wil de Commissie met het Ocean Pact een eenduidig referentiekader bieden voor alle oceaan, zee en kust-gerelateerde beleidsmaatregelen en een integrale benadering hanteren, om</w:t>
            </w:r>
            <w:r w:rsidRPr="00D76BC8">
              <w:rPr>
                <w:rFonts w:ascii="Verdana" w:hAnsi="Verdana"/>
                <w:sz w:val="18"/>
                <w:szCs w:val="18"/>
              </w:rPr>
              <w:t xml:space="preserve"> </w:t>
            </w:r>
            <w:r w:rsidRPr="00D76BC8">
              <w:rPr>
                <w:rFonts w:ascii="Verdana" w:hAnsi="Verdana" w:cstheme="minorHAnsi"/>
                <w:sz w:val="18"/>
                <w:szCs w:val="18"/>
              </w:rPr>
              <w:t xml:space="preserve">de blauwe economie duurzamer te maken, te versterken en de natuur te beschermen. </w:t>
            </w:r>
          </w:p>
        </w:tc>
        <w:tc>
          <w:tcPr>
            <w:tcW w:w="5953" w:type="dxa"/>
            <w:tcBorders>
              <w:top w:val="single" w:color="auto" w:sz="4" w:space="0"/>
              <w:left w:val="single" w:color="auto" w:sz="4" w:space="0"/>
              <w:bottom w:val="single" w:color="auto" w:sz="4" w:space="0"/>
              <w:right w:val="single" w:color="auto" w:sz="4" w:space="0"/>
            </w:tcBorders>
          </w:tcPr>
          <w:p w:rsidRPr="00D76BC8" w:rsidR="00FA5F1E" w:rsidP="007C26FD" w:rsidRDefault="00FA5F1E" w14:paraId="02DAC8D9" w14:textId="27895A66">
            <w:pPr>
              <w:rPr>
                <w:rFonts w:ascii="Verdana" w:hAnsi="Verdana" w:cstheme="minorHAnsi"/>
                <w:sz w:val="18"/>
                <w:szCs w:val="18"/>
              </w:rPr>
            </w:pPr>
            <w:r w:rsidRPr="00D76BC8">
              <w:rPr>
                <w:rFonts w:ascii="Verdana" w:hAnsi="Verdana" w:cstheme="minorHAnsi"/>
                <w:color w:val="000000"/>
                <w:sz w:val="18"/>
                <w:szCs w:val="18"/>
              </w:rPr>
              <w:t>Het kabinet verwelkomt het voornemen van de Commissie om met een Ocean Pact te komen. Dit pact sluit naar verwachting aan bij het huidige kabinetsbeleid van het Programma Noordzee over voedsel uit zee, energie, maritiem transport, zandwinning en natuur. Het initiatief kan ook positief bijdragen aan het Nederlandse initiatief voor samenwerking en bestuur rond de grote Noordzee (</w:t>
            </w:r>
            <w:proofErr w:type="spellStart"/>
            <w:r w:rsidRPr="00D76BC8">
              <w:rPr>
                <w:rFonts w:ascii="Verdana" w:hAnsi="Verdana" w:cstheme="minorHAnsi"/>
                <w:i/>
                <w:iCs/>
                <w:color w:val="000000"/>
                <w:sz w:val="18"/>
                <w:szCs w:val="18"/>
              </w:rPr>
              <w:t>Greater</w:t>
            </w:r>
            <w:proofErr w:type="spellEnd"/>
            <w:r w:rsidRPr="00D76BC8">
              <w:rPr>
                <w:rFonts w:ascii="Verdana" w:hAnsi="Verdana" w:cstheme="minorHAnsi"/>
                <w:i/>
                <w:iCs/>
                <w:color w:val="000000"/>
                <w:sz w:val="18"/>
                <w:szCs w:val="18"/>
              </w:rPr>
              <w:t xml:space="preserve"> North Sea </w:t>
            </w:r>
            <w:proofErr w:type="spellStart"/>
            <w:r w:rsidRPr="00D76BC8">
              <w:rPr>
                <w:rFonts w:ascii="Verdana" w:hAnsi="Verdana" w:cstheme="minorHAnsi"/>
                <w:i/>
                <w:iCs/>
                <w:color w:val="000000"/>
                <w:sz w:val="18"/>
                <w:szCs w:val="18"/>
              </w:rPr>
              <w:t>Basin</w:t>
            </w:r>
            <w:proofErr w:type="spellEnd"/>
            <w:r w:rsidRPr="00D76BC8">
              <w:rPr>
                <w:rFonts w:ascii="Verdana" w:hAnsi="Verdana" w:cstheme="minorHAnsi"/>
                <w:i/>
                <w:iCs/>
                <w:color w:val="000000"/>
                <w:sz w:val="18"/>
                <w:szCs w:val="18"/>
              </w:rPr>
              <w:t xml:space="preserve"> </w:t>
            </w:r>
            <w:proofErr w:type="spellStart"/>
            <w:r w:rsidRPr="00D76BC8">
              <w:rPr>
                <w:rFonts w:ascii="Verdana" w:hAnsi="Verdana" w:cstheme="minorHAnsi"/>
                <w:i/>
                <w:iCs/>
                <w:color w:val="000000"/>
                <w:sz w:val="18"/>
                <w:szCs w:val="18"/>
              </w:rPr>
              <w:t>Initiative</w:t>
            </w:r>
            <w:proofErr w:type="spellEnd"/>
            <w:r w:rsidRPr="00D76BC8">
              <w:rPr>
                <w:rFonts w:ascii="Verdana" w:hAnsi="Verdana" w:cstheme="minorHAnsi"/>
                <w:color w:val="000000"/>
                <w:sz w:val="18"/>
                <w:szCs w:val="18"/>
              </w:rPr>
              <w:t>)</w:t>
            </w:r>
            <w:r w:rsidR="00C11C92">
              <w:rPr>
                <w:rFonts w:ascii="Verdana" w:hAnsi="Verdana" w:cstheme="minorHAnsi"/>
                <w:color w:val="000000"/>
                <w:sz w:val="18"/>
                <w:szCs w:val="18"/>
              </w:rPr>
              <w:t xml:space="preserve"> </w:t>
            </w:r>
            <w:r w:rsidRPr="00C11C92" w:rsidR="00C11C92">
              <w:rPr>
                <w:rFonts w:ascii="Verdana" w:hAnsi="Verdana" w:cstheme="minorHAnsi"/>
                <w:color w:val="000000"/>
                <w:sz w:val="18"/>
                <w:szCs w:val="18"/>
              </w:rPr>
              <w:t>en de Nederlandse bijdrage aan internationale samenwerking ten behoeve van goed en effectief oceaanbeheer (</w:t>
            </w:r>
            <w:proofErr w:type="spellStart"/>
            <w:r w:rsidRPr="00C11C92" w:rsidR="00C11C92">
              <w:rPr>
                <w:rFonts w:ascii="Verdana" w:hAnsi="Verdana" w:cstheme="minorHAnsi"/>
                <w:color w:val="000000"/>
                <w:sz w:val="18"/>
                <w:szCs w:val="18"/>
              </w:rPr>
              <w:t>ocean</w:t>
            </w:r>
            <w:proofErr w:type="spellEnd"/>
            <w:r w:rsidRPr="00C11C92" w:rsidR="00C11C92">
              <w:rPr>
                <w:rFonts w:ascii="Verdana" w:hAnsi="Verdana" w:cstheme="minorHAnsi"/>
                <w:color w:val="000000"/>
                <w:sz w:val="18"/>
                <w:szCs w:val="18"/>
              </w:rPr>
              <w:t xml:space="preserve"> </w:t>
            </w:r>
            <w:proofErr w:type="spellStart"/>
            <w:r w:rsidRPr="00C11C92" w:rsidR="00C11C92">
              <w:rPr>
                <w:rFonts w:ascii="Verdana" w:hAnsi="Verdana" w:cstheme="minorHAnsi"/>
                <w:color w:val="000000"/>
                <w:sz w:val="18"/>
                <w:szCs w:val="18"/>
              </w:rPr>
              <w:t>governance</w:t>
            </w:r>
            <w:proofErr w:type="spellEnd"/>
            <w:r w:rsidRPr="00C11C92" w:rsidR="00C11C92">
              <w:rPr>
                <w:rFonts w:ascii="Verdana" w:hAnsi="Verdana" w:cstheme="minorHAnsi"/>
                <w:color w:val="000000"/>
                <w:sz w:val="18"/>
                <w:szCs w:val="18"/>
              </w:rPr>
              <w:t>) versterken en onderstrepen.</w:t>
            </w:r>
          </w:p>
        </w:tc>
        <w:tc>
          <w:tcPr>
            <w:tcW w:w="1843" w:type="dxa"/>
            <w:tcBorders>
              <w:top w:val="single" w:color="auto" w:sz="4" w:space="0"/>
              <w:left w:val="single" w:color="auto" w:sz="4" w:space="0"/>
              <w:bottom w:val="single" w:color="auto" w:sz="4" w:space="0"/>
              <w:right w:val="single" w:color="auto" w:sz="4" w:space="0"/>
            </w:tcBorders>
          </w:tcPr>
          <w:p w:rsidRPr="00D76BC8" w:rsidR="00FA5F1E" w:rsidP="007C26FD" w:rsidRDefault="00FA5F1E" w14:paraId="1E57D8F8" w14:textId="77777777">
            <w:pPr>
              <w:rPr>
                <w:rFonts w:ascii="Verdana" w:hAnsi="Verdana" w:cstheme="minorHAnsi"/>
                <w:color w:val="000000"/>
                <w:sz w:val="18"/>
                <w:szCs w:val="18"/>
                <w:lang w:val="en-US"/>
              </w:rPr>
            </w:pPr>
            <w:proofErr w:type="spellStart"/>
            <w:r w:rsidRPr="00D76BC8">
              <w:rPr>
                <w:rFonts w:ascii="Verdana" w:hAnsi="Verdana" w:cstheme="minorHAnsi"/>
                <w:color w:val="000000"/>
                <w:sz w:val="18"/>
                <w:szCs w:val="18"/>
                <w:lang w:val="en-US"/>
              </w:rPr>
              <w:t>Niet-wetgevend</w:t>
            </w:r>
            <w:proofErr w:type="spellEnd"/>
          </w:p>
        </w:tc>
      </w:tr>
      <w:tr w:rsidRPr="00D76BC8" w:rsidR="00FA5F1E" w:rsidTr="000A5CE8" w14:paraId="3EA8AB78"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FA5F1E" w:rsidP="007C26FD" w:rsidRDefault="00FA5F1E" w14:paraId="7144A310" w14:textId="78045B26">
            <w:pPr>
              <w:rPr>
                <w:rFonts w:ascii="Verdana" w:hAnsi="Verdana" w:cstheme="minorHAnsi"/>
                <w:color w:val="000000"/>
                <w:sz w:val="18"/>
                <w:szCs w:val="18"/>
              </w:rPr>
            </w:pPr>
            <w:r w:rsidRPr="00D76BC8">
              <w:rPr>
                <w:rFonts w:ascii="Verdana" w:hAnsi="Verdana" w:cstheme="minorHAnsi"/>
                <w:color w:val="000000"/>
                <w:sz w:val="18"/>
                <w:szCs w:val="18"/>
              </w:rPr>
              <w:t>37.</w:t>
            </w:r>
          </w:p>
        </w:tc>
        <w:tc>
          <w:tcPr>
            <w:tcW w:w="2410" w:type="dxa"/>
            <w:tcBorders>
              <w:top w:val="single" w:color="auto" w:sz="4" w:space="0"/>
              <w:left w:val="single" w:color="auto" w:sz="4" w:space="0"/>
              <w:bottom w:val="single" w:color="auto" w:sz="4" w:space="0"/>
              <w:right w:val="single" w:color="auto" w:sz="4" w:space="0"/>
            </w:tcBorders>
          </w:tcPr>
          <w:p w:rsidRPr="0086334D" w:rsidR="00FA5F1E" w:rsidP="007C26FD" w:rsidRDefault="009E4740" w14:paraId="71308389" w14:textId="5EB42F87">
            <w:pPr>
              <w:rPr>
                <w:rFonts w:ascii="Verdana" w:hAnsi="Verdana" w:cstheme="minorHAnsi"/>
                <w:sz w:val="18"/>
                <w:szCs w:val="18"/>
              </w:rPr>
            </w:pPr>
            <w:r w:rsidRPr="0086334D">
              <w:rPr>
                <w:rFonts w:ascii="Verdana" w:hAnsi="Verdana" w:cstheme="minorHAnsi"/>
                <w:sz w:val="18"/>
                <w:szCs w:val="18"/>
              </w:rPr>
              <w:t>Europese strategie voor waterweerbaarheid</w:t>
            </w:r>
            <w:r w:rsidRPr="0086334D" w:rsidDel="009E4740">
              <w:rPr>
                <w:rFonts w:ascii="Verdana" w:hAnsi="Verdana" w:cstheme="minorHAnsi"/>
                <w:sz w:val="18"/>
                <w:szCs w:val="18"/>
              </w:rPr>
              <w:t xml:space="preserve"> </w:t>
            </w:r>
            <w:r w:rsidRPr="0086334D" w:rsidR="00FA5F1E">
              <w:rPr>
                <w:rFonts w:ascii="Verdana" w:hAnsi="Verdana" w:cstheme="minorHAnsi"/>
                <w:sz w:val="18"/>
                <w:szCs w:val="18"/>
              </w:rPr>
              <w:t>(Q2 2025)</w:t>
            </w:r>
          </w:p>
        </w:tc>
        <w:tc>
          <w:tcPr>
            <w:tcW w:w="4678" w:type="dxa"/>
            <w:tcBorders>
              <w:top w:val="single" w:color="auto" w:sz="4" w:space="0"/>
              <w:left w:val="single" w:color="auto" w:sz="4" w:space="0"/>
              <w:bottom w:val="single" w:color="auto" w:sz="4" w:space="0"/>
              <w:right w:val="single" w:color="auto" w:sz="4" w:space="0"/>
            </w:tcBorders>
          </w:tcPr>
          <w:p w:rsidRPr="00D76BC8" w:rsidR="00FA5F1E" w:rsidP="007C26FD" w:rsidRDefault="00FA5F1E" w14:paraId="6D33202B" w14:textId="756C2DD5">
            <w:pPr>
              <w:rPr>
                <w:rFonts w:ascii="Verdana" w:hAnsi="Verdana" w:cstheme="minorHAnsi"/>
                <w:color w:val="000000"/>
                <w:sz w:val="18"/>
                <w:szCs w:val="18"/>
              </w:rPr>
            </w:pPr>
            <w:r w:rsidRPr="00D76BC8">
              <w:rPr>
                <w:rFonts w:ascii="Verdana" w:hAnsi="Verdana" w:cstheme="minorHAnsi"/>
                <w:sz w:val="18"/>
                <w:szCs w:val="18"/>
              </w:rPr>
              <w:t xml:space="preserve">De Commissie zal deze strategie presenteren om duurzaam waterbeheer te stimuleren en de gevolgen van klimaatverandering, zoals overstromingen en droogte, het hoofd te bieden. </w:t>
            </w:r>
            <w:r w:rsidRPr="00D76BC8">
              <w:rPr>
                <w:rFonts w:ascii="Verdana" w:hAnsi="Verdana" w:cstheme="minorHAnsi"/>
                <w:sz w:val="18"/>
                <w:szCs w:val="18"/>
              </w:rPr>
              <w:lastRenderedPageBreak/>
              <w:t xml:space="preserve">Met een bron-tot-zee-aanpak moet rekening worden gehouden met de diverse uitdagingen in verschillende regio’s en sectoren. </w:t>
            </w:r>
            <w:r w:rsidRPr="00D76BC8" w:rsidR="00E64190">
              <w:rPr>
                <w:rFonts w:ascii="Verdana" w:hAnsi="Verdana" w:cstheme="minorHAnsi"/>
                <w:sz w:val="18"/>
                <w:szCs w:val="18"/>
              </w:rPr>
              <w:t>Deze aanpak</w:t>
            </w:r>
            <w:r w:rsidRPr="00D76BC8">
              <w:rPr>
                <w:rFonts w:ascii="Verdana" w:hAnsi="Verdana" w:cstheme="minorHAnsi"/>
                <w:sz w:val="18"/>
                <w:szCs w:val="18"/>
              </w:rPr>
              <w:t xml:space="preserve"> moet zorgen voor beter beheer van waterbronnen, het aanpakken van schaarste en vervuiling, en het versterken van de concurrentiekracht van de watersector.</w:t>
            </w:r>
          </w:p>
        </w:tc>
        <w:tc>
          <w:tcPr>
            <w:tcW w:w="5953" w:type="dxa"/>
            <w:tcBorders>
              <w:top w:val="single" w:color="auto" w:sz="4" w:space="0"/>
              <w:left w:val="single" w:color="auto" w:sz="4" w:space="0"/>
              <w:bottom w:val="single" w:color="auto" w:sz="4" w:space="0"/>
              <w:right w:val="single" w:color="auto" w:sz="4" w:space="0"/>
            </w:tcBorders>
          </w:tcPr>
          <w:p w:rsidRPr="00D76BC8" w:rsidR="00FA5F1E" w:rsidP="00A86D48" w:rsidRDefault="00FA5F1E" w14:paraId="5D660622" w14:textId="03EEA585">
            <w:pPr>
              <w:rPr>
                <w:rFonts w:ascii="Verdana" w:hAnsi="Verdana" w:cstheme="minorHAnsi"/>
                <w:color w:val="000000"/>
                <w:sz w:val="18"/>
                <w:szCs w:val="18"/>
              </w:rPr>
            </w:pPr>
            <w:r w:rsidRPr="00D76BC8">
              <w:rPr>
                <w:rFonts w:ascii="Verdana" w:hAnsi="Verdana" w:cstheme="minorHAnsi"/>
                <w:sz w:val="18"/>
                <w:szCs w:val="18"/>
              </w:rPr>
              <w:lastRenderedPageBreak/>
              <w:t xml:space="preserve">Het kabinet vindt waterbeschikbaarheid voor burgers, gezondheid, natuur en economie cruciaal. Dit initiatief onderschrijft in die zin het belang van het in kaart brengen van klimaatrisico’s, klimaatadaptatie en het voorbereiden op </w:t>
            </w:r>
            <w:r w:rsidRPr="00D76BC8">
              <w:rPr>
                <w:rFonts w:ascii="Verdana" w:hAnsi="Verdana" w:cstheme="minorHAnsi"/>
                <w:sz w:val="18"/>
                <w:szCs w:val="18"/>
              </w:rPr>
              <w:lastRenderedPageBreak/>
              <w:t>extremen; dit met het ondersteunen van kansen voor ons bedrijfsleven in het buitenland.</w:t>
            </w:r>
            <w:r w:rsidR="002404CF">
              <w:rPr>
                <w:rFonts w:ascii="Verdana" w:hAnsi="Verdana" w:cstheme="minorHAnsi"/>
                <w:sz w:val="18"/>
                <w:szCs w:val="18"/>
              </w:rPr>
              <w:t xml:space="preserve"> </w:t>
            </w:r>
            <w:r w:rsidRPr="00E2335A" w:rsidR="002404CF">
              <w:rPr>
                <w:rFonts w:cstheme="minorHAnsi"/>
              </w:rPr>
              <w:t xml:space="preserve">Het kabinet ziet </w:t>
            </w:r>
            <w:r w:rsidR="002404CF">
              <w:rPr>
                <w:rFonts w:cstheme="minorHAnsi"/>
              </w:rPr>
              <w:t xml:space="preserve">daarbij </w:t>
            </w:r>
            <w:r w:rsidRPr="00E2335A" w:rsidR="002404CF">
              <w:rPr>
                <w:rFonts w:cstheme="minorHAnsi"/>
              </w:rPr>
              <w:t>de verbinding tussen klimaat</w:t>
            </w:r>
            <w:r w:rsidR="002404CF">
              <w:rPr>
                <w:rFonts w:cstheme="minorHAnsi"/>
              </w:rPr>
              <w:t>adaptatie</w:t>
            </w:r>
            <w:r w:rsidRPr="00E2335A" w:rsidR="002404CF">
              <w:rPr>
                <w:rFonts w:cstheme="minorHAnsi"/>
              </w:rPr>
              <w:t xml:space="preserve">-water-landbouw/voedselzekerheid en natuur–opgaven. Daarom wijst het kabinet op het belang van goede afstemming tussen de </w:t>
            </w:r>
            <w:r w:rsidR="002404CF">
              <w:rPr>
                <w:rFonts w:cstheme="minorHAnsi"/>
              </w:rPr>
              <w:t>Strategie voor Waterweerbaarheid</w:t>
            </w:r>
            <w:r w:rsidRPr="00E2335A" w:rsidR="002404CF">
              <w:rPr>
                <w:rFonts w:cstheme="minorHAnsi"/>
              </w:rPr>
              <w:t xml:space="preserve"> en het beoogde </w:t>
            </w:r>
            <w:r w:rsidR="002404CF">
              <w:rPr>
                <w:rFonts w:cstheme="minorHAnsi"/>
              </w:rPr>
              <w:t>Europese klimaatadaptatie plan</w:t>
            </w:r>
            <w:r w:rsidRPr="00E2335A" w:rsidR="002404CF">
              <w:rPr>
                <w:rFonts w:cstheme="minorHAnsi"/>
              </w:rPr>
              <w:t xml:space="preserve">. Zo zullen ook de inspanningen in de lidstaten op deze onderwerpen moeten worden </w:t>
            </w:r>
            <w:r w:rsidR="002404CF">
              <w:rPr>
                <w:rFonts w:cstheme="minorHAnsi"/>
              </w:rPr>
              <w:t>af</w:t>
            </w:r>
            <w:r w:rsidRPr="00E2335A" w:rsidR="002404CF">
              <w:rPr>
                <w:rFonts w:cstheme="minorHAnsi"/>
              </w:rPr>
              <w:t>gestemd</w:t>
            </w:r>
          </w:p>
        </w:tc>
        <w:tc>
          <w:tcPr>
            <w:tcW w:w="1843" w:type="dxa"/>
            <w:tcBorders>
              <w:top w:val="single" w:color="auto" w:sz="4" w:space="0"/>
              <w:left w:val="single" w:color="auto" w:sz="4" w:space="0"/>
              <w:bottom w:val="single" w:color="auto" w:sz="4" w:space="0"/>
              <w:right w:val="single" w:color="auto" w:sz="4" w:space="0"/>
            </w:tcBorders>
          </w:tcPr>
          <w:p w:rsidRPr="00D76BC8" w:rsidR="00FA5F1E" w:rsidP="007C26FD" w:rsidRDefault="00FA5F1E" w14:paraId="2E063193" w14:textId="3BB6F5AC">
            <w:pPr>
              <w:rPr>
                <w:rFonts w:ascii="Verdana" w:hAnsi="Verdana" w:cstheme="minorHAnsi"/>
                <w:color w:val="000000"/>
                <w:sz w:val="18"/>
                <w:szCs w:val="18"/>
                <w:lang w:val="en-US"/>
              </w:rPr>
            </w:pPr>
            <w:proofErr w:type="spellStart"/>
            <w:r w:rsidRPr="00D76BC8">
              <w:rPr>
                <w:rFonts w:ascii="Verdana" w:hAnsi="Verdana" w:cstheme="minorHAnsi"/>
                <w:color w:val="000000"/>
                <w:sz w:val="18"/>
                <w:szCs w:val="18"/>
                <w:lang w:val="en-US"/>
              </w:rPr>
              <w:lastRenderedPageBreak/>
              <w:t>Niet-wetgevend</w:t>
            </w:r>
            <w:proofErr w:type="spellEnd"/>
          </w:p>
        </w:tc>
      </w:tr>
    </w:tbl>
    <w:p w:rsidR="00BC4B31" w:rsidP="007C26FD" w:rsidRDefault="00BC4B31" w14:paraId="1B5AB7F6" w14:textId="7090BFF8">
      <w:pPr>
        <w:spacing w:line="240" w:lineRule="auto"/>
        <w:rPr>
          <w:rFonts w:ascii="Verdana" w:hAnsi="Verdana"/>
          <w:b/>
          <w:bCs/>
          <w:sz w:val="18"/>
          <w:szCs w:val="18"/>
          <w:lang w:val="en-US"/>
        </w:rPr>
      </w:pPr>
    </w:p>
    <w:p w:rsidR="00D76BC8" w:rsidP="007C26FD" w:rsidRDefault="00D76BC8" w14:paraId="1ABC0ECF" w14:textId="77777777">
      <w:pPr>
        <w:spacing w:line="240" w:lineRule="auto"/>
        <w:rPr>
          <w:rFonts w:ascii="Verdana" w:hAnsi="Verdana"/>
          <w:b/>
          <w:bCs/>
          <w:sz w:val="18"/>
          <w:szCs w:val="18"/>
          <w:lang w:val="en-US"/>
        </w:rPr>
      </w:pPr>
    </w:p>
    <w:p w:rsidR="00D76BC8" w:rsidP="007C26FD" w:rsidRDefault="00D76BC8" w14:paraId="78CF9314" w14:textId="77777777">
      <w:pPr>
        <w:spacing w:line="240" w:lineRule="auto"/>
        <w:rPr>
          <w:rFonts w:ascii="Verdana" w:hAnsi="Verdana"/>
          <w:b/>
          <w:bCs/>
          <w:sz w:val="18"/>
          <w:szCs w:val="18"/>
          <w:lang w:val="en-US"/>
        </w:rPr>
      </w:pPr>
    </w:p>
    <w:p w:rsidR="00D76BC8" w:rsidP="007C26FD" w:rsidRDefault="00D76BC8" w14:paraId="66AE32DA" w14:textId="77777777">
      <w:pPr>
        <w:spacing w:line="240" w:lineRule="auto"/>
        <w:rPr>
          <w:rFonts w:ascii="Verdana" w:hAnsi="Verdana"/>
          <w:b/>
          <w:bCs/>
          <w:sz w:val="18"/>
          <w:szCs w:val="18"/>
          <w:lang w:val="en-US"/>
        </w:rPr>
      </w:pPr>
    </w:p>
    <w:p w:rsidR="00D76BC8" w:rsidP="007C26FD" w:rsidRDefault="00D76BC8" w14:paraId="5EF062BF" w14:textId="77777777">
      <w:pPr>
        <w:spacing w:line="240" w:lineRule="auto"/>
        <w:rPr>
          <w:rFonts w:ascii="Verdana" w:hAnsi="Verdana"/>
          <w:b/>
          <w:bCs/>
          <w:sz w:val="18"/>
          <w:szCs w:val="18"/>
          <w:lang w:val="en-US"/>
        </w:rPr>
      </w:pPr>
    </w:p>
    <w:p w:rsidRPr="00D76BC8" w:rsidR="00D76BC8" w:rsidP="007C26FD" w:rsidRDefault="00D76BC8" w14:paraId="16F99795" w14:textId="77777777">
      <w:pPr>
        <w:spacing w:line="240" w:lineRule="auto"/>
        <w:rPr>
          <w:rFonts w:ascii="Verdana" w:hAnsi="Verdana"/>
          <w:b/>
          <w:bCs/>
          <w:sz w:val="18"/>
          <w:szCs w:val="18"/>
          <w:lang w:val="en-US"/>
        </w:rPr>
      </w:pPr>
    </w:p>
    <w:p w:rsidR="00D76BC8" w:rsidP="007C26FD" w:rsidRDefault="00D76BC8" w14:paraId="55220255" w14:textId="77777777">
      <w:pPr>
        <w:rPr>
          <w:rFonts w:ascii="Verdana" w:hAnsi="Verdana"/>
          <w:b/>
          <w:bCs/>
          <w:sz w:val="18"/>
          <w:szCs w:val="18"/>
        </w:rPr>
      </w:pPr>
      <w:r>
        <w:rPr>
          <w:rFonts w:ascii="Verdana" w:hAnsi="Verdana"/>
          <w:b/>
          <w:bCs/>
          <w:sz w:val="18"/>
          <w:szCs w:val="18"/>
        </w:rPr>
        <w:br w:type="page"/>
      </w:r>
    </w:p>
    <w:p w:rsidRPr="00D76BC8" w:rsidR="00BC4B31" w:rsidP="007C26FD" w:rsidRDefault="007E5965" w14:paraId="15810852" w14:textId="5B6537FE">
      <w:pPr>
        <w:pStyle w:val="NormalWeb"/>
        <w:rPr>
          <w:rFonts w:ascii="Verdana" w:hAnsi="Verdana" w:eastAsiaTheme="minorHAnsi" w:cstheme="minorBidi"/>
          <w:b/>
          <w:bCs/>
          <w:sz w:val="18"/>
          <w:szCs w:val="18"/>
          <w:lang w:eastAsia="en-US"/>
        </w:rPr>
      </w:pPr>
      <w:r w:rsidRPr="00D76BC8">
        <w:rPr>
          <w:rFonts w:ascii="Verdana" w:hAnsi="Verdana" w:eastAsiaTheme="minorHAnsi" w:cstheme="minorBidi"/>
          <w:b/>
          <w:bCs/>
          <w:sz w:val="18"/>
          <w:szCs w:val="18"/>
          <w:lang w:eastAsia="en-US"/>
        </w:rPr>
        <w:lastRenderedPageBreak/>
        <w:t xml:space="preserve">Prioriteit 5: </w:t>
      </w:r>
      <w:r w:rsidRPr="00D76BC8" w:rsidR="00BC4B31">
        <w:rPr>
          <w:rFonts w:ascii="Verdana" w:hAnsi="Verdana" w:eastAsiaTheme="minorHAnsi" w:cstheme="minorBidi"/>
          <w:b/>
          <w:bCs/>
          <w:sz w:val="18"/>
          <w:szCs w:val="18"/>
          <w:lang w:eastAsia="en-US"/>
        </w:rPr>
        <w:t>Onze democratie beschermen en onze waarden hooghouden</w:t>
      </w:r>
    </w:p>
    <w:tbl>
      <w:tblPr>
        <w:tblStyle w:val="TableGrid"/>
        <w:tblW w:w="15451" w:type="dxa"/>
        <w:tblInd w:w="-5" w:type="dxa"/>
        <w:tblLayout w:type="fixed"/>
        <w:tblLook w:val="04A0" w:firstRow="1" w:lastRow="0" w:firstColumn="1" w:lastColumn="0" w:noHBand="0" w:noVBand="1"/>
      </w:tblPr>
      <w:tblGrid>
        <w:gridCol w:w="567"/>
        <w:gridCol w:w="2410"/>
        <w:gridCol w:w="4678"/>
        <w:gridCol w:w="5953"/>
        <w:gridCol w:w="1843"/>
      </w:tblGrid>
      <w:tr w:rsidRPr="00D76BC8" w:rsidR="0088029E" w:rsidTr="0046703E" w14:paraId="534C5841" w14:textId="77777777">
        <w:trPr>
          <w:trHeight w:val="634"/>
        </w:trPr>
        <w:tc>
          <w:tcPr>
            <w:tcW w:w="567" w:type="dxa"/>
            <w:tcBorders>
              <w:top w:val="single" w:color="auto" w:sz="4" w:space="0"/>
              <w:left w:val="single" w:color="auto" w:sz="4" w:space="0"/>
              <w:bottom w:val="single" w:color="auto" w:sz="4" w:space="0"/>
              <w:right w:val="single" w:color="auto" w:sz="4" w:space="0"/>
            </w:tcBorders>
          </w:tcPr>
          <w:p w:rsidRPr="00D76BC8" w:rsidR="0088029E" w:rsidP="007C26FD" w:rsidRDefault="0088029E" w14:paraId="49DF6C52" w14:textId="77777777">
            <w:pPr>
              <w:rPr>
                <w:rFonts w:ascii="Verdana" w:hAnsi="Verdana" w:cstheme="minorHAnsi"/>
                <w:b/>
                <w:bCs/>
                <w:sz w:val="18"/>
                <w:szCs w:val="18"/>
              </w:rPr>
            </w:pPr>
            <w:r w:rsidRPr="00D76BC8">
              <w:rPr>
                <w:rFonts w:ascii="Verdana" w:hAnsi="Verdana" w:cstheme="minorHAnsi"/>
                <w:b/>
                <w:bCs/>
                <w:sz w:val="18"/>
                <w:szCs w:val="18"/>
              </w:rPr>
              <w:t>No.</w:t>
            </w:r>
          </w:p>
        </w:tc>
        <w:tc>
          <w:tcPr>
            <w:tcW w:w="2410" w:type="dxa"/>
            <w:tcBorders>
              <w:top w:val="single" w:color="auto" w:sz="4" w:space="0"/>
              <w:left w:val="single" w:color="auto" w:sz="4" w:space="0"/>
              <w:bottom w:val="single" w:color="auto" w:sz="4" w:space="0"/>
              <w:right w:val="single" w:color="auto" w:sz="4" w:space="0"/>
            </w:tcBorders>
            <w:hideMark/>
          </w:tcPr>
          <w:p w:rsidRPr="00D76BC8" w:rsidR="0088029E" w:rsidP="007C26FD" w:rsidRDefault="0088029E" w14:paraId="1B4B5344" w14:textId="77777777">
            <w:pPr>
              <w:rPr>
                <w:rFonts w:ascii="Verdana" w:hAnsi="Verdana" w:cstheme="minorHAnsi"/>
                <w:b/>
                <w:bCs/>
                <w:sz w:val="18"/>
                <w:szCs w:val="18"/>
              </w:rPr>
            </w:pPr>
            <w:r w:rsidRPr="00D76BC8">
              <w:rPr>
                <w:rFonts w:ascii="Verdana" w:hAnsi="Verdana" w:cstheme="minorHAnsi"/>
                <w:b/>
                <w:bCs/>
                <w:sz w:val="18"/>
                <w:szCs w:val="18"/>
              </w:rPr>
              <w:t>Titel (publicatiedatum)</w:t>
            </w:r>
          </w:p>
        </w:tc>
        <w:tc>
          <w:tcPr>
            <w:tcW w:w="4678" w:type="dxa"/>
            <w:tcBorders>
              <w:top w:val="single" w:color="auto" w:sz="4" w:space="0"/>
              <w:left w:val="single" w:color="auto" w:sz="4" w:space="0"/>
              <w:bottom w:val="single" w:color="auto" w:sz="4" w:space="0"/>
              <w:right w:val="single" w:color="auto" w:sz="4" w:space="0"/>
            </w:tcBorders>
            <w:hideMark/>
          </w:tcPr>
          <w:p w:rsidRPr="00D76BC8" w:rsidR="0088029E" w:rsidP="007C26FD" w:rsidRDefault="0088029E" w14:paraId="33C62A80" w14:textId="77777777">
            <w:pPr>
              <w:rPr>
                <w:rFonts w:ascii="Verdana" w:hAnsi="Verdana" w:cstheme="minorHAnsi"/>
                <w:b/>
                <w:bCs/>
                <w:sz w:val="18"/>
                <w:szCs w:val="18"/>
              </w:rPr>
            </w:pPr>
            <w:r w:rsidRPr="00D76BC8">
              <w:rPr>
                <w:rFonts w:ascii="Verdana" w:hAnsi="Verdana" w:cstheme="minorHAnsi"/>
                <w:b/>
                <w:bCs/>
                <w:sz w:val="18"/>
                <w:szCs w:val="18"/>
              </w:rPr>
              <w:t>Korte beschrijving</w:t>
            </w:r>
          </w:p>
        </w:tc>
        <w:tc>
          <w:tcPr>
            <w:tcW w:w="5953" w:type="dxa"/>
            <w:tcBorders>
              <w:top w:val="single" w:color="auto" w:sz="4" w:space="0"/>
              <w:left w:val="single" w:color="auto" w:sz="4" w:space="0"/>
              <w:bottom w:val="single" w:color="auto" w:sz="4" w:space="0"/>
              <w:right w:val="single" w:color="auto" w:sz="4" w:space="0"/>
            </w:tcBorders>
            <w:hideMark/>
          </w:tcPr>
          <w:p w:rsidRPr="00D76BC8" w:rsidR="0088029E" w:rsidP="007C26FD" w:rsidRDefault="0088029E" w14:paraId="54593F53" w14:textId="77777777">
            <w:pPr>
              <w:rPr>
                <w:rFonts w:ascii="Verdana" w:hAnsi="Verdana" w:cstheme="minorHAnsi"/>
                <w:b/>
                <w:bCs/>
                <w:sz w:val="18"/>
                <w:szCs w:val="18"/>
              </w:rPr>
            </w:pPr>
            <w:r w:rsidRPr="00D76BC8">
              <w:rPr>
                <w:rFonts w:ascii="Verdana" w:hAnsi="Verdana" w:cstheme="minorHAnsi"/>
                <w:b/>
                <w:bCs/>
                <w:sz w:val="18"/>
                <w:szCs w:val="18"/>
              </w:rPr>
              <w:t>Kabinetsappreciatie</w:t>
            </w:r>
          </w:p>
        </w:tc>
        <w:tc>
          <w:tcPr>
            <w:tcW w:w="1843" w:type="dxa"/>
            <w:tcBorders>
              <w:top w:val="single" w:color="auto" w:sz="4" w:space="0"/>
              <w:left w:val="single" w:color="auto" w:sz="4" w:space="0"/>
              <w:bottom w:val="single" w:color="auto" w:sz="4" w:space="0"/>
              <w:right w:val="single" w:color="auto" w:sz="4" w:space="0"/>
            </w:tcBorders>
          </w:tcPr>
          <w:p w:rsidRPr="00D76BC8" w:rsidR="0088029E" w:rsidP="007C26FD" w:rsidRDefault="0088029E" w14:paraId="7EDF3049" w14:textId="77777777">
            <w:pPr>
              <w:rPr>
                <w:rFonts w:ascii="Verdana" w:hAnsi="Verdana" w:cstheme="minorHAnsi"/>
                <w:b/>
                <w:bCs/>
                <w:sz w:val="18"/>
                <w:szCs w:val="18"/>
              </w:rPr>
            </w:pPr>
            <w:r w:rsidRPr="00D76BC8">
              <w:rPr>
                <w:rFonts w:ascii="Verdana" w:hAnsi="Verdana" w:cstheme="minorHAnsi"/>
                <w:b/>
                <w:bCs/>
                <w:sz w:val="18"/>
                <w:szCs w:val="18"/>
              </w:rPr>
              <w:t>Wetgevend/niet-Wetgevend</w:t>
            </w:r>
          </w:p>
        </w:tc>
      </w:tr>
      <w:tr w:rsidRPr="00D76BC8" w:rsidR="0088029E" w:rsidTr="0046703E" w14:paraId="459F7EAC"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D76BC8" w:rsidR="0088029E" w:rsidP="007C26FD" w:rsidRDefault="0088029E" w14:paraId="32E299A5" w14:textId="7EF0AD9F">
            <w:pPr>
              <w:rPr>
                <w:rFonts w:ascii="Verdana" w:hAnsi="Verdana" w:cstheme="minorHAnsi"/>
                <w:sz w:val="18"/>
                <w:szCs w:val="18"/>
                <w:lang w:val="en-US"/>
              </w:rPr>
            </w:pPr>
            <w:r w:rsidRPr="00D76BC8">
              <w:rPr>
                <w:rFonts w:ascii="Verdana" w:hAnsi="Verdana" w:cstheme="minorHAnsi"/>
                <w:sz w:val="18"/>
                <w:szCs w:val="18"/>
                <w:lang w:val="en-US"/>
              </w:rPr>
              <w:t>3</w:t>
            </w:r>
            <w:r w:rsidRPr="00D76BC8" w:rsidR="0068013D">
              <w:rPr>
                <w:rFonts w:ascii="Verdana" w:hAnsi="Verdana" w:cstheme="minorHAnsi"/>
                <w:sz w:val="18"/>
                <w:szCs w:val="18"/>
                <w:lang w:val="en-US"/>
              </w:rPr>
              <w:t>8</w:t>
            </w:r>
            <w:r w:rsidRPr="00D76BC8" w:rsidR="00F51628">
              <w:rPr>
                <w:rFonts w:ascii="Verdana" w:hAnsi="Verdana" w:cstheme="minorHAnsi"/>
                <w:sz w:val="18"/>
                <w:szCs w:val="18"/>
                <w:lang w:val="en-US"/>
              </w:rPr>
              <w:t>a</w:t>
            </w:r>
          </w:p>
        </w:tc>
        <w:tc>
          <w:tcPr>
            <w:tcW w:w="2410" w:type="dxa"/>
            <w:tcBorders>
              <w:top w:val="single" w:color="auto" w:sz="4" w:space="0"/>
              <w:left w:val="single" w:color="auto" w:sz="4" w:space="0"/>
              <w:bottom w:val="single" w:color="auto" w:sz="4" w:space="0"/>
              <w:right w:val="single" w:color="auto" w:sz="4" w:space="0"/>
            </w:tcBorders>
          </w:tcPr>
          <w:p w:rsidRPr="0086334D" w:rsidR="0088029E" w:rsidP="007C26FD" w:rsidRDefault="009E4740" w14:paraId="6720041B" w14:textId="52273B5D">
            <w:pPr>
              <w:rPr>
                <w:rFonts w:ascii="Verdana" w:hAnsi="Verdana" w:cstheme="minorHAnsi"/>
                <w:sz w:val="18"/>
                <w:szCs w:val="18"/>
              </w:rPr>
            </w:pPr>
            <w:r w:rsidRPr="0086334D">
              <w:rPr>
                <w:rFonts w:ascii="Verdana" w:hAnsi="Verdana" w:cstheme="minorHAnsi"/>
                <w:sz w:val="18"/>
                <w:szCs w:val="18"/>
              </w:rPr>
              <w:t>Europees schild voor de democratie</w:t>
            </w:r>
            <w:r w:rsidRPr="0086334D" w:rsidDel="009E4740">
              <w:rPr>
                <w:rFonts w:ascii="Verdana" w:hAnsi="Verdana" w:cstheme="minorHAnsi"/>
                <w:sz w:val="18"/>
                <w:szCs w:val="18"/>
              </w:rPr>
              <w:t xml:space="preserve"> </w:t>
            </w:r>
            <w:r w:rsidRPr="0086334D" w:rsidR="0088029E">
              <w:rPr>
                <w:rFonts w:ascii="Verdana" w:hAnsi="Verdana" w:cstheme="minorHAnsi"/>
                <w:sz w:val="18"/>
                <w:szCs w:val="18"/>
              </w:rPr>
              <w:t>(Q</w:t>
            </w:r>
            <w:r w:rsidRPr="0086334D" w:rsidR="0068013D">
              <w:rPr>
                <w:rFonts w:ascii="Verdana" w:hAnsi="Verdana" w:cstheme="minorHAnsi"/>
                <w:sz w:val="18"/>
                <w:szCs w:val="18"/>
              </w:rPr>
              <w:t>3</w:t>
            </w:r>
            <w:r w:rsidRPr="0086334D" w:rsidR="0088029E">
              <w:rPr>
                <w:rFonts w:ascii="Verdana" w:hAnsi="Verdana" w:cstheme="minorHAnsi"/>
                <w:sz w:val="18"/>
                <w:szCs w:val="18"/>
              </w:rPr>
              <w:t xml:space="preserve"> 2025)</w:t>
            </w:r>
          </w:p>
          <w:p w:rsidRPr="0086334D" w:rsidR="0088029E" w:rsidP="007C26FD" w:rsidRDefault="0088029E" w14:paraId="0CC7DFAA" w14:textId="77777777">
            <w:pPr>
              <w:rPr>
                <w:rFonts w:ascii="Verdana" w:hAnsi="Verdana" w:cstheme="minorHAnsi"/>
                <w:sz w:val="18"/>
                <w:szCs w:val="18"/>
              </w:rPr>
            </w:pPr>
          </w:p>
          <w:p w:rsidRPr="0086334D" w:rsidR="0088029E" w:rsidP="007C26FD" w:rsidRDefault="0088029E" w14:paraId="3A2D153A" w14:textId="0356AE40">
            <w:pPr>
              <w:rPr>
                <w:rFonts w:ascii="Verdana" w:hAnsi="Verdana" w:cstheme="minorHAnsi"/>
                <w:sz w:val="18"/>
                <w:szCs w:val="18"/>
              </w:rPr>
            </w:pPr>
          </w:p>
        </w:tc>
        <w:tc>
          <w:tcPr>
            <w:tcW w:w="4678" w:type="dxa"/>
            <w:tcBorders>
              <w:top w:val="single" w:color="auto" w:sz="4" w:space="0"/>
              <w:left w:val="single" w:color="auto" w:sz="4" w:space="0"/>
              <w:bottom w:val="single" w:color="auto" w:sz="4" w:space="0"/>
              <w:right w:val="single" w:color="auto" w:sz="4" w:space="0"/>
            </w:tcBorders>
          </w:tcPr>
          <w:p w:rsidRPr="00D76BC8" w:rsidR="0088029E" w:rsidP="007C26FD" w:rsidRDefault="00F51628" w14:paraId="6133E69A" w14:textId="6CA1864F">
            <w:pPr>
              <w:rPr>
                <w:rFonts w:ascii="Verdana" w:hAnsi="Verdana" w:cstheme="minorHAnsi"/>
                <w:color w:val="000000"/>
                <w:sz w:val="18"/>
                <w:szCs w:val="18"/>
              </w:rPr>
            </w:pPr>
            <w:r w:rsidRPr="00D76BC8">
              <w:rPr>
                <w:rFonts w:ascii="Verdana" w:hAnsi="Verdana" w:cstheme="minorHAnsi"/>
                <w:color w:val="000000"/>
                <w:sz w:val="18"/>
                <w:szCs w:val="18"/>
              </w:rPr>
              <w:t xml:space="preserve">Het </w:t>
            </w:r>
            <w:proofErr w:type="spellStart"/>
            <w:r w:rsidRPr="00A97D43">
              <w:rPr>
                <w:rFonts w:ascii="Verdana" w:hAnsi="Verdana" w:cstheme="minorHAnsi"/>
                <w:i/>
                <w:iCs/>
                <w:color w:val="000000"/>
                <w:sz w:val="18"/>
                <w:szCs w:val="18"/>
              </w:rPr>
              <w:t>Democracy</w:t>
            </w:r>
            <w:proofErr w:type="spellEnd"/>
            <w:r w:rsidRPr="00A97D43">
              <w:rPr>
                <w:rFonts w:ascii="Verdana" w:hAnsi="Verdana" w:cstheme="minorHAnsi"/>
                <w:i/>
                <w:iCs/>
                <w:color w:val="000000"/>
                <w:sz w:val="18"/>
                <w:szCs w:val="18"/>
              </w:rPr>
              <w:t xml:space="preserve"> </w:t>
            </w:r>
            <w:proofErr w:type="spellStart"/>
            <w:r w:rsidRPr="00A97D43">
              <w:rPr>
                <w:rFonts w:ascii="Verdana" w:hAnsi="Verdana" w:cstheme="minorHAnsi"/>
                <w:i/>
                <w:iCs/>
                <w:color w:val="000000"/>
                <w:sz w:val="18"/>
                <w:szCs w:val="18"/>
              </w:rPr>
              <w:t>Shield</w:t>
            </w:r>
            <w:proofErr w:type="spellEnd"/>
            <w:r w:rsidR="006F7B8C">
              <w:rPr>
                <w:rFonts w:ascii="Verdana" w:hAnsi="Verdana" w:cstheme="minorHAnsi"/>
                <w:color w:val="000000"/>
                <w:sz w:val="18"/>
                <w:szCs w:val="18"/>
              </w:rPr>
              <w:t>-</w:t>
            </w:r>
            <w:r w:rsidRPr="00D76BC8">
              <w:rPr>
                <w:rFonts w:ascii="Verdana" w:hAnsi="Verdana" w:cstheme="minorHAnsi"/>
                <w:color w:val="000000"/>
                <w:sz w:val="18"/>
                <w:szCs w:val="18"/>
              </w:rPr>
              <w:t xml:space="preserve">initiatief zal als doel hebben </w:t>
            </w:r>
            <w:r w:rsidRPr="00D76BC8" w:rsidR="006F7B8C">
              <w:rPr>
                <w:rFonts w:ascii="Verdana" w:hAnsi="Verdana" w:cstheme="minorHAnsi"/>
                <w:color w:val="000000"/>
                <w:sz w:val="18"/>
                <w:szCs w:val="18"/>
              </w:rPr>
              <w:t>Europese democratie</w:t>
            </w:r>
            <w:r w:rsidR="006F7B8C">
              <w:rPr>
                <w:rFonts w:ascii="Verdana" w:hAnsi="Verdana" w:cstheme="minorHAnsi"/>
                <w:color w:val="000000"/>
                <w:sz w:val="18"/>
                <w:szCs w:val="18"/>
              </w:rPr>
              <w:t>ën</w:t>
            </w:r>
            <w:r w:rsidRPr="00D76BC8" w:rsidR="006F7B8C">
              <w:rPr>
                <w:rFonts w:ascii="Verdana" w:hAnsi="Verdana" w:cstheme="minorHAnsi"/>
                <w:color w:val="000000"/>
                <w:sz w:val="18"/>
                <w:szCs w:val="18"/>
              </w:rPr>
              <w:t xml:space="preserve"> en electorale processen </w:t>
            </w:r>
            <w:r w:rsidR="006F7B8C">
              <w:rPr>
                <w:rFonts w:ascii="Verdana" w:hAnsi="Verdana" w:cstheme="minorHAnsi"/>
                <w:color w:val="000000"/>
                <w:sz w:val="18"/>
                <w:szCs w:val="18"/>
              </w:rPr>
              <w:t xml:space="preserve">te beschermen tegen buitenlandse inmenging en desinformatie. </w:t>
            </w:r>
            <w:r w:rsidRPr="00D76BC8">
              <w:rPr>
                <w:rFonts w:ascii="Verdana" w:hAnsi="Verdana" w:cstheme="minorHAnsi"/>
                <w:color w:val="000000"/>
                <w:sz w:val="18"/>
                <w:szCs w:val="18"/>
              </w:rPr>
              <w:t xml:space="preserve"> </w:t>
            </w:r>
          </w:p>
          <w:p w:rsidRPr="00D76BC8" w:rsidR="0088029E" w:rsidP="007C26FD" w:rsidRDefault="0088029E" w14:paraId="6E941414" w14:textId="66D9A7EE">
            <w:pPr>
              <w:rPr>
                <w:rFonts w:ascii="Verdana" w:hAnsi="Verdana" w:cstheme="minorHAnsi"/>
                <w:color w:val="000000"/>
                <w:sz w:val="18"/>
                <w:szCs w:val="18"/>
              </w:rPr>
            </w:pPr>
          </w:p>
        </w:tc>
        <w:tc>
          <w:tcPr>
            <w:tcW w:w="5953" w:type="dxa"/>
            <w:tcBorders>
              <w:top w:val="single" w:color="auto" w:sz="4" w:space="0"/>
              <w:left w:val="single" w:color="auto" w:sz="4" w:space="0"/>
              <w:bottom w:val="single" w:color="auto" w:sz="4" w:space="0"/>
              <w:right w:val="single" w:color="auto" w:sz="4" w:space="0"/>
            </w:tcBorders>
          </w:tcPr>
          <w:p w:rsidRPr="00D76BC8" w:rsidR="0088029E" w:rsidP="007C26FD" w:rsidRDefault="006F7B8C" w14:paraId="41D34471" w14:textId="0FAB4995">
            <w:pPr>
              <w:rPr>
                <w:rFonts w:ascii="Verdana" w:hAnsi="Verdana" w:cstheme="minorHAnsi"/>
                <w:color w:val="000000"/>
                <w:sz w:val="18"/>
                <w:szCs w:val="18"/>
              </w:rPr>
            </w:pPr>
            <w:bookmarkStart w:name="_Hlk191312290" w:id="8"/>
            <w:r>
              <w:rPr>
                <w:rFonts w:ascii="Verdana" w:hAnsi="Verdana" w:cstheme="minorHAnsi"/>
                <w:color w:val="000000"/>
                <w:sz w:val="18"/>
                <w:szCs w:val="18"/>
              </w:rPr>
              <w:t>He kabinet ziet uit naar</w:t>
            </w:r>
            <w:r w:rsidRPr="00D76BC8" w:rsidR="00F51628">
              <w:rPr>
                <w:rFonts w:ascii="Verdana" w:hAnsi="Verdana" w:cstheme="minorHAnsi"/>
                <w:color w:val="000000"/>
                <w:sz w:val="18"/>
                <w:szCs w:val="18"/>
              </w:rPr>
              <w:t xml:space="preserve"> het </w:t>
            </w:r>
            <w:proofErr w:type="spellStart"/>
            <w:r w:rsidRPr="00A97D43" w:rsidR="00F51628">
              <w:rPr>
                <w:rFonts w:ascii="Verdana" w:hAnsi="Verdana" w:cstheme="minorHAnsi"/>
                <w:i/>
                <w:iCs/>
                <w:color w:val="000000"/>
                <w:sz w:val="18"/>
                <w:szCs w:val="18"/>
              </w:rPr>
              <w:t>Democracy</w:t>
            </w:r>
            <w:proofErr w:type="spellEnd"/>
            <w:r w:rsidRPr="00A97D43" w:rsidR="00F51628">
              <w:rPr>
                <w:rFonts w:ascii="Verdana" w:hAnsi="Verdana" w:cstheme="minorHAnsi"/>
                <w:i/>
                <w:iCs/>
                <w:color w:val="000000"/>
                <w:sz w:val="18"/>
                <w:szCs w:val="18"/>
              </w:rPr>
              <w:t xml:space="preserve"> </w:t>
            </w:r>
            <w:proofErr w:type="spellStart"/>
            <w:r w:rsidRPr="00A97D43" w:rsidR="00F51628">
              <w:rPr>
                <w:rFonts w:ascii="Verdana" w:hAnsi="Verdana" w:cstheme="minorHAnsi"/>
                <w:i/>
                <w:iCs/>
                <w:color w:val="000000"/>
                <w:sz w:val="18"/>
                <w:szCs w:val="18"/>
              </w:rPr>
              <w:t>Shield</w:t>
            </w:r>
            <w:proofErr w:type="spellEnd"/>
            <w:r>
              <w:rPr>
                <w:rFonts w:ascii="Verdana" w:hAnsi="Verdana" w:cstheme="minorHAnsi"/>
                <w:color w:val="000000"/>
                <w:sz w:val="18"/>
                <w:szCs w:val="18"/>
              </w:rPr>
              <w:t xml:space="preserve"> en staat positief tegenover meer Europese samenwerking om </w:t>
            </w:r>
            <w:r w:rsidR="004C5CAE">
              <w:rPr>
                <w:rFonts w:ascii="Verdana" w:hAnsi="Verdana" w:cstheme="minorHAnsi"/>
                <w:color w:val="000000"/>
                <w:sz w:val="18"/>
                <w:szCs w:val="18"/>
              </w:rPr>
              <w:t xml:space="preserve">ongewenste </w:t>
            </w:r>
            <w:r>
              <w:rPr>
                <w:rFonts w:ascii="Verdana" w:hAnsi="Verdana" w:cstheme="minorHAnsi"/>
                <w:color w:val="000000"/>
                <w:sz w:val="18"/>
                <w:szCs w:val="18"/>
              </w:rPr>
              <w:t>buitenlandse inmenging en desinformatie tegen te gaan</w:t>
            </w:r>
            <w:r w:rsidRPr="00D76BC8" w:rsidR="00F51628">
              <w:rPr>
                <w:rFonts w:ascii="Verdana" w:hAnsi="Verdana" w:cstheme="minorHAnsi"/>
                <w:color w:val="000000"/>
                <w:sz w:val="18"/>
                <w:szCs w:val="18"/>
              </w:rPr>
              <w:t>.</w:t>
            </w:r>
            <w:r>
              <w:rPr>
                <w:rFonts w:ascii="Verdana" w:hAnsi="Verdana" w:cstheme="minorHAnsi"/>
                <w:color w:val="000000"/>
                <w:sz w:val="18"/>
                <w:szCs w:val="18"/>
              </w:rPr>
              <w:t xml:space="preserve"> Het kabinet</w:t>
            </w:r>
            <w:r w:rsidRPr="00D76BC8">
              <w:rPr>
                <w:rFonts w:ascii="Verdana" w:hAnsi="Verdana" w:cstheme="minorHAnsi"/>
                <w:color w:val="000000"/>
                <w:sz w:val="18"/>
                <w:szCs w:val="18"/>
              </w:rPr>
              <w:t xml:space="preserve"> steunt een </w:t>
            </w:r>
            <w:r>
              <w:rPr>
                <w:rFonts w:ascii="Verdana" w:hAnsi="Verdana" w:cstheme="minorHAnsi"/>
                <w:color w:val="000000"/>
                <w:sz w:val="18"/>
                <w:szCs w:val="18"/>
              </w:rPr>
              <w:t>proactieve</w:t>
            </w:r>
            <w:r w:rsidRPr="00D76BC8">
              <w:rPr>
                <w:rFonts w:ascii="Verdana" w:hAnsi="Verdana" w:cstheme="minorHAnsi"/>
                <w:color w:val="000000"/>
                <w:sz w:val="18"/>
                <w:szCs w:val="18"/>
              </w:rPr>
              <w:t xml:space="preserve"> aanpak om maatschappelijke en democratische weerbaarheid te versterken.</w:t>
            </w:r>
            <w:r w:rsidRPr="00D76BC8" w:rsidR="00F51628">
              <w:rPr>
                <w:rFonts w:ascii="Verdana" w:hAnsi="Verdana" w:cstheme="minorHAnsi"/>
                <w:color w:val="000000"/>
                <w:sz w:val="18"/>
                <w:szCs w:val="18"/>
              </w:rPr>
              <w:t xml:space="preserve"> </w:t>
            </w:r>
            <w:r>
              <w:rPr>
                <w:rFonts w:ascii="Verdana" w:hAnsi="Verdana" w:cstheme="minorHAnsi"/>
                <w:color w:val="000000"/>
                <w:sz w:val="18"/>
                <w:szCs w:val="18"/>
              </w:rPr>
              <w:t xml:space="preserve">Het </w:t>
            </w:r>
            <w:r w:rsidRPr="006F7B8C">
              <w:rPr>
                <w:rFonts w:ascii="Verdana" w:hAnsi="Verdana" w:cstheme="minorHAnsi"/>
                <w:color w:val="000000"/>
                <w:sz w:val="18"/>
                <w:szCs w:val="18"/>
              </w:rPr>
              <w:t>is van belang dat nieuw beleid gebaseerd is op wetenschappelijke inzichten, het aansluit op bestaande mechanismen en dat er genoeg ruimte moet zijn voor nationale verschillen en context</w:t>
            </w:r>
            <w:r>
              <w:rPr>
                <w:rFonts w:ascii="Verdana" w:hAnsi="Verdana" w:cstheme="minorHAnsi"/>
                <w:color w:val="000000"/>
                <w:sz w:val="18"/>
                <w:szCs w:val="18"/>
              </w:rPr>
              <w:t>.</w:t>
            </w:r>
            <w:r w:rsidRPr="006F7B8C" w:rsidDel="006F7B8C">
              <w:rPr>
                <w:rFonts w:ascii="Verdana" w:hAnsi="Verdana" w:cstheme="minorHAnsi"/>
                <w:color w:val="000000"/>
                <w:sz w:val="18"/>
                <w:szCs w:val="18"/>
              </w:rPr>
              <w:t xml:space="preserve"> </w:t>
            </w:r>
            <w:r w:rsidRPr="00D76BC8" w:rsidR="00F51628">
              <w:rPr>
                <w:rFonts w:ascii="Verdana" w:hAnsi="Verdana" w:cstheme="minorHAnsi"/>
                <w:color w:val="000000"/>
                <w:sz w:val="18"/>
                <w:szCs w:val="18"/>
              </w:rPr>
              <w:t xml:space="preserve"> </w:t>
            </w:r>
            <w:bookmarkEnd w:id="8"/>
          </w:p>
        </w:tc>
        <w:tc>
          <w:tcPr>
            <w:tcW w:w="1843" w:type="dxa"/>
            <w:tcBorders>
              <w:top w:val="single" w:color="auto" w:sz="4" w:space="0"/>
              <w:left w:val="single" w:color="auto" w:sz="4" w:space="0"/>
              <w:bottom w:val="single" w:color="auto" w:sz="4" w:space="0"/>
              <w:right w:val="single" w:color="auto" w:sz="4" w:space="0"/>
            </w:tcBorders>
          </w:tcPr>
          <w:p w:rsidRPr="00D76BC8" w:rsidR="0088029E" w:rsidP="007C26FD" w:rsidRDefault="0088029E" w14:paraId="7DA333D8" w14:textId="77777777">
            <w:pPr>
              <w:rPr>
                <w:rFonts w:ascii="Verdana" w:hAnsi="Verdana" w:cstheme="minorHAnsi"/>
                <w:color w:val="000000"/>
                <w:sz w:val="18"/>
                <w:szCs w:val="18"/>
              </w:rPr>
            </w:pPr>
            <w:r w:rsidRPr="00D76BC8">
              <w:rPr>
                <w:rFonts w:ascii="Verdana" w:hAnsi="Verdana" w:cstheme="minorHAnsi"/>
                <w:color w:val="000000"/>
                <w:sz w:val="18"/>
                <w:szCs w:val="18"/>
              </w:rPr>
              <w:t>Niet-wetgevend</w:t>
            </w:r>
          </w:p>
          <w:p w:rsidRPr="00D76BC8" w:rsidR="0088029E" w:rsidP="007C26FD" w:rsidRDefault="0088029E" w14:paraId="6603A1C8" w14:textId="77777777">
            <w:pPr>
              <w:rPr>
                <w:rFonts w:ascii="Verdana" w:hAnsi="Verdana" w:cstheme="minorHAnsi"/>
                <w:color w:val="000000"/>
                <w:sz w:val="18"/>
                <w:szCs w:val="18"/>
              </w:rPr>
            </w:pPr>
          </w:p>
          <w:p w:rsidRPr="00D76BC8" w:rsidR="0088029E" w:rsidP="007C26FD" w:rsidRDefault="0088029E" w14:paraId="3F8CD363" w14:textId="77777777">
            <w:pPr>
              <w:rPr>
                <w:rFonts w:ascii="Verdana" w:hAnsi="Verdana" w:cstheme="minorHAnsi"/>
                <w:color w:val="000000"/>
                <w:sz w:val="18"/>
                <w:szCs w:val="18"/>
              </w:rPr>
            </w:pPr>
          </w:p>
          <w:p w:rsidRPr="00D76BC8" w:rsidR="0088029E" w:rsidP="007C26FD" w:rsidRDefault="0088029E" w14:paraId="60F58295" w14:textId="6525C842">
            <w:pPr>
              <w:rPr>
                <w:rFonts w:ascii="Verdana" w:hAnsi="Verdana" w:cstheme="minorHAnsi"/>
                <w:color w:val="000000"/>
                <w:sz w:val="18"/>
                <w:szCs w:val="18"/>
              </w:rPr>
            </w:pPr>
          </w:p>
        </w:tc>
      </w:tr>
      <w:tr w:rsidRPr="00D76BC8" w:rsidR="00F51628" w:rsidTr="0046703E" w14:paraId="79CE9E3A"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D76BC8" w:rsidR="00F51628" w:rsidP="007C26FD" w:rsidRDefault="00F51628" w14:paraId="705877A3" w14:textId="2965CD24">
            <w:pPr>
              <w:rPr>
                <w:rFonts w:ascii="Verdana" w:hAnsi="Verdana" w:cstheme="minorHAnsi"/>
                <w:sz w:val="18"/>
                <w:szCs w:val="18"/>
                <w:lang w:val="en-US"/>
              </w:rPr>
            </w:pPr>
            <w:r w:rsidRPr="00D76BC8">
              <w:rPr>
                <w:rFonts w:ascii="Verdana" w:hAnsi="Verdana" w:cstheme="minorHAnsi"/>
                <w:sz w:val="18"/>
                <w:szCs w:val="18"/>
                <w:lang w:val="en-US"/>
              </w:rPr>
              <w:t>38b</w:t>
            </w:r>
          </w:p>
        </w:tc>
        <w:tc>
          <w:tcPr>
            <w:tcW w:w="2410" w:type="dxa"/>
            <w:tcBorders>
              <w:top w:val="single" w:color="auto" w:sz="4" w:space="0"/>
              <w:left w:val="single" w:color="auto" w:sz="4" w:space="0"/>
              <w:bottom w:val="single" w:color="auto" w:sz="4" w:space="0"/>
              <w:right w:val="single" w:color="auto" w:sz="4" w:space="0"/>
            </w:tcBorders>
          </w:tcPr>
          <w:p w:rsidRPr="0086334D" w:rsidR="00F51628" w:rsidP="007C26FD" w:rsidRDefault="009E4740" w14:paraId="0CF2AAE5" w14:textId="1582FC8E">
            <w:pPr>
              <w:rPr>
                <w:rFonts w:ascii="Verdana" w:hAnsi="Verdana" w:cstheme="minorHAnsi"/>
                <w:sz w:val="18"/>
                <w:szCs w:val="18"/>
              </w:rPr>
            </w:pPr>
            <w:r w:rsidRPr="0086334D">
              <w:rPr>
                <w:rFonts w:ascii="Verdana" w:hAnsi="Verdana" w:cstheme="minorHAnsi"/>
                <w:sz w:val="18"/>
                <w:szCs w:val="18"/>
              </w:rPr>
              <w:t>EU-strategie voor ondersteuning, bescherming en empowerment van het maatschappelijk middenveld</w:t>
            </w:r>
            <w:r w:rsidRPr="0086334D" w:rsidDel="009E4740">
              <w:rPr>
                <w:rFonts w:ascii="Verdana" w:hAnsi="Verdana" w:cstheme="minorHAnsi"/>
                <w:sz w:val="18"/>
                <w:szCs w:val="18"/>
              </w:rPr>
              <w:t xml:space="preserve"> </w:t>
            </w:r>
            <w:r w:rsidRPr="0086334D" w:rsidR="00F51628">
              <w:rPr>
                <w:rFonts w:ascii="Verdana" w:hAnsi="Verdana" w:cstheme="minorHAnsi"/>
                <w:sz w:val="18"/>
                <w:szCs w:val="18"/>
              </w:rPr>
              <w:t>(Q3 2025)</w:t>
            </w:r>
          </w:p>
        </w:tc>
        <w:tc>
          <w:tcPr>
            <w:tcW w:w="4678" w:type="dxa"/>
            <w:tcBorders>
              <w:top w:val="single" w:color="auto" w:sz="4" w:space="0"/>
              <w:left w:val="single" w:color="auto" w:sz="4" w:space="0"/>
              <w:bottom w:val="single" w:color="auto" w:sz="4" w:space="0"/>
              <w:right w:val="single" w:color="auto" w:sz="4" w:space="0"/>
            </w:tcBorders>
          </w:tcPr>
          <w:p w:rsidRPr="00D76BC8" w:rsidR="00F51628" w:rsidP="007C26FD" w:rsidRDefault="00F51628" w14:paraId="5492BE46" w14:textId="34EA51BE">
            <w:pPr>
              <w:rPr>
                <w:rFonts w:ascii="Verdana" w:hAnsi="Verdana" w:cstheme="minorHAnsi"/>
                <w:color w:val="000000"/>
                <w:sz w:val="18"/>
                <w:szCs w:val="18"/>
              </w:rPr>
            </w:pPr>
            <w:r w:rsidRPr="00D76BC8">
              <w:rPr>
                <w:rFonts w:ascii="Verdana" w:hAnsi="Verdana" w:cstheme="minorHAnsi"/>
                <w:color w:val="000000"/>
                <w:sz w:val="18"/>
                <w:szCs w:val="18"/>
              </w:rPr>
              <w:t>Dit voorstel heeft al</w:t>
            </w:r>
            <w:r w:rsidR="00B01CF2">
              <w:rPr>
                <w:rFonts w:ascii="Verdana" w:hAnsi="Verdana" w:cstheme="minorHAnsi"/>
                <w:color w:val="000000"/>
                <w:sz w:val="18"/>
                <w:szCs w:val="18"/>
              </w:rPr>
              <w:t>s</w:t>
            </w:r>
            <w:r w:rsidRPr="00D76BC8">
              <w:rPr>
                <w:rFonts w:ascii="Verdana" w:hAnsi="Verdana" w:cstheme="minorHAnsi"/>
                <w:color w:val="000000"/>
                <w:sz w:val="18"/>
                <w:szCs w:val="18"/>
              </w:rPr>
              <w:t xml:space="preserve"> doelstelling om het maatschappelijk middenveld in Europa te versterken.</w:t>
            </w:r>
          </w:p>
        </w:tc>
        <w:tc>
          <w:tcPr>
            <w:tcW w:w="5953" w:type="dxa"/>
            <w:tcBorders>
              <w:top w:val="single" w:color="auto" w:sz="4" w:space="0"/>
              <w:left w:val="single" w:color="auto" w:sz="4" w:space="0"/>
              <w:bottom w:val="single" w:color="auto" w:sz="4" w:space="0"/>
              <w:right w:val="single" w:color="auto" w:sz="4" w:space="0"/>
            </w:tcBorders>
          </w:tcPr>
          <w:p w:rsidRPr="00D76BC8" w:rsidR="00F51628" w:rsidP="007C26FD" w:rsidRDefault="00F51628" w14:paraId="1C9A6E48" w14:textId="0C3601B6">
            <w:pPr>
              <w:rPr>
                <w:rFonts w:ascii="Verdana" w:hAnsi="Verdana" w:cstheme="minorHAnsi"/>
                <w:color w:val="000000"/>
                <w:sz w:val="18"/>
                <w:szCs w:val="18"/>
              </w:rPr>
            </w:pPr>
            <w:r w:rsidRPr="00D76BC8">
              <w:rPr>
                <w:rFonts w:ascii="Verdana" w:hAnsi="Verdana" w:cstheme="minorHAnsi"/>
                <w:color w:val="000000"/>
                <w:sz w:val="18"/>
                <w:szCs w:val="18"/>
              </w:rPr>
              <w:t>Een sterk maatschappelijk middenveld is een randvoorwaarde voor een gezonde democratie en draagt bij aan het vrije, pluriforme debat in onze democratische rechtsstaat. Nederland investeert in participatie van organisaties en burgers en verwelkomt initiatieven om het maatschappelijk middenveld verder te beschermen, ondersteunen en bevorderen.</w:t>
            </w:r>
          </w:p>
        </w:tc>
        <w:tc>
          <w:tcPr>
            <w:tcW w:w="1843" w:type="dxa"/>
            <w:tcBorders>
              <w:top w:val="single" w:color="auto" w:sz="4" w:space="0"/>
              <w:left w:val="single" w:color="auto" w:sz="4" w:space="0"/>
              <w:bottom w:val="single" w:color="auto" w:sz="4" w:space="0"/>
              <w:right w:val="single" w:color="auto" w:sz="4" w:space="0"/>
            </w:tcBorders>
          </w:tcPr>
          <w:p w:rsidRPr="00D76BC8" w:rsidR="00F51628" w:rsidP="007C26FD" w:rsidRDefault="00F615D4" w14:paraId="6B857461" w14:textId="7E9DDF51">
            <w:pPr>
              <w:rPr>
                <w:rFonts w:ascii="Verdana" w:hAnsi="Verdana" w:cstheme="minorHAnsi"/>
                <w:color w:val="000000"/>
                <w:sz w:val="18"/>
                <w:szCs w:val="18"/>
              </w:rPr>
            </w:pPr>
            <w:r w:rsidRPr="00D76BC8">
              <w:rPr>
                <w:rFonts w:ascii="Verdana" w:hAnsi="Verdana" w:cstheme="minorHAnsi"/>
                <w:color w:val="000000"/>
                <w:sz w:val="18"/>
                <w:szCs w:val="18"/>
              </w:rPr>
              <w:t>Niet-wetgevend</w:t>
            </w:r>
          </w:p>
        </w:tc>
      </w:tr>
      <w:tr w:rsidRPr="00D76BC8" w:rsidR="00D76BC8" w:rsidTr="0046703E" w14:paraId="4E4ADE01"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D76BC8" w:rsidP="007C26FD" w:rsidRDefault="00D76BC8" w14:paraId="12CB5F95" w14:textId="4BC4CC54">
            <w:pPr>
              <w:rPr>
                <w:rFonts w:ascii="Verdana" w:hAnsi="Verdana" w:cstheme="minorHAnsi"/>
                <w:sz w:val="18"/>
                <w:szCs w:val="18"/>
                <w:lang w:val="en-US"/>
              </w:rPr>
            </w:pPr>
            <w:r w:rsidRPr="00D76BC8">
              <w:rPr>
                <w:rFonts w:ascii="Verdana" w:hAnsi="Verdana" w:cstheme="minorHAnsi"/>
                <w:sz w:val="18"/>
                <w:szCs w:val="18"/>
                <w:lang w:val="en-US"/>
              </w:rPr>
              <w:t>39.</w:t>
            </w:r>
          </w:p>
        </w:tc>
        <w:tc>
          <w:tcPr>
            <w:tcW w:w="2410" w:type="dxa"/>
            <w:tcBorders>
              <w:top w:val="single" w:color="auto" w:sz="4" w:space="0"/>
              <w:left w:val="single" w:color="auto" w:sz="4" w:space="0"/>
              <w:bottom w:val="single" w:color="auto" w:sz="4" w:space="0"/>
              <w:right w:val="single" w:color="auto" w:sz="4" w:space="0"/>
            </w:tcBorders>
          </w:tcPr>
          <w:p w:rsidRPr="00D76BC8" w:rsidR="00D76BC8" w:rsidP="007C26FD" w:rsidRDefault="009E4740" w14:paraId="1F1E9B77" w14:textId="5D1F99DE">
            <w:pPr>
              <w:rPr>
                <w:rFonts w:ascii="Verdana" w:hAnsi="Verdana" w:cstheme="minorHAnsi"/>
                <w:b/>
                <w:bCs/>
                <w:sz w:val="18"/>
                <w:szCs w:val="18"/>
                <w:lang w:val="en-US"/>
              </w:rPr>
            </w:pPr>
            <w:proofErr w:type="spellStart"/>
            <w:r w:rsidRPr="009E4740">
              <w:rPr>
                <w:rFonts w:ascii="Verdana" w:hAnsi="Verdana" w:cstheme="minorHAnsi"/>
                <w:sz w:val="18"/>
                <w:szCs w:val="18"/>
                <w:lang w:val="en-US"/>
              </w:rPr>
              <w:t>Routekaart</w:t>
            </w:r>
            <w:proofErr w:type="spellEnd"/>
            <w:r w:rsidRPr="009E4740">
              <w:rPr>
                <w:rFonts w:ascii="Verdana" w:hAnsi="Verdana" w:cstheme="minorHAnsi"/>
                <w:sz w:val="18"/>
                <w:szCs w:val="18"/>
                <w:lang w:val="en-US"/>
              </w:rPr>
              <w:t xml:space="preserve"> </w:t>
            </w:r>
            <w:proofErr w:type="spellStart"/>
            <w:r w:rsidRPr="009E4740">
              <w:rPr>
                <w:rFonts w:ascii="Verdana" w:hAnsi="Verdana" w:cstheme="minorHAnsi"/>
                <w:sz w:val="18"/>
                <w:szCs w:val="18"/>
                <w:lang w:val="en-US"/>
              </w:rPr>
              <w:t>voor</w:t>
            </w:r>
            <w:proofErr w:type="spellEnd"/>
            <w:r w:rsidRPr="009E4740">
              <w:rPr>
                <w:rFonts w:ascii="Verdana" w:hAnsi="Verdana" w:cstheme="minorHAnsi"/>
                <w:sz w:val="18"/>
                <w:szCs w:val="18"/>
                <w:lang w:val="en-US"/>
              </w:rPr>
              <w:t xml:space="preserve"> </w:t>
            </w:r>
            <w:proofErr w:type="spellStart"/>
            <w:r w:rsidRPr="009E4740">
              <w:rPr>
                <w:rFonts w:ascii="Verdana" w:hAnsi="Verdana" w:cstheme="minorHAnsi"/>
                <w:sz w:val="18"/>
                <w:szCs w:val="18"/>
                <w:lang w:val="en-US"/>
              </w:rPr>
              <w:t>vrouwenrechten</w:t>
            </w:r>
            <w:proofErr w:type="spellEnd"/>
            <w:r w:rsidRPr="009E4740" w:rsidDel="009E4740">
              <w:rPr>
                <w:rFonts w:ascii="Verdana" w:hAnsi="Verdana" w:cstheme="minorHAnsi"/>
                <w:sz w:val="18"/>
                <w:szCs w:val="18"/>
                <w:lang w:val="en-US"/>
              </w:rPr>
              <w:t xml:space="preserve"> </w:t>
            </w:r>
            <w:r w:rsidRPr="00D76BC8" w:rsidR="00D76BC8">
              <w:rPr>
                <w:rFonts w:ascii="Verdana" w:hAnsi="Verdana" w:cstheme="minorHAnsi"/>
                <w:sz w:val="18"/>
                <w:szCs w:val="18"/>
                <w:lang w:val="en-US"/>
              </w:rPr>
              <w:t>(Q1 2025)</w:t>
            </w:r>
          </w:p>
        </w:tc>
        <w:tc>
          <w:tcPr>
            <w:tcW w:w="4678" w:type="dxa"/>
            <w:tcBorders>
              <w:top w:val="single" w:color="auto" w:sz="4" w:space="0"/>
              <w:left w:val="single" w:color="auto" w:sz="4" w:space="0"/>
              <w:bottom w:val="single" w:color="auto" w:sz="4" w:space="0"/>
              <w:right w:val="single" w:color="auto" w:sz="4" w:space="0"/>
            </w:tcBorders>
          </w:tcPr>
          <w:p w:rsidRPr="00D76BC8" w:rsidR="00D76BC8" w:rsidP="007C26FD" w:rsidRDefault="00D76BC8" w14:paraId="743EF0E1" w14:textId="6BDF0D9E">
            <w:pPr>
              <w:rPr>
                <w:rFonts w:ascii="Verdana" w:hAnsi="Verdana" w:cstheme="minorHAnsi"/>
                <w:color w:val="000000"/>
                <w:sz w:val="18"/>
                <w:szCs w:val="18"/>
              </w:rPr>
            </w:pPr>
            <w:r w:rsidRPr="00D76BC8">
              <w:rPr>
                <w:rFonts w:ascii="Verdana" w:hAnsi="Verdana" w:cstheme="minorHAnsi"/>
                <w:color w:val="000000"/>
                <w:sz w:val="18"/>
                <w:szCs w:val="18"/>
              </w:rPr>
              <w:t xml:space="preserve">De </w:t>
            </w:r>
            <w:r w:rsidR="009E4740">
              <w:rPr>
                <w:rFonts w:ascii="Verdana" w:hAnsi="Verdana" w:cstheme="minorHAnsi"/>
                <w:color w:val="000000"/>
                <w:sz w:val="18"/>
                <w:szCs w:val="18"/>
              </w:rPr>
              <w:t>routekaart</w:t>
            </w:r>
            <w:r w:rsidRPr="00D76BC8" w:rsidR="009E4740">
              <w:rPr>
                <w:rFonts w:ascii="Verdana" w:hAnsi="Verdana" w:cstheme="minorHAnsi"/>
                <w:color w:val="000000"/>
                <w:sz w:val="18"/>
                <w:szCs w:val="18"/>
              </w:rPr>
              <w:t xml:space="preserve"> </w:t>
            </w:r>
            <w:r w:rsidRPr="00D76BC8">
              <w:rPr>
                <w:rFonts w:ascii="Verdana" w:hAnsi="Verdana" w:cstheme="minorHAnsi"/>
                <w:color w:val="000000"/>
                <w:sz w:val="18"/>
                <w:szCs w:val="18"/>
              </w:rPr>
              <w:t xml:space="preserve">voor vrouwenrechten zal een eerste uiteenzetting zijn </w:t>
            </w:r>
            <w:r w:rsidR="00FC1C0C">
              <w:rPr>
                <w:rFonts w:ascii="Verdana" w:hAnsi="Verdana" w:cstheme="minorHAnsi"/>
                <w:color w:val="000000"/>
                <w:sz w:val="18"/>
                <w:szCs w:val="18"/>
              </w:rPr>
              <w:t xml:space="preserve">van de </w:t>
            </w:r>
            <w:r w:rsidRPr="00D76BC8">
              <w:rPr>
                <w:rFonts w:ascii="Verdana" w:hAnsi="Verdana" w:cstheme="minorHAnsi"/>
                <w:color w:val="000000"/>
                <w:sz w:val="18"/>
                <w:szCs w:val="18"/>
              </w:rPr>
              <w:t xml:space="preserve">politieke prioriteiten ter bevordering van gendergelijkheid in de EU. De </w:t>
            </w:r>
            <w:r w:rsidR="009E4740">
              <w:rPr>
                <w:rFonts w:ascii="Verdana" w:hAnsi="Verdana" w:cstheme="minorHAnsi"/>
                <w:color w:val="000000"/>
                <w:sz w:val="18"/>
                <w:szCs w:val="18"/>
              </w:rPr>
              <w:t>routekaart</w:t>
            </w:r>
            <w:r w:rsidRPr="00D76BC8" w:rsidR="009E4740">
              <w:rPr>
                <w:rFonts w:ascii="Verdana" w:hAnsi="Verdana" w:cstheme="minorHAnsi"/>
                <w:color w:val="000000"/>
                <w:sz w:val="18"/>
                <w:szCs w:val="18"/>
              </w:rPr>
              <w:t xml:space="preserve"> </w:t>
            </w:r>
            <w:r w:rsidRPr="00D76BC8">
              <w:rPr>
                <w:rFonts w:ascii="Verdana" w:hAnsi="Verdana" w:cstheme="minorHAnsi"/>
                <w:color w:val="000000"/>
                <w:sz w:val="18"/>
                <w:szCs w:val="18"/>
              </w:rPr>
              <w:t xml:space="preserve">zal ook de langetermijnvisie over het opnemen van gendergelijkheid in de bredere politieke prioriteiten als sleutelelement voor de versterking van het concurrentievermogen, democratie en sociale rechtvaardigheid in de EU </w:t>
            </w:r>
            <w:r w:rsidR="00FC1C0C">
              <w:rPr>
                <w:rFonts w:ascii="Verdana" w:hAnsi="Verdana" w:cstheme="minorHAnsi"/>
                <w:color w:val="000000"/>
                <w:sz w:val="18"/>
                <w:szCs w:val="18"/>
              </w:rPr>
              <w:t>bevatten</w:t>
            </w:r>
            <w:r w:rsidRPr="00D76BC8">
              <w:rPr>
                <w:rFonts w:ascii="Verdana" w:hAnsi="Verdana" w:cstheme="minorHAnsi"/>
                <w:color w:val="000000"/>
                <w:sz w:val="18"/>
                <w:szCs w:val="18"/>
              </w:rPr>
              <w:t xml:space="preserve">. </w:t>
            </w:r>
            <w:r w:rsidR="00FC1C0C">
              <w:rPr>
                <w:rFonts w:ascii="Verdana" w:hAnsi="Verdana" w:cstheme="minorHAnsi"/>
                <w:color w:val="000000"/>
                <w:sz w:val="18"/>
                <w:szCs w:val="18"/>
              </w:rPr>
              <w:t>Hierop volgt een</w:t>
            </w:r>
            <w:r w:rsidRPr="00D76BC8" w:rsidR="00FC1C0C">
              <w:rPr>
                <w:rFonts w:ascii="Verdana" w:hAnsi="Verdana" w:cstheme="minorHAnsi"/>
                <w:color w:val="000000"/>
                <w:sz w:val="18"/>
                <w:szCs w:val="18"/>
              </w:rPr>
              <w:t xml:space="preserve"> nieuwe strategie voor gendergelijkheid na 2025</w:t>
            </w:r>
            <w:r w:rsidR="004C0C67">
              <w:rPr>
                <w:rFonts w:ascii="Verdana" w:hAnsi="Verdana" w:cstheme="minorHAnsi"/>
                <w:color w:val="000000"/>
                <w:sz w:val="18"/>
                <w:szCs w:val="18"/>
              </w:rPr>
              <w:t xml:space="preserve">. </w:t>
            </w:r>
            <w:r w:rsidR="00FC1C0C">
              <w:rPr>
                <w:rFonts w:ascii="Verdana" w:hAnsi="Verdana" w:cstheme="minorHAnsi"/>
                <w:color w:val="000000"/>
                <w:sz w:val="18"/>
                <w:szCs w:val="18"/>
              </w:rPr>
              <w:t>De</w:t>
            </w:r>
            <w:r w:rsidRPr="00D76BC8" w:rsidR="00FC1C0C">
              <w:rPr>
                <w:rFonts w:ascii="Verdana" w:hAnsi="Verdana" w:cstheme="minorHAnsi"/>
                <w:color w:val="000000"/>
                <w:sz w:val="18"/>
                <w:szCs w:val="18"/>
              </w:rPr>
              <w:t xml:space="preserve"> </w:t>
            </w:r>
            <w:r w:rsidR="009E4740">
              <w:rPr>
                <w:rFonts w:ascii="Verdana" w:hAnsi="Verdana" w:cstheme="minorHAnsi"/>
                <w:color w:val="000000"/>
                <w:sz w:val="18"/>
                <w:szCs w:val="18"/>
              </w:rPr>
              <w:t>routekaart</w:t>
            </w:r>
            <w:r w:rsidRPr="00D76BC8" w:rsidR="00FC1C0C">
              <w:rPr>
                <w:rFonts w:ascii="Verdana" w:hAnsi="Verdana" w:cstheme="minorHAnsi"/>
                <w:color w:val="000000"/>
                <w:sz w:val="18"/>
                <w:szCs w:val="18"/>
              </w:rPr>
              <w:t xml:space="preserve"> dient </w:t>
            </w:r>
            <w:r w:rsidR="004C0C67">
              <w:rPr>
                <w:rFonts w:ascii="Verdana" w:hAnsi="Verdana" w:cstheme="minorHAnsi"/>
                <w:color w:val="000000"/>
                <w:sz w:val="18"/>
                <w:szCs w:val="18"/>
              </w:rPr>
              <w:t xml:space="preserve">ook </w:t>
            </w:r>
            <w:r w:rsidRPr="00D76BC8" w:rsidR="00FC1C0C">
              <w:rPr>
                <w:rFonts w:ascii="Verdana" w:hAnsi="Verdana" w:cstheme="minorHAnsi"/>
                <w:color w:val="000000"/>
                <w:sz w:val="18"/>
                <w:szCs w:val="18"/>
              </w:rPr>
              <w:t>als startschot voor de openbare consultatie voor de nieuwe gendergelijkheidsstrategie</w:t>
            </w:r>
            <w:r w:rsidR="00FC1C0C">
              <w:rPr>
                <w:rFonts w:ascii="Verdana" w:hAnsi="Verdana" w:cstheme="minorHAnsi"/>
                <w:color w:val="000000"/>
                <w:sz w:val="18"/>
                <w:szCs w:val="18"/>
              </w:rPr>
              <w:t xml:space="preserve"> </w:t>
            </w:r>
            <w:r w:rsidR="004C0C67">
              <w:rPr>
                <w:rFonts w:ascii="Verdana" w:hAnsi="Verdana" w:cstheme="minorHAnsi"/>
                <w:color w:val="000000"/>
                <w:sz w:val="18"/>
                <w:szCs w:val="18"/>
              </w:rPr>
              <w:t xml:space="preserve">die naar verwachting </w:t>
            </w:r>
            <w:r w:rsidRPr="00D76BC8" w:rsidR="00FC1C0C">
              <w:rPr>
                <w:rFonts w:ascii="Verdana" w:hAnsi="Verdana" w:cstheme="minorHAnsi"/>
                <w:color w:val="000000"/>
                <w:sz w:val="18"/>
                <w:szCs w:val="18"/>
              </w:rPr>
              <w:t xml:space="preserve">begin 2026 wordt gepubliceerd. </w:t>
            </w:r>
          </w:p>
        </w:tc>
        <w:tc>
          <w:tcPr>
            <w:tcW w:w="5953" w:type="dxa"/>
            <w:tcBorders>
              <w:top w:val="single" w:color="auto" w:sz="4" w:space="0"/>
              <w:left w:val="single" w:color="auto" w:sz="4" w:space="0"/>
              <w:bottom w:val="single" w:color="auto" w:sz="4" w:space="0"/>
              <w:right w:val="single" w:color="auto" w:sz="4" w:space="0"/>
            </w:tcBorders>
          </w:tcPr>
          <w:p w:rsidRPr="00D76BC8" w:rsidR="00D76BC8" w:rsidP="007C26FD" w:rsidRDefault="00D76BC8" w14:paraId="2DABE0F9" w14:textId="671A5C1C">
            <w:pPr>
              <w:rPr>
                <w:rFonts w:ascii="Verdana" w:hAnsi="Verdana" w:cstheme="minorHAnsi"/>
                <w:color w:val="000000"/>
                <w:sz w:val="18"/>
                <w:szCs w:val="18"/>
              </w:rPr>
            </w:pPr>
            <w:r w:rsidRPr="00D76BC8">
              <w:rPr>
                <w:rFonts w:ascii="Verdana" w:hAnsi="Verdana" w:cstheme="minorHAnsi"/>
                <w:color w:val="000000"/>
                <w:sz w:val="18"/>
                <w:szCs w:val="18"/>
              </w:rPr>
              <w:t xml:space="preserve">Het kabinet verwelkomt de </w:t>
            </w:r>
            <w:r w:rsidR="009E4740">
              <w:rPr>
                <w:rFonts w:ascii="Verdana" w:hAnsi="Verdana" w:cstheme="minorHAnsi"/>
                <w:color w:val="000000"/>
                <w:sz w:val="18"/>
                <w:szCs w:val="18"/>
              </w:rPr>
              <w:t>r</w:t>
            </w:r>
            <w:r w:rsidRPr="009E4740" w:rsidR="009E4740">
              <w:rPr>
                <w:rFonts w:ascii="Verdana" w:hAnsi="Verdana" w:cstheme="minorHAnsi"/>
                <w:color w:val="000000"/>
                <w:sz w:val="18"/>
                <w:szCs w:val="18"/>
              </w:rPr>
              <w:t>outekaart voor vrouwenrechten</w:t>
            </w:r>
            <w:r w:rsidRPr="009E4740" w:rsidDel="009E4740" w:rsidR="009E4740">
              <w:rPr>
                <w:rFonts w:ascii="Verdana" w:hAnsi="Verdana" w:cstheme="minorHAnsi"/>
                <w:color w:val="000000"/>
                <w:sz w:val="18"/>
                <w:szCs w:val="18"/>
              </w:rPr>
              <w:t xml:space="preserve"> </w:t>
            </w:r>
            <w:r w:rsidRPr="00D76BC8">
              <w:rPr>
                <w:rFonts w:ascii="Verdana" w:hAnsi="Verdana" w:cstheme="minorHAnsi"/>
                <w:color w:val="000000"/>
                <w:sz w:val="18"/>
                <w:szCs w:val="18"/>
              </w:rPr>
              <w:t xml:space="preserve">en ziet graag verdere inspanningen die nodig zijn om de kabinetsbrede prioriteiten voor het Nederlands emancipatiebeleid te realiseren. Deze twee prioriteiten zijn: 1) iedereen moet veilig kunnen zijn en; 2) iedereen moet kunnen meedoen. </w:t>
            </w:r>
          </w:p>
        </w:tc>
        <w:tc>
          <w:tcPr>
            <w:tcW w:w="1843" w:type="dxa"/>
            <w:tcBorders>
              <w:top w:val="single" w:color="auto" w:sz="4" w:space="0"/>
              <w:left w:val="single" w:color="auto" w:sz="4" w:space="0"/>
              <w:bottom w:val="single" w:color="auto" w:sz="4" w:space="0"/>
              <w:right w:val="single" w:color="auto" w:sz="4" w:space="0"/>
            </w:tcBorders>
          </w:tcPr>
          <w:p w:rsidRPr="00D76BC8" w:rsidR="00D76BC8" w:rsidP="007C26FD" w:rsidRDefault="00D76BC8" w14:paraId="35E28667" w14:textId="77777777">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tc>
      </w:tr>
      <w:tr w:rsidRPr="00D76BC8" w:rsidR="00D76BC8" w:rsidTr="0046703E" w14:paraId="284E0484"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D76BC8" w:rsidP="007C26FD" w:rsidRDefault="00D76BC8" w14:paraId="2933BC3C" w14:textId="388254ED">
            <w:pPr>
              <w:rPr>
                <w:rFonts w:ascii="Verdana" w:hAnsi="Verdana" w:cstheme="minorHAnsi"/>
                <w:sz w:val="18"/>
                <w:szCs w:val="18"/>
              </w:rPr>
            </w:pPr>
            <w:r w:rsidRPr="00D76BC8">
              <w:rPr>
                <w:rFonts w:ascii="Verdana" w:hAnsi="Verdana" w:cstheme="minorHAnsi"/>
                <w:sz w:val="18"/>
                <w:szCs w:val="18"/>
              </w:rPr>
              <w:t>40.</w:t>
            </w:r>
          </w:p>
        </w:tc>
        <w:tc>
          <w:tcPr>
            <w:tcW w:w="2410" w:type="dxa"/>
            <w:tcBorders>
              <w:top w:val="single" w:color="auto" w:sz="4" w:space="0"/>
              <w:left w:val="single" w:color="auto" w:sz="4" w:space="0"/>
              <w:bottom w:val="single" w:color="auto" w:sz="4" w:space="0"/>
              <w:right w:val="single" w:color="auto" w:sz="4" w:space="0"/>
            </w:tcBorders>
          </w:tcPr>
          <w:p w:rsidRPr="0086334D" w:rsidR="00D76BC8" w:rsidP="007C26FD" w:rsidRDefault="009E4740" w14:paraId="73676178" w14:textId="794C85CB">
            <w:pPr>
              <w:rPr>
                <w:rFonts w:ascii="Verdana" w:hAnsi="Verdana" w:cstheme="minorHAnsi"/>
                <w:sz w:val="18"/>
                <w:szCs w:val="18"/>
              </w:rPr>
            </w:pPr>
            <w:r w:rsidRPr="0086334D">
              <w:rPr>
                <w:rFonts w:ascii="Verdana" w:hAnsi="Verdana" w:cstheme="minorHAnsi"/>
                <w:sz w:val="18"/>
                <w:szCs w:val="18"/>
              </w:rPr>
              <w:t xml:space="preserve">Nieuwe </w:t>
            </w:r>
            <w:proofErr w:type="spellStart"/>
            <w:r w:rsidRPr="0086334D">
              <w:rPr>
                <w:rFonts w:ascii="Verdana" w:hAnsi="Verdana" w:cstheme="minorHAnsi"/>
                <w:sz w:val="18"/>
                <w:szCs w:val="18"/>
              </w:rPr>
              <w:t>gelijkheids</w:t>
            </w:r>
            <w:proofErr w:type="spellEnd"/>
            <w:r w:rsidRPr="0086334D">
              <w:rPr>
                <w:rFonts w:ascii="Verdana" w:hAnsi="Verdana" w:cstheme="minorHAnsi"/>
                <w:sz w:val="18"/>
                <w:szCs w:val="18"/>
              </w:rPr>
              <w:t xml:space="preserve"> strategieën voor </w:t>
            </w:r>
            <w:proofErr w:type="spellStart"/>
            <w:r w:rsidRPr="0086334D">
              <w:rPr>
                <w:rFonts w:ascii="Verdana" w:hAnsi="Verdana" w:cstheme="minorHAnsi"/>
                <w:sz w:val="18"/>
                <w:szCs w:val="18"/>
              </w:rPr>
              <w:t>lhbtiq’ers</w:t>
            </w:r>
            <w:proofErr w:type="spellEnd"/>
            <w:r w:rsidRPr="0086334D" w:rsidDel="009E4740">
              <w:rPr>
                <w:rFonts w:ascii="Verdana" w:hAnsi="Verdana" w:cstheme="minorHAnsi"/>
                <w:sz w:val="18"/>
                <w:szCs w:val="18"/>
              </w:rPr>
              <w:t xml:space="preserve"> </w:t>
            </w:r>
            <w:r w:rsidRPr="0086334D" w:rsidR="00D76BC8">
              <w:rPr>
                <w:rFonts w:ascii="Verdana" w:hAnsi="Verdana" w:cstheme="minorHAnsi"/>
                <w:sz w:val="18"/>
                <w:szCs w:val="18"/>
              </w:rPr>
              <w:t xml:space="preserve">(Q4 2025) </w:t>
            </w:r>
          </w:p>
          <w:p w:rsidR="009E4740" w:rsidP="007C26FD" w:rsidRDefault="009E4740" w14:paraId="130D3368" w14:textId="77777777">
            <w:pPr>
              <w:rPr>
                <w:rFonts w:ascii="Verdana" w:hAnsi="Verdana" w:cstheme="minorHAnsi"/>
                <w:sz w:val="18"/>
                <w:szCs w:val="18"/>
                <w:lang w:val="en-US"/>
              </w:rPr>
            </w:pPr>
            <w:proofErr w:type="spellStart"/>
            <w:r w:rsidRPr="009E4740">
              <w:rPr>
                <w:rFonts w:ascii="Verdana" w:hAnsi="Verdana" w:cstheme="minorHAnsi"/>
                <w:sz w:val="18"/>
                <w:szCs w:val="18"/>
                <w:lang w:val="en-US"/>
              </w:rPr>
              <w:t>en</w:t>
            </w:r>
            <w:proofErr w:type="spellEnd"/>
            <w:r w:rsidRPr="009E4740">
              <w:rPr>
                <w:rFonts w:ascii="Verdana" w:hAnsi="Verdana" w:cstheme="minorHAnsi"/>
                <w:sz w:val="18"/>
                <w:szCs w:val="18"/>
                <w:lang w:val="en-US"/>
              </w:rPr>
              <w:t xml:space="preserve"> </w:t>
            </w:r>
          </w:p>
          <w:p w:rsidRPr="00D76BC8" w:rsidR="00D76BC8" w:rsidP="007C26FD" w:rsidRDefault="009E4740" w14:paraId="40C9048A" w14:textId="366BFAF9">
            <w:pPr>
              <w:rPr>
                <w:rFonts w:ascii="Verdana" w:hAnsi="Verdana" w:cstheme="minorHAnsi"/>
                <w:sz w:val="18"/>
                <w:szCs w:val="18"/>
                <w:lang w:val="en-US"/>
              </w:rPr>
            </w:pPr>
            <w:proofErr w:type="spellStart"/>
            <w:r w:rsidRPr="009E4740">
              <w:rPr>
                <w:rFonts w:ascii="Verdana" w:hAnsi="Verdana" w:cstheme="minorHAnsi"/>
                <w:sz w:val="18"/>
                <w:szCs w:val="18"/>
                <w:lang w:val="en-US"/>
              </w:rPr>
              <w:t>racismebestrijding</w:t>
            </w:r>
            <w:proofErr w:type="spellEnd"/>
            <w:r w:rsidRPr="009E4740" w:rsidDel="009E4740">
              <w:rPr>
                <w:rFonts w:ascii="Verdana" w:hAnsi="Verdana" w:cstheme="minorHAnsi"/>
                <w:sz w:val="18"/>
                <w:szCs w:val="18"/>
                <w:lang w:val="en-US"/>
              </w:rPr>
              <w:t xml:space="preserve"> </w:t>
            </w:r>
            <w:r w:rsidRPr="00D76BC8" w:rsidR="00D76BC8">
              <w:rPr>
                <w:rFonts w:ascii="Verdana" w:hAnsi="Verdana" w:cstheme="minorHAnsi"/>
                <w:sz w:val="18"/>
                <w:szCs w:val="18"/>
                <w:lang w:val="en-US"/>
              </w:rPr>
              <w:t>(Q4 2025)</w:t>
            </w:r>
          </w:p>
        </w:tc>
        <w:tc>
          <w:tcPr>
            <w:tcW w:w="4678" w:type="dxa"/>
            <w:tcBorders>
              <w:top w:val="single" w:color="auto" w:sz="4" w:space="0"/>
              <w:left w:val="single" w:color="auto" w:sz="4" w:space="0"/>
              <w:bottom w:val="single" w:color="auto" w:sz="4" w:space="0"/>
              <w:right w:val="single" w:color="auto" w:sz="4" w:space="0"/>
            </w:tcBorders>
          </w:tcPr>
          <w:p w:rsidRPr="0086334D" w:rsidR="00D76BC8" w:rsidP="004C0C67" w:rsidRDefault="004C0C67" w14:paraId="7AC00B8E" w14:textId="4E4501B5">
            <w:pPr>
              <w:rPr>
                <w:rFonts w:ascii="Verdana" w:hAnsi="Verdana" w:cstheme="minorHAnsi"/>
                <w:sz w:val="18"/>
                <w:szCs w:val="18"/>
              </w:rPr>
            </w:pPr>
            <w:r>
              <w:rPr>
                <w:rFonts w:ascii="Verdana" w:hAnsi="Verdana" w:cstheme="minorHAnsi"/>
                <w:sz w:val="18"/>
                <w:szCs w:val="18"/>
              </w:rPr>
              <w:t xml:space="preserve">De </w:t>
            </w:r>
            <w:r w:rsidRPr="00D76BC8" w:rsidR="00D76BC8">
              <w:rPr>
                <w:rFonts w:ascii="Verdana" w:hAnsi="Verdana" w:cstheme="minorHAnsi"/>
                <w:sz w:val="18"/>
                <w:szCs w:val="18"/>
              </w:rPr>
              <w:t xml:space="preserve">LGBTIQ </w:t>
            </w:r>
            <w:r>
              <w:rPr>
                <w:rFonts w:ascii="Verdana" w:hAnsi="Verdana" w:cstheme="minorHAnsi"/>
                <w:sz w:val="18"/>
                <w:szCs w:val="18"/>
              </w:rPr>
              <w:t xml:space="preserve">gelijkheidsstrategie betreft het </w:t>
            </w:r>
            <w:r w:rsidRPr="00D76BC8" w:rsidR="00D76BC8">
              <w:rPr>
                <w:rFonts w:ascii="Verdana" w:hAnsi="Verdana" w:cstheme="minorHAnsi"/>
                <w:sz w:val="18"/>
                <w:szCs w:val="18"/>
              </w:rPr>
              <w:t xml:space="preserve">vervolg van de huidige strategie </w:t>
            </w:r>
            <w:r>
              <w:rPr>
                <w:rFonts w:ascii="Verdana" w:hAnsi="Verdana" w:cstheme="minorHAnsi"/>
                <w:sz w:val="18"/>
                <w:szCs w:val="18"/>
              </w:rPr>
              <w:t xml:space="preserve">voor </w:t>
            </w:r>
            <w:r w:rsidRPr="00D76BC8" w:rsidR="00D76BC8">
              <w:rPr>
                <w:rFonts w:ascii="Verdana" w:hAnsi="Verdana" w:cstheme="minorHAnsi"/>
                <w:sz w:val="18"/>
                <w:szCs w:val="18"/>
              </w:rPr>
              <w:t xml:space="preserve">2020-2025. </w:t>
            </w:r>
            <w:r w:rsidR="00794A48">
              <w:rPr>
                <w:rFonts w:ascii="Verdana" w:hAnsi="Verdana" w:cstheme="minorHAnsi"/>
                <w:sz w:val="18"/>
                <w:szCs w:val="18"/>
              </w:rPr>
              <w:t>De Commissie legt</w:t>
            </w:r>
            <w:r w:rsidRPr="00D76BC8" w:rsidR="00D76BC8">
              <w:rPr>
                <w:rFonts w:ascii="Verdana" w:hAnsi="Verdana" w:cstheme="minorHAnsi"/>
                <w:sz w:val="18"/>
                <w:szCs w:val="18"/>
              </w:rPr>
              <w:t xml:space="preserve"> </w:t>
            </w:r>
            <w:r>
              <w:rPr>
                <w:rFonts w:ascii="Verdana" w:hAnsi="Verdana" w:cstheme="minorHAnsi"/>
                <w:sz w:val="18"/>
                <w:szCs w:val="18"/>
              </w:rPr>
              <w:t xml:space="preserve">hierbij </w:t>
            </w:r>
            <w:r w:rsidRPr="00D76BC8" w:rsidR="00D76BC8">
              <w:rPr>
                <w:rFonts w:ascii="Verdana" w:hAnsi="Verdana" w:cstheme="minorHAnsi"/>
                <w:sz w:val="18"/>
                <w:szCs w:val="18"/>
              </w:rPr>
              <w:t xml:space="preserve">de nadruk op het bevorderen van gelijke rechten en kansen voor vrouwen, </w:t>
            </w:r>
            <w:proofErr w:type="spellStart"/>
            <w:r w:rsidRPr="00D76BC8" w:rsidR="00D76BC8">
              <w:rPr>
                <w:rFonts w:ascii="Verdana" w:hAnsi="Verdana" w:cstheme="minorHAnsi"/>
                <w:sz w:val="18"/>
                <w:szCs w:val="18"/>
              </w:rPr>
              <w:t>lhbtiq+</w:t>
            </w:r>
            <w:proofErr w:type="spellEnd"/>
            <w:r w:rsidRPr="00D76BC8" w:rsidR="00D76BC8">
              <w:rPr>
                <w:rFonts w:ascii="Verdana" w:hAnsi="Verdana" w:cstheme="minorHAnsi"/>
                <w:sz w:val="18"/>
                <w:szCs w:val="18"/>
              </w:rPr>
              <w:t xml:space="preserve"> personen en andere gemarginaliseerde groepen. </w:t>
            </w:r>
            <w:r w:rsidRPr="0086334D">
              <w:rPr>
                <w:rFonts w:ascii="Verdana" w:hAnsi="Verdana" w:cstheme="minorHAnsi"/>
                <w:sz w:val="18"/>
                <w:szCs w:val="18"/>
              </w:rPr>
              <w:t xml:space="preserve">De antiracisme strategie betreft het </w:t>
            </w:r>
            <w:r w:rsidRPr="0086334D" w:rsidDel="004C0C67" w:rsidR="00D76BC8">
              <w:rPr>
                <w:rFonts w:ascii="Verdana" w:hAnsi="Verdana" w:cstheme="minorHAnsi"/>
                <w:sz w:val="18"/>
                <w:szCs w:val="18"/>
              </w:rPr>
              <w:t xml:space="preserve">vervolg </w:t>
            </w:r>
            <w:r w:rsidRPr="0086334D" w:rsidR="00D76BC8">
              <w:rPr>
                <w:rFonts w:ascii="Verdana" w:hAnsi="Verdana" w:cstheme="minorHAnsi"/>
                <w:sz w:val="18"/>
                <w:szCs w:val="18"/>
              </w:rPr>
              <w:t xml:space="preserve">van </w:t>
            </w:r>
            <w:r>
              <w:rPr>
                <w:rFonts w:ascii="Verdana" w:hAnsi="Verdana" w:cstheme="minorHAnsi"/>
                <w:sz w:val="18"/>
                <w:szCs w:val="18"/>
              </w:rPr>
              <w:t>het</w:t>
            </w:r>
            <w:r w:rsidRPr="0086334D" w:rsidR="00D76BC8">
              <w:rPr>
                <w:rFonts w:ascii="Verdana" w:hAnsi="Verdana" w:cstheme="minorHAnsi"/>
                <w:sz w:val="18"/>
                <w:szCs w:val="18"/>
              </w:rPr>
              <w:t xml:space="preserve"> EU </w:t>
            </w:r>
            <w:r w:rsidRPr="000C7C60">
              <w:rPr>
                <w:rFonts w:ascii="Verdana" w:hAnsi="Verdana" w:cstheme="minorHAnsi"/>
                <w:sz w:val="18"/>
                <w:szCs w:val="18"/>
              </w:rPr>
              <w:t xml:space="preserve">antiracisme </w:t>
            </w:r>
            <w:r w:rsidRPr="0086334D" w:rsidR="00D76BC8">
              <w:rPr>
                <w:rFonts w:ascii="Verdana" w:hAnsi="Verdana" w:cstheme="minorHAnsi"/>
                <w:sz w:val="18"/>
                <w:szCs w:val="18"/>
              </w:rPr>
              <w:t>Action plan</w:t>
            </w:r>
            <w:r>
              <w:rPr>
                <w:rFonts w:ascii="Verdana" w:hAnsi="Verdana" w:cstheme="minorHAnsi"/>
                <w:sz w:val="18"/>
                <w:szCs w:val="18"/>
              </w:rPr>
              <w:t xml:space="preserve"> </w:t>
            </w:r>
            <w:r w:rsidR="00794A48">
              <w:rPr>
                <w:rFonts w:ascii="Verdana" w:hAnsi="Verdana" w:cstheme="minorHAnsi"/>
                <w:sz w:val="18"/>
                <w:szCs w:val="18"/>
              </w:rPr>
              <w:t>(</w:t>
            </w:r>
            <w:r w:rsidRPr="0086334D" w:rsidR="00D76BC8">
              <w:rPr>
                <w:rFonts w:ascii="Verdana" w:hAnsi="Verdana" w:cstheme="minorHAnsi"/>
                <w:sz w:val="18"/>
                <w:szCs w:val="18"/>
              </w:rPr>
              <w:t>2020-2025</w:t>
            </w:r>
            <w:r w:rsidR="00794A48">
              <w:rPr>
                <w:rFonts w:ascii="Verdana" w:hAnsi="Verdana" w:cstheme="minorHAnsi"/>
                <w:sz w:val="18"/>
                <w:szCs w:val="18"/>
              </w:rPr>
              <w:t>)</w:t>
            </w:r>
            <w:r w:rsidRPr="0086334D" w:rsidR="00D76BC8">
              <w:rPr>
                <w:rFonts w:ascii="Verdana" w:hAnsi="Verdana" w:cstheme="minorHAnsi"/>
                <w:sz w:val="18"/>
                <w:szCs w:val="18"/>
              </w:rPr>
              <w:t xml:space="preserve">. </w:t>
            </w:r>
          </w:p>
        </w:tc>
        <w:tc>
          <w:tcPr>
            <w:tcW w:w="5953" w:type="dxa"/>
            <w:tcBorders>
              <w:top w:val="single" w:color="auto" w:sz="4" w:space="0"/>
              <w:left w:val="single" w:color="auto" w:sz="4" w:space="0"/>
              <w:bottom w:val="single" w:color="auto" w:sz="4" w:space="0"/>
              <w:right w:val="single" w:color="auto" w:sz="4" w:space="0"/>
            </w:tcBorders>
          </w:tcPr>
          <w:p w:rsidRPr="00D76BC8" w:rsidR="00D76BC8" w:rsidP="007C26FD" w:rsidRDefault="00D76BC8" w14:paraId="689541C9" w14:textId="4893BA74">
            <w:pPr>
              <w:rPr>
                <w:rFonts w:ascii="Verdana" w:hAnsi="Verdana" w:cstheme="minorHAnsi"/>
                <w:sz w:val="18"/>
                <w:szCs w:val="18"/>
              </w:rPr>
            </w:pPr>
            <w:r w:rsidRPr="00D76BC8">
              <w:rPr>
                <w:rFonts w:ascii="Verdana" w:hAnsi="Verdana" w:cstheme="minorHAnsi"/>
                <w:sz w:val="18"/>
                <w:szCs w:val="18"/>
              </w:rPr>
              <w:t xml:space="preserve">Het kabinet verwelkomt een vervolg op de huidige </w:t>
            </w:r>
            <w:r w:rsidR="0086334D">
              <w:rPr>
                <w:rFonts w:ascii="Verdana" w:hAnsi="Verdana" w:cstheme="minorHAnsi"/>
                <w:sz w:val="18"/>
                <w:szCs w:val="18"/>
              </w:rPr>
              <w:t xml:space="preserve">antiracisme </w:t>
            </w:r>
            <w:r w:rsidRPr="00D76BC8" w:rsidR="0086334D">
              <w:rPr>
                <w:rFonts w:ascii="Verdana" w:hAnsi="Verdana" w:cstheme="minorHAnsi"/>
                <w:sz w:val="18"/>
                <w:szCs w:val="18"/>
              </w:rPr>
              <w:t>strategie</w:t>
            </w:r>
            <w:r w:rsidR="0086334D">
              <w:rPr>
                <w:rFonts w:ascii="Verdana" w:hAnsi="Verdana" w:cstheme="minorHAnsi"/>
                <w:sz w:val="18"/>
                <w:szCs w:val="18"/>
              </w:rPr>
              <w:t xml:space="preserve"> en de strategie</w:t>
            </w:r>
            <w:r w:rsidRPr="00D76BC8">
              <w:rPr>
                <w:rFonts w:ascii="Verdana" w:hAnsi="Verdana" w:cstheme="minorHAnsi"/>
                <w:sz w:val="18"/>
                <w:szCs w:val="18"/>
              </w:rPr>
              <w:t xml:space="preserve"> voor gelijkheid van </w:t>
            </w:r>
            <w:proofErr w:type="spellStart"/>
            <w:r w:rsidRPr="00D76BC8">
              <w:rPr>
                <w:rFonts w:ascii="Verdana" w:hAnsi="Verdana" w:cstheme="minorHAnsi"/>
                <w:sz w:val="18"/>
                <w:szCs w:val="18"/>
              </w:rPr>
              <w:t>lhbtiq’ers</w:t>
            </w:r>
            <w:proofErr w:type="spellEnd"/>
            <w:r w:rsidRPr="00D76BC8">
              <w:rPr>
                <w:rFonts w:ascii="Verdana" w:hAnsi="Verdana" w:cstheme="minorHAnsi"/>
                <w:sz w:val="18"/>
                <w:szCs w:val="18"/>
              </w:rPr>
              <w:t xml:space="preserve"> </w:t>
            </w:r>
            <w:r w:rsidR="0086334D">
              <w:rPr>
                <w:rFonts w:ascii="Verdana" w:hAnsi="Verdana" w:cstheme="minorHAnsi"/>
                <w:sz w:val="18"/>
                <w:szCs w:val="18"/>
              </w:rPr>
              <w:t xml:space="preserve">voor de periode </w:t>
            </w:r>
            <w:r w:rsidRPr="00D76BC8">
              <w:rPr>
                <w:rFonts w:ascii="Verdana" w:hAnsi="Verdana" w:cstheme="minorHAnsi"/>
                <w:sz w:val="18"/>
                <w:szCs w:val="18"/>
              </w:rPr>
              <w:t xml:space="preserve">2020-2025. Het is cruciaal dat de EU waakzaam blijft en met de lidstaten blijft samenwerken voor het recht op gelijke behandeling en non-discriminatie, ook in haar buitenlands beleid, om de rechten van </w:t>
            </w:r>
            <w:proofErr w:type="spellStart"/>
            <w:r w:rsidRPr="00D76BC8">
              <w:rPr>
                <w:rFonts w:ascii="Verdana" w:hAnsi="Verdana" w:cstheme="minorHAnsi"/>
                <w:sz w:val="18"/>
                <w:szCs w:val="18"/>
              </w:rPr>
              <w:t>lhbtiq+</w:t>
            </w:r>
            <w:proofErr w:type="spellEnd"/>
            <w:r w:rsidRPr="00D76BC8">
              <w:rPr>
                <w:rFonts w:ascii="Verdana" w:hAnsi="Verdana" w:cstheme="minorHAnsi"/>
                <w:sz w:val="18"/>
                <w:szCs w:val="18"/>
              </w:rPr>
              <w:t xml:space="preserve"> personen te beschermen en bevorderen. </w:t>
            </w:r>
          </w:p>
        </w:tc>
        <w:tc>
          <w:tcPr>
            <w:tcW w:w="1843" w:type="dxa"/>
            <w:tcBorders>
              <w:top w:val="single" w:color="auto" w:sz="4" w:space="0"/>
              <w:left w:val="single" w:color="auto" w:sz="4" w:space="0"/>
              <w:bottom w:val="single" w:color="auto" w:sz="4" w:space="0"/>
              <w:right w:val="single" w:color="auto" w:sz="4" w:space="0"/>
            </w:tcBorders>
          </w:tcPr>
          <w:p w:rsidRPr="00D76BC8" w:rsidR="00D76BC8" w:rsidP="007C26FD" w:rsidRDefault="00D76BC8" w14:paraId="089D3172" w14:textId="77777777">
            <w:pPr>
              <w:rPr>
                <w:rFonts w:ascii="Verdana" w:hAnsi="Verdana" w:cstheme="minorHAnsi"/>
                <w:color w:val="000000"/>
                <w:sz w:val="18"/>
                <w:szCs w:val="18"/>
              </w:rPr>
            </w:pPr>
            <w:r w:rsidRPr="00D76BC8">
              <w:rPr>
                <w:rFonts w:ascii="Verdana" w:hAnsi="Verdana" w:cstheme="minorHAnsi"/>
                <w:color w:val="000000"/>
                <w:sz w:val="18"/>
                <w:szCs w:val="18"/>
              </w:rPr>
              <w:t>Niet-wetgevend</w:t>
            </w:r>
          </w:p>
          <w:p w:rsidRPr="00D76BC8" w:rsidR="00D76BC8" w:rsidP="007C26FD" w:rsidRDefault="00D76BC8" w14:paraId="117EA6B7" w14:textId="77777777">
            <w:pPr>
              <w:rPr>
                <w:rFonts w:ascii="Verdana" w:hAnsi="Verdana" w:cstheme="minorHAnsi"/>
                <w:color w:val="000000"/>
                <w:sz w:val="18"/>
                <w:szCs w:val="18"/>
              </w:rPr>
            </w:pPr>
          </w:p>
          <w:p w:rsidRPr="00D76BC8" w:rsidR="00D76BC8" w:rsidP="007C26FD" w:rsidRDefault="00D76BC8" w14:paraId="42CE7077" w14:textId="77777777">
            <w:pPr>
              <w:rPr>
                <w:rFonts w:ascii="Verdana" w:hAnsi="Verdana" w:cstheme="minorHAnsi"/>
                <w:color w:val="000000"/>
                <w:sz w:val="18"/>
                <w:szCs w:val="18"/>
              </w:rPr>
            </w:pPr>
          </w:p>
          <w:p w:rsidRPr="00D76BC8" w:rsidR="00D76BC8" w:rsidP="007C26FD" w:rsidRDefault="00D76BC8" w14:paraId="41099961" w14:textId="04BD6D59">
            <w:pPr>
              <w:rPr>
                <w:rFonts w:ascii="Verdana" w:hAnsi="Verdana" w:cstheme="minorHAnsi"/>
                <w:color w:val="000000"/>
                <w:sz w:val="18"/>
                <w:szCs w:val="18"/>
              </w:rPr>
            </w:pPr>
            <w:r w:rsidRPr="00D76BC8">
              <w:rPr>
                <w:rFonts w:ascii="Verdana" w:hAnsi="Verdana" w:cstheme="minorHAnsi"/>
                <w:color w:val="000000"/>
                <w:sz w:val="18"/>
                <w:szCs w:val="18"/>
              </w:rPr>
              <w:t>Niet-wetgevend</w:t>
            </w:r>
          </w:p>
        </w:tc>
      </w:tr>
    </w:tbl>
    <w:p w:rsidR="004C0C67" w:rsidRDefault="004C0C67" w14:paraId="7601F988" w14:textId="6A7E9EFC">
      <w:pPr>
        <w:rPr>
          <w:rFonts w:ascii="Verdana" w:hAnsi="Verdana"/>
          <w:b/>
          <w:bCs/>
          <w:sz w:val="18"/>
          <w:szCs w:val="18"/>
        </w:rPr>
      </w:pPr>
    </w:p>
    <w:p w:rsidRPr="00D76BC8" w:rsidR="007E5965" w:rsidP="007C26FD" w:rsidRDefault="00BC4B31" w14:paraId="69E93FE5" w14:textId="75847824">
      <w:pPr>
        <w:pStyle w:val="NormalWeb"/>
        <w:rPr>
          <w:rFonts w:ascii="Verdana" w:hAnsi="Verdana" w:eastAsiaTheme="minorHAnsi" w:cstheme="minorBidi"/>
          <w:b/>
          <w:bCs/>
          <w:sz w:val="18"/>
          <w:szCs w:val="18"/>
          <w:lang w:eastAsia="en-US"/>
        </w:rPr>
      </w:pPr>
      <w:r w:rsidRPr="00D76BC8">
        <w:rPr>
          <w:rFonts w:ascii="Verdana" w:hAnsi="Verdana" w:eastAsiaTheme="minorHAnsi" w:cstheme="minorBidi"/>
          <w:b/>
          <w:bCs/>
          <w:sz w:val="18"/>
          <w:szCs w:val="18"/>
          <w:lang w:eastAsia="en-US"/>
        </w:rPr>
        <w:lastRenderedPageBreak/>
        <w:t>Prioriteit 6: Europa in de wereld: onze invloed en partnerschappen benutten</w:t>
      </w:r>
    </w:p>
    <w:tbl>
      <w:tblPr>
        <w:tblStyle w:val="TableGrid"/>
        <w:tblW w:w="15451" w:type="dxa"/>
        <w:tblInd w:w="-5" w:type="dxa"/>
        <w:tblLayout w:type="fixed"/>
        <w:tblLook w:val="04A0" w:firstRow="1" w:lastRow="0" w:firstColumn="1" w:lastColumn="0" w:noHBand="0" w:noVBand="1"/>
      </w:tblPr>
      <w:tblGrid>
        <w:gridCol w:w="567"/>
        <w:gridCol w:w="2410"/>
        <w:gridCol w:w="4678"/>
        <w:gridCol w:w="5953"/>
        <w:gridCol w:w="1843"/>
      </w:tblGrid>
      <w:tr w:rsidRPr="00D76BC8" w:rsidR="007D4768" w:rsidTr="0046703E" w14:paraId="05AC970C" w14:textId="77777777">
        <w:trPr>
          <w:trHeight w:val="634"/>
        </w:trPr>
        <w:tc>
          <w:tcPr>
            <w:tcW w:w="567" w:type="dxa"/>
            <w:tcBorders>
              <w:top w:val="single" w:color="auto" w:sz="4" w:space="0"/>
              <w:left w:val="single" w:color="auto" w:sz="4" w:space="0"/>
              <w:bottom w:val="single" w:color="auto" w:sz="4" w:space="0"/>
              <w:right w:val="single" w:color="auto" w:sz="4" w:space="0"/>
            </w:tcBorders>
          </w:tcPr>
          <w:p w:rsidRPr="00D76BC8" w:rsidR="007D4768" w:rsidP="007C26FD" w:rsidRDefault="007D4768" w14:paraId="61ABA5A0" w14:textId="77777777">
            <w:pPr>
              <w:rPr>
                <w:rFonts w:ascii="Verdana" w:hAnsi="Verdana" w:cstheme="minorHAnsi"/>
                <w:b/>
                <w:bCs/>
                <w:sz w:val="18"/>
                <w:szCs w:val="18"/>
              </w:rPr>
            </w:pPr>
            <w:r w:rsidRPr="00D76BC8">
              <w:rPr>
                <w:rFonts w:ascii="Verdana" w:hAnsi="Verdana" w:cstheme="minorHAnsi"/>
                <w:b/>
                <w:bCs/>
                <w:sz w:val="18"/>
                <w:szCs w:val="18"/>
              </w:rPr>
              <w:t>No.</w:t>
            </w:r>
          </w:p>
        </w:tc>
        <w:tc>
          <w:tcPr>
            <w:tcW w:w="2410" w:type="dxa"/>
            <w:tcBorders>
              <w:top w:val="single" w:color="auto" w:sz="4" w:space="0"/>
              <w:left w:val="single" w:color="auto" w:sz="4" w:space="0"/>
              <w:bottom w:val="single" w:color="auto" w:sz="4" w:space="0"/>
              <w:right w:val="single" w:color="auto" w:sz="4" w:space="0"/>
            </w:tcBorders>
            <w:hideMark/>
          </w:tcPr>
          <w:p w:rsidRPr="00D76BC8" w:rsidR="007D4768" w:rsidP="007C26FD" w:rsidRDefault="007D4768" w14:paraId="10FDD6CD" w14:textId="77777777">
            <w:pPr>
              <w:rPr>
                <w:rFonts w:ascii="Verdana" w:hAnsi="Verdana" w:cstheme="minorHAnsi"/>
                <w:b/>
                <w:bCs/>
                <w:sz w:val="18"/>
                <w:szCs w:val="18"/>
              </w:rPr>
            </w:pPr>
            <w:r w:rsidRPr="00D76BC8">
              <w:rPr>
                <w:rFonts w:ascii="Verdana" w:hAnsi="Verdana" w:cstheme="minorHAnsi"/>
                <w:b/>
                <w:bCs/>
                <w:sz w:val="18"/>
                <w:szCs w:val="18"/>
              </w:rPr>
              <w:t>Titel (publicatiedatum)</w:t>
            </w:r>
          </w:p>
        </w:tc>
        <w:tc>
          <w:tcPr>
            <w:tcW w:w="4678" w:type="dxa"/>
            <w:tcBorders>
              <w:top w:val="single" w:color="auto" w:sz="4" w:space="0"/>
              <w:left w:val="single" w:color="auto" w:sz="4" w:space="0"/>
              <w:bottom w:val="single" w:color="auto" w:sz="4" w:space="0"/>
              <w:right w:val="single" w:color="auto" w:sz="4" w:space="0"/>
            </w:tcBorders>
            <w:hideMark/>
          </w:tcPr>
          <w:p w:rsidRPr="00D76BC8" w:rsidR="007D4768" w:rsidP="007C26FD" w:rsidRDefault="007D4768" w14:paraId="75262A9F" w14:textId="77777777">
            <w:pPr>
              <w:rPr>
                <w:rFonts w:ascii="Verdana" w:hAnsi="Verdana" w:cstheme="minorHAnsi"/>
                <w:b/>
                <w:bCs/>
                <w:sz w:val="18"/>
                <w:szCs w:val="18"/>
              </w:rPr>
            </w:pPr>
            <w:r w:rsidRPr="00D76BC8">
              <w:rPr>
                <w:rFonts w:ascii="Verdana" w:hAnsi="Verdana" w:cstheme="minorHAnsi"/>
                <w:b/>
                <w:bCs/>
                <w:sz w:val="18"/>
                <w:szCs w:val="18"/>
              </w:rPr>
              <w:t>Korte beschrijving</w:t>
            </w:r>
          </w:p>
        </w:tc>
        <w:tc>
          <w:tcPr>
            <w:tcW w:w="5953" w:type="dxa"/>
            <w:tcBorders>
              <w:top w:val="single" w:color="auto" w:sz="4" w:space="0"/>
              <w:left w:val="single" w:color="auto" w:sz="4" w:space="0"/>
              <w:bottom w:val="single" w:color="auto" w:sz="4" w:space="0"/>
              <w:right w:val="single" w:color="auto" w:sz="4" w:space="0"/>
            </w:tcBorders>
            <w:hideMark/>
          </w:tcPr>
          <w:p w:rsidRPr="00D76BC8" w:rsidR="007D4768" w:rsidP="007C26FD" w:rsidRDefault="007D4768" w14:paraId="543DFFC9" w14:textId="77777777">
            <w:pPr>
              <w:rPr>
                <w:rFonts w:ascii="Verdana" w:hAnsi="Verdana" w:cstheme="minorHAnsi"/>
                <w:b/>
                <w:bCs/>
                <w:sz w:val="18"/>
                <w:szCs w:val="18"/>
              </w:rPr>
            </w:pPr>
            <w:r w:rsidRPr="00D76BC8">
              <w:rPr>
                <w:rFonts w:ascii="Verdana" w:hAnsi="Verdana" w:cstheme="minorHAnsi"/>
                <w:b/>
                <w:bCs/>
                <w:sz w:val="18"/>
                <w:szCs w:val="18"/>
              </w:rPr>
              <w:t>Kabinetsappreciatie</w:t>
            </w:r>
          </w:p>
        </w:tc>
        <w:tc>
          <w:tcPr>
            <w:tcW w:w="1843" w:type="dxa"/>
            <w:tcBorders>
              <w:top w:val="single" w:color="auto" w:sz="4" w:space="0"/>
              <w:left w:val="single" w:color="auto" w:sz="4" w:space="0"/>
              <w:bottom w:val="single" w:color="auto" w:sz="4" w:space="0"/>
              <w:right w:val="single" w:color="auto" w:sz="4" w:space="0"/>
            </w:tcBorders>
          </w:tcPr>
          <w:p w:rsidRPr="00D76BC8" w:rsidR="007D4768" w:rsidP="007C26FD" w:rsidRDefault="007D4768" w14:paraId="698A9CC1" w14:textId="77777777">
            <w:pPr>
              <w:rPr>
                <w:rFonts w:ascii="Verdana" w:hAnsi="Verdana" w:cstheme="minorHAnsi"/>
                <w:b/>
                <w:bCs/>
                <w:sz w:val="18"/>
                <w:szCs w:val="18"/>
              </w:rPr>
            </w:pPr>
            <w:r w:rsidRPr="00D76BC8">
              <w:rPr>
                <w:rFonts w:ascii="Verdana" w:hAnsi="Verdana" w:cstheme="minorHAnsi"/>
                <w:b/>
                <w:bCs/>
                <w:sz w:val="18"/>
                <w:szCs w:val="18"/>
              </w:rPr>
              <w:t>Wetgevend/niet-Wetgevend</w:t>
            </w:r>
          </w:p>
        </w:tc>
      </w:tr>
      <w:tr w:rsidRPr="00D76BC8" w:rsidR="007D4768" w:rsidTr="0046703E" w14:paraId="0A56CD2D"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D76BC8" w:rsidR="007D4768" w:rsidP="007C26FD" w:rsidRDefault="007D4768" w14:paraId="492B4F4C" w14:textId="6B4A6CF8">
            <w:pPr>
              <w:rPr>
                <w:rFonts w:ascii="Verdana" w:hAnsi="Verdana" w:cstheme="minorHAnsi"/>
                <w:sz w:val="18"/>
                <w:szCs w:val="18"/>
                <w:lang w:val="en-US"/>
              </w:rPr>
            </w:pPr>
            <w:r w:rsidRPr="00D76BC8">
              <w:rPr>
                <w:rFonts w:ascii="Verdana" w:hAnsi="Verdana" w:cstheme="minorHAnsi"/>
                <w:sz w:val="18"/>
                <w:szCs w:val="18"/>
                <w:lang w:val="en-US"/>
              </w:rPr>
              <w:t>4</w:t>
            </w:r>
            <w:r w:rsidRPr="00D76BC8" w:rsidR="0068013D">
              <w:rPr>
                <w:rFonts w:ascii="Verdana" w:hAnsi="Verdana" w:cstheme="minorHAnsi"/>
                <w:sz w:val="18"/>
                <w:szCs w:val="18"/>
                <w:lang w:val="en-US"/>
              </w:rPr>
              <w:t>1</w:t>
            </w:r>
            <w:r w:rsidRPr="00D76BC8">
              <w:rPr>
                <w:rFonts w:ascii="Verdana" w:hAnsi="Verdana" w:cstheme="minorHAnsi"/>
                <w:sz w:val="18"/>
                <w:szCs w:val="18"/>
                <w:lang w:val="en-US"/>
              </w:rPr>
              <w:t>.</w:t>
            </w:r>
          </w:p>
        </w:tc>
        <w:tc>
          <w:tcPr>
            <w:tcW w:w="2410" w:type="dxa"/>
            <w:tcBorders>
              <w:top w:val="single" w:color="auto" w:sz="4" w:space="0"/>
              <w:left w:val="single" w:color="auto" w:sz="4" w:space="0"/>
              <w:bottom w:val="single" w:color="auto" w:sz="4" w:space="0"/>
              <w:right w:val="single" w:color="auto" w:sz="4" w:space="0"/>
            </w:tcBorders>
          </w:tcPr>
          <w:p w:rsidRPr="0086334D" w:rsidR="007D4768" w:rsidP="007C26FD" w:rsidRDefault="009E4740" w14:paraId="0D76F28F" w14:textId="16A61CCA">
            <w:pPr>
              <w:rPr>
                <w:rFonts w:ascii="Verdana" w:hAnsi="Verdana" w:cstheme="minorHAnsi"/>
                <w:sz w:val="18"/>
                <w:szCs w:val="18"/>
              </w:rPr>
            </w:pPr>
            <w:r w:rsidRPr="0086334D">
              <w:rPr>
                <w:rFonts w:ascii="Verdana" w:hAnsi="Verdana" w:cstheme="minorHAnsi"/>
                <w:sz w:val="18"/>
                <w:szCs w:val="18"/>
              </w:rPr>
              <w:t>Pact voor het Middellandse Zeegebied</w:t>
            </w:r>
            <w:r w:rsidRPr="0086334D" w:rsidDel="009E4740">
              <w:rPr>
                <w:rFonts w:ascii="Verdana" w:hAnsi="Verdana" w:cstheme="minorHAnsi"/>
                <w:sz w:val="18"/>
                <w:szCs w:val="18"/>
              </w:rPr>
              <w:t xml:space="preserve"> </w:t>
            </w:r>
            <w:r w:rsidRPr="0086334D" w:rsidR="007D4768">
              <w:rPr>
                <w:rFonts w:ascii="Verdana" w:hAnsi="Verdana" w:cstheme="minorHAnsi"/>
                <w:sz w:val="18"/>
                <w:szCs w:val="18"/>
              </w:rPr>
              <w:t>(Q3 2025)</w:t>
            </w:r>
          </w:p>
        </w:tc>
        <w:tc>
          <w:tcPr>
            <w:tcW w:w="4678" w:type="dxa"/>
            <w:tcBorders>
              <w:top w:val="single" w:color="auto" w:sz="4" w:space="0"/>
              <w:left w:val="single" w:color="auto" w:sz="4" w:space="0"/>
              <w:bottom w:val="single" w:color="auto" w:sz="4" w:space="0"/>
              <w:right w:val="single" w:color="auto" w:sz="4" w:space="0"/>
            </w:tcBorders>
          </w:tcPr>
          <w:p w:rsidRPr="00D76BC8" w:rsidR="007D4768" w:rsidP="007C26FD" w:rsidRDefault="0046703E" w14:paraId="4518A4E1" w14:textId="7DAB32CB">
            <w:pPr>
              <w:spacing w:after="160"/>
              <w:rPr>
                <w:rFonts w:ascii="Verdana" w:hAnsi="Verdana" w:cstheme="minorHAnsi"/>
                <w:color w:val="000000"/>
                <w:sz w:val="18"/>
                <w:szCs w:val="18"/>
              </w:rPr>
            </w:pPr>
            <w:r w:rsidRPr="00D76BC8">
              <w:rPr>
                <w:rFonts w:ascii="Verdana" w:hAnsi="Verdana"/>
                <w:sz w:val="18"/>
                <w:szCs w:val="18"/>
                <w:lang w:eastAsia="en-US"/>
              </w:rPr>
              <w:t xml:space="preserve">De Commissie </w:t>
            </w:r>
            <w:r w:rsidR="000F1AE6">
              <w:rPr>
                <w:rFonts w:ascii="Verdana" w:hAnsi="Verdana"/>
                <w:sz w:val="18"/>
                <w:szCs w:val="18"/>
                <w:lang w:eastAsia="en-US"/>
              </w:rPr>
              <w:t>publiceert</w:t>
            </w:r>
            <w:r w:rsidRPr="00D76BC8">
              <w:rPr>
                <w:rFonts w:ascii="Verdana" w:hAnsi="Verdana"/>
                <w:sz w:val="18"/>
                <w:szCs w:val="18"/>
                <w:lang w:eastAsia="en-US"/>
              </w:rPr>
              <w:t xml:space="preserve"> naar verwachting in het najaar een gezamenlijke mededeling over het Zuidelijk Nabuurschap. </w:t>
            </w:r>
          </w:p>
        </w:tc>
        <w:tc>
          <w:tcPr>
            <w:tcW w:w="5953" w:type="dxa"/>
            <w:tcBorders>
              <w:top w:val="single" w:color="auto" w:sz="4" w:space="0"/>
              <w:left w:val="single" w:color="auto" w:sz="4" w:space="0"/>
              <w:bottom w:val="single" w:color="auto" w:sz="4" w:space="0"/>
              <w:right w:val="single" w:color="auto" w:sz="4" w:space="0"/>
            </w:tcBorders>
          </w:tcPr>
          <w:p w:rsidRPr="0086334D" w:rsidR="007D4768" w:rsidP="007C26FD" w:rsidRDefault="0046703E" w14:paraId="2AF2E2CB" w14:textId="67B34146">
            <w:pPr>
              <w:rPr>
                <w:rFonts w:ascii="Verdana" w:hAnsi="Verdana" w:cstheme="minorHAnsi"/>
                <w:color w:val="000000"/>
                <w:sz w:val="18"/>
                <w:szCs w:val="18"/>
              </w:rPr>
            </w:pPr>
            <w:r w:rsidRPr="00D76BC8">
              <w:rPr>
                <w:rFonts w:ascii="Verdana" w:hAnsi="Verdana"/>
                <w:sz w:val="18"/>
                <w:szCs w:val="18"/>
              </w:rPr>
              <w:t>Het kabinet verwelkomt de mogelijkheid om de relaties te versterken met deze regio</w:t>
            </w:r>
            <w:r w:rsidR="004C0C67">
              <w:rPr>
                <w:rFonts w:ascii="Verdana" w:hAnsi="Verdana"/>
                <w:sz w:val="18"/>
                <w:szCs w:val="18"/>
              </w:rPr>
              <w:t>. Deze is</w:t>
            </w:r>
            <w:r w:rsidRPr="00D76BC8">
              <w:rPr>
                <w:rFonts w:ascii="Verdana" w:hAnsi="Verdana"/>
                <w:sz w:val="18"/>
                <w:szCs w:val="18"/>
              </w:rPr>
              <w:t xml:space="preserve"> van strategisch belang voor de EU</w:t>
            </w:r>
            <w:r w:rsidR="004C0C67">
              <w:rPr>
                <w:rFonts w:ascii="Verdana" w:hAnsi="Verdana"/>
                <w:sz w:val="18"/>
                <w:szCs w:val="18"/>
              </w:rPr>
              <w:t xml:space="preserve">, </w:t>
            </w:r>
            <w:r w:rsidRPr="00D76BC8">
              <w:rPr>
                <w:rFonts w:ascii="Verdana" w:hAnsi="Verdana"/>
                <w:sz w:val="18"/>
                <w:szCs w:val="18"/>
              </w:rPr>
              <w:t>gezien zowel de nabijheid als gezamenlijke belangen op terreinen als migratie, economische stabiliteit, en veiligheid. Het kabinet hecht aan het aangaan en versterken van brede partnerschappen in de regio, onder andere om irreguliere migratie tegen te gaan en terugkeer te bevorderen. Ook zet het kabinet in op het bevorderen van opvang in de regio en het tegengaan van mensensmokkel en -handel. De benadering van de landen in de regio dient volgens het kabinet gestoeld te blijven op EU-waarden, waaronder respect voor mensenrechten.</w:t>
            </w:r>
          </w:p>
        </w:tc>
        <w:tc>
          <w:tcPr>
            <w:tcW w:w="1843" w:type="dxa"/>
            <w:tcBorders>
              <w:top w:val="single" w:color="auto" w:sz="4" w:space="0"/>
              <w:left w:val="single" w:color="auto" w:sz="4" w:space="0"/>
              <w:bottom w:val="single" w:color="auto" w:sz="4" w:space="0"/>
              <w:right w:val="single" w:color="auto" w:sz="4" w:space="0"/>
            </w:tcBorders>
          </w:tcPr>
          <w:p w:rsidRPr="00D76BC8" w:rsidR="007D4768" w:rsidP="007C26FD" w:rsidRDefault="007D4768" w14:paraId="42F342BD" w14:textId="77777777">
            <w:pPr>
              <w:rPr>
                <w:rFonts w:ascii="Verdana" w:hAnsi="Verdana" w:cstheme="minorHAnsi"/>
                <w:color w:val="000000"/>
                <w:sz w:val="18"/>
                <w:szCs w:val="18"/>
              </w:rPr>
            </w:pPr>
            <w:r w:rsidRPr="00D76BC8">
              <w:rPr>
                <w:rFonts w:ascii="Verdana" w:hAnsi="Verdana" w:cstheme="minorHAnsi"/>
                <w:color w:val="000000"/>
                <w:sz w:val="18"/>
                <w:szCs w:val="18"/>
              </w:rPr>
              <w:t>Niet-wetgevend</w:t>
            </w:r>
          </w:p>
          <w:p w:rsidRPr="00D76BC8" w:rsidR="007D4768" w:rsidP="007C26FD" w:rsidRDefault="007D4768" w14:paraId="095420F5" w14:textId="77777777">
            <w:pPr>
              <w:rPr>
                <w:rFonts w:ascii="Verdana" w:hAnsi="Verdana" w:cstheme="minorHAnsi"/>
                <w:color w:val="000000"/>
                <w:sz w:val="18"/>
                <w:szCs w:val="18"/>
              </w:rPr>
            </w:pPr>
          </w:p>
          <w:p w:rsidRPr="00D76BC8" w:rsidR="007D4768" w:rsidP="007C26FD" w:rsidRDefault="007D4768" w14:paraId="7B8117BD" w14:textId="77777777">
            <w:pPr>
              <w:rPr>
                <w:rFonts w:ascii="Verdana" w:hAnsi="Verdana" w:cstheme="minorHAnsi"/>
                <w:color w:val="000000"/>
                <w:sz w:val="18"/>
                <w:szCs w:val="18"/>
              </w:rPr>
            </w:pPr>
          </w:p>
          <w:p w:rsidRPr="00D76BC8" w:rsidR="007D4768" w:rsidP="007C26FD" w:rsidRDefault="007D4768" w14:paraId="2278AB78" w14:textId="1B08FB12">
            <w:pPr>
              <w:rPr>
                <w:rFonts w:ascii="Verdana" w:hAnsi="Verdana" w:cstheme="minorHAnsi"/>
                <w:color w:val="000000"/>
                <w:sz w:val="18"/>
                <w:szCs w:val="18"/>
              </w:rPr>
            </w:pPr>
          </w:p>
        </w:tc>
      </w:tr>
      <w:tr w:rsidRPr="00D76BC8" w:rsidR="007D4768" w:rsidTr="0086334D" w14:paraId="581CC626"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D76BC8" w:rsidR="007D4768" w:rsidP="007C26FD" w:rsidRDefault="007D4768" w14:paraId="3F09DBC3" w14:textId="3122CA15">
            <w:pPr>
              <w:rPr>
                <w:rFonts w:ascii="Verdana" w:hAnsi="Verdana" w:cstheme="minorHAnsi"/>
                <w:sz w:val="18"/>
                <w:szCs w:val="18"/>
                <w:lang w:val="en-US"/>
              </w:rPr>
            </w:pPr>
            <w:r w:rsidRPr="00D76BC8">
              <w:rPr>
                <w:rFonts w:ascii="Verdana" w:hAnsi="Verdana" w:cstheme="minorHAnsi"/>
                <w:sz w:val="18"/>
                <w:szCs w:val="18"/>
                <w:lang w:val="en-US"/>
              </w:rPr>
              <w:t>4</w:t>
            </w:r>
            <w:r w:rsidRPr="00D76BC8" w:rsidR="0068013D">
              <w:rPr>
                <w:rFonts w:ascii="Verdana" w:hAnsi="Verdana" w:cstheme="minorHAnsi"/>
                <w:sz w:val="18"/>
                <w:szCs w:val="18"/>
                <w:lang w:val="en-US"/>
              </w:rPr>
              <w:t>2</w:t>
            </w:r>
            <w:r w:rsidRPr="00D76BC8">
              <w:rPr>
                <w:rFonts w:ascii="Verdana" w:hAnsi="Verdana" w:cstheme="minorHAnsi"/>
                <w:sz w:val="18"/>
                <w:szCs w:val="18"/>
                <w:lang w:val="en-US"/>
              </w:rPr>
              <w:t>.</w:t>
            </w:r>
          </w:p>
        </w:tc>
        <w:tc>
          <w:tcPr>
            <w:tcW w:w="2410" w:type="dxa"/>
            <w:tcBorders>
              <w:top w:val="single" w:color="auto" w:sz="4" w:space="0"/>
              <w:left w:val="single" w:color="auto" w:sz="4" w:space="0"/>
              <w:bottom w:val="single" w:color="auto" w:sz="4" w:space="0"/>
              <w:right w:val="single" w:color="auto" w:sz="4" w:space="0"/>
            </w:tcBorders>
          </w:tcPr>
          <w:p w:rsidRPr="0086334D" w:rsidR="007D4768" w:rsidP="007C26FD" w:rsidRDefault="009E4740" w14:paraId="7840AC51" w14:textId="62DBFE75">
            <w:pPr>
              <w:rPr>
                <w:rFonts w:ascii="Verdana" w:hAnsi="Verdana" w:cstheme="minorHAnsi"/>
                <w:b/>
                <w:bCs/>
                <w:sz w:val="18"/>
                <w:szCs w:val="18"/>
              </w:rPr>
            </w:pPr>
            <w:r w:rsidRPr="0086334D">
              <w:rPr>
                <w:rFonts w:ascii="Verdana" w:hAnsi="Verdana" w:cstheme="minorHAnsi"/>
                <w:sz w:val="18"/>
                <w:szCs w:val="18"/>
              </w:rPr>
              <w:t>Strategische EU-aanpak voor de Zwarte Zee/Strategie voor het Zwarte Zeegebied</w:t>
            </w:r>
            <w:r w:rsidRPr="0086334D" w:rsidDel="009E4740">
              <w:rPr>
                <w:rFonts w:ascii="Verdana" w:hAnsi="Verdana" w:cstheme="minorHAnsi"/>
                <w:sz w:val="18"/>
                <w:szCs w:val="18"/>
              </w:rPr>
              <w:t xml:space="preserve"> </w:t>
            </w:r>
            <w:r w:rsidRPr="0086334D" w:rsidR="007D4768">
              <w:rPr>
                <w:rFonts w:ascii="Verdana" w:hAnsi="Verdana" w:cstheme="minorHAnsi"/>
                <w:sz w:val="18"/>
                <w:szCs w:val="18"/>
              </w:rPr>
              <w:t>(Q2 2025)</w:t>
            </w:r>
          </w:p>
        </w:tc>
        <w:tc>
          <w:tcPr>
            <w:tcW w:w="4678" w:type="dxa"/>
            <w:tcBorders>
              <w:top w:val="single" w:color="auto" w:sz="4" w:space="0"/>
              <w:left w:val="single" w:color="auto" w:sz="4" w:space="0"/>
              <w:bottom w:val="single" w:color="auto" w:sz="4" w:space="0"/>
              <w:right w:val="single" w:color="auto" w:sz="4" w:space="0"/>
            </w:tcBorders>
          </w:tcPr>
          <w:p w:rsidRPr="00823FFF" w:rsidR="00823FFF" w:rsidP="007C26FD" w:rsidRDefault="00823FFF" w14:paraId="641F8F84" w14:textId="50A7E7EF">
            <w:pPr>
              <w:rPr>
                <w:rFonts w:ascii="Verdana" w:hAnsi="Verdana" w:cstheme="minorHAnsi"/>
                <w:color w:val="000000"/>
                <w:sz w:val="18"/>
                <w:szCs w:val="18"/>
              </w:rPr>
            </w:pPr>
            <w:r w:rsidRPr="00823FFF">
              <w:rPr>
                <w:rFonts w:ascii="Verdana" w:hAnsi="Verdana" w:cstheme="minorHAnsi"/>
                <w:color w:val="000000"/>
                <w:sz w:val="18"/>
                <w:szCs w:val="18"/>
              </w:rPr>
              <w:t xml:space="preserve">De Commissie </w:t>
            </w:r>
            <w:r w:rsidR="0039009C">
              <w:rPr>
                <w:rFonts w:ascii="Verdana" w:hAnsi="Verdana" w:cstheme="minorHAnsi"/>
                <w:color w:val="000000"/>
                <w:sz w:val="18"/>
                <w:szCs w:val="18"/>
              </w:rPr>
              <w:t>wil</w:t>
            </w:r>
            <w:r>
              <w:rPr>
                <w:rFonts w:ascii="Verdana" w:hAnsi="Verdana" w:cstheme="minorHAnsi"/>
                <w:color w:val="000000"/>
                <w:sz w:val="18"/>
                <w:szCs w:val="18"/>
              </w:rPr>
              <w:t xml:space="preserve"> een nieuwe strategische benadering opstellen voor de Zwarte Zee-regio, met het oog op versterking van de stabiliteit en weerbaarheid. </w:t>
            </w:r>
          </w:p>
        </w:tc>
        <w:tc>
          <w:tcPr>
            <w:tcW w:w="5953" w:type="dxa"/>
            <w:tcBorders>
              <w:top w:val="single" w:color="auto" w:sz="4" w:space="0"/>
              <w:left w:val="single" w:color="auto" w:sz="4" w:space="0"/>
              <w:bottom w:val="single" w:color="auto" w:sz="4" w:space="0"/>
              <w:right w:val="single" w:color="auto" w:sz="4" w:space="0"/>
            </w:tcBorders>
          </w:tcPr>
          <w:p w:rsidRPr="00823FFF" w:rsidR="00823FFF" w:rsidP="007C26FD" w:rsidRDefault="00823FFF" w14:paraId="29D1B0F8" w14:textId="52ECFDE7">
            <w:pPr>
              <w:rPr>
                <w:rFonts w:ascii="Verdana" w:hAnsi="Verdana" w:cstheme="minorHAnsi"/>
                <w:color w:val="000000"/>
                <w:sz w:val="18"/>
                <w:szCs w:val="18"/>
              </w:rPr>
            </w:pPr>
            <w:r>
              <w:rPr>
                <w:rFonts w:ascii="Verdana" w:hAnsi="Verdana" w:cstheme="minorHAnsi"/>
                <w:color w:val="000000"/>
                <w:sz w:val="18"/>
                <w:szCs w:val="18"/>
              </w:rPr>
              <w:t xml:space="preserve">De oorlog die Rusland in 2022 in Oekraïne ontketende raakt de veiligheid en stabiliteit van de hele Zwarte Zee-regio. </w:t>
            </w:r>
            <w:r w:rsidR="0039009C">
              <w:rPr>
                <w:rFonts w:ascii="Verdana" w:hAnsi="Verdana" w:cstheme="minorHAnsi"/>
                <w:color w:val="000000"/>
                <w:sz w:val="18"/>
                <w:szCs w:val="18"/>
              </w:rPr>
              <w:t xml:space="preserve">Het kabinet onderschrijft </w:t>
            </w:r>
            <w:r>
              <w:rPr>
                <w:rFonts w:ascii="Verdana" w:hAnsi="Verdana" w:cstheme="minorHAnsi"/>
                <w:color w:val="000000"/>
                <w:sz w:val="18"/>
                <w:szCs w:val="18"/>
              </w:rPr>
              <w:t xml:space="preserve">daarom het belang van het opstellen een gezamenlijke EU-strategische visie op de Zwarte Zee-regio. Daarbij dienen niet alleen de belangen van Oekraïne en EU-lidstaten Roemenië en Bulgarije te worden meegewogen, maar </w:t>
            </w:r>
            <w:r w:rsidR="0039009C">
              <w:rPr>
                <w:rFonts w:ascii="Verdana" w:hAnsi="Verdana" w:cstheme="minorHAnsi"/>
                <w:color w:val="000000"/>
                <w:sz w:val="18"/>
                <w:szCs w:val="18"/>
              </w:rPr>
              <w:t xml:space="preserve">moet </w:t>
            </w:r>
            <w:r>
              <w:rPr>
                <w:rFonts w:ascii="Verdana" w:hAnsi="Verdana" w:cstheme="minorHAnsi"/>
                <w:color w:val="000000"/>
                <w:sz w:val="18"/>
                <w:szCs w:val="18"/>
              </w:rPr>
              <w:t>ook rekening worden gehouden met NAVO-bondgenoot Turkije en Moldavië.</w:t>
            </w:r>
          </w:p>
        </w:tc>
        <w:tc>
          <w:tcPr>
            <w:tcW w:w="1843" w:type="dxa"/>
            <w:tcBorders>
              <w:top w:val="single" w:color="auto" w:sz="4" w:space="0"/>
              <w:left w:val="single" w:color="auto" w:sz="4" w:space="0"/>
              <w:bottom w:val="single" w:color="auto" w:sz="4" w:space="0"/>
              <w:right w:val="single" w:color="auto" w:sz="4" w:space="0"/>
            </w:tcBorders>
          </w:tcPr>
          <w:p w:rsidRPr="00D76BC8" w:rsidR="007D4768" w:rsidP="007C26FD" w:rsidRDefault="007D4768" w14:paraId="6C7ED0CA" w14:textId="77777777">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tc>
      </w:tr>
      <w:tr w:rsidRPr="00D76BC8" w:rsidR="001A369B" w:rsidTr="0046703E" w14:paraId="3ED0AE31"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1A369B" w:rsidP="007C26FD" w:rsidRDefault="001A369B" w14:paraId="62EA87E1" w14:textId="47D3BA6E">
            <w:pPr>
              <w:rPr>
                <w:rFonts w:ascii="Verdana" w:hAnsi="Verdana" w:cstheme="minorHAnsi"/>
                <w:sz w:val="18"/>
                <w:szCs w:val="18"/>
              </w:rPr>
            </w:pPr>
            <w:r w:rsidRPr="00D76BC8">
              <w:rPr>
                <w:rFonts w:ascii="Verdana" w:hAnsi="Verdana" w:cstheme="minorHAnsi"/>
                <w:sz w:val="18"/>
                <w:szCs w:val="18"/>
              </w:rPr>
              <w:t>43.</w:t>
            </w:r>
          </w:p>
        </w:tc>
        <w:tc>
          <w:tcPr>
            <w:tcW w:w="2410" w:type="dxa"/>
            <w:tcBorders>
              <w:top w:val="single" w:color="auto" w:sz="4" w:space="0"/>
              <w:left w:val="single" w:color="auto" w:sz="4" w:space="0"/>
              <w:bottom w:val="single" w:color="auto" w:sz="4" w:space="0"/>
              <w:right w:val="single" w:color="auto" w:sz="4" w:space="0"/>
            </w:tcBorders>
          </w:tcPr>
          <w:p w:rsidRPr="0086334D" w:rsidR="001A369B" w:rsidP="007C26FD" w:rsidRDefault="009E4740" w14:paraId="656D0A59" w14:textId="68D55AB0">
            <w:pPr>
              <w:rPr>
                <w:rFonts w:ascii="Verdana" w:hAnsi="Verdana" w:cstheme="minorHAnsi"/>
                <w:sz w:val="18"/>
                <w:szCs w:val="18"/>
                <w:highlight w:val="yellow"/>
              </w:rPr>
            </w:pPr>
            <w:r w:rsidRPr="0086334D">
              <w:rPr>
                <w:rFonts w:ascii="Verdana" w:hAnsi="Verdana" w:cstheme="minorHAnsi"/>
                <w:sz w:val="18"/>
                <w:szCs w:val="18"/>
              </w:rPr>
              <w:t>Gezamenlijke mededeling over een nieuwe strategische agenda EU-India</w:t>
            </w:r>
            <w:r w:rsidRPr="0086334D" w:rsidDel="009E4740">
              <w:rPr>
                <w:rFonts w:ascii="Verdana" w:hAnsi="Verdana" w:cstheme="minorHAnsi"/>
                <w:sz w:val="18"/>
                <w:szCs w:val="18"/>
              </w:rPr>
              <w:t xml:space="preserve"> </w:t>
            </w:r>
            <w:r w:rsidRPr="0086334D" w:rsidR="001A369B">
              <w:rPr>
                <w:rFonts w:ascii="Verdana" w:hAnsi="Verdana" w:cstheme="minorHAnsi"/>
                <w:sz w:val="18"/>
                <w:szCs w:val="18"/>
              </w:rPr>
              <w:t>(Q2 2025)</w:t>
            </w:r>
          </w:p>
        </w:tc>
        <w:tc>
          <w:tcPr>
            <w:tcW w:w="4678" w:type="dxa"/>
            <w:tcBorders>
              <w:top w:val="single" w:color="auto" w:sz="4" w:space="0"/>
              <w:left w:val="single" w:color="auto" w:sz="4" w:space="0"/>
              <w:bottom w:val="single" w:color="auto" w:sz="4" w:space="0"/>
              <w:right w:val="single" w:color="auto" w:sz="4" w:space="0"/>
            </w:tcBorders>
          </w:tcPr>
          <w:p w:rsidRPr="00540821" w:rsidR="00052069" w:rsidP="00052069" w:rsidRDefault="001A369B" w14:paraId="13729047" w14:textId="0C3DE879">
            <w:pPr>
              <w:rPr>
                <w:rFonts w:ascii="Verdana" w:hAnsi="Verdana" w:cstheme="minorHAnsi"/>
                <w:color w:val="000000"/>
                <w:sz w:val="18"/>
                <w:szCs w:val="18"/>
              </w:rPr>
            </w:pPr>
            <w:r w:rsidRPr="00D76BC8">
              <w:rPr>
                <w:rFonts w:ascii="Verdana" w:hAnsi="Verdana" w:cstheme="minorBidi"/>
                <w:sz w:val="18"/>
                <w:szCs w:val="18"/>
              </w:rPr>
              <w:t>Dit initiatief richt zich op het versterken van de samenwerking tussen de EU en India</w:t>
            </w:r>
            <w:r w:rsidR="006D65BE">
              <w:rPr>
                <w:rFonts w:ascii="Verdana" w:hAnsi="Verdana" w:cstheme="minorBidi"/>
                <w:sz w:val="18"/>
                <w:szCs w:val="18"/>
              </w:rPr>
              <w:t>.</w:t>
            </w:r>
            <w:r w:rsidRPr="00D76BC8">
              <w:rPr>
                <w:rFonts w:ascii="Verdana" w:hAnsi="Verdana" w:cstheme="minorBidi"/>
                <w:sz w:val="18"/>
                <w:szCs w:val="18"/>
              </w:rPr>
              <w:t xml:space="preserve"> Het doel is een hechter partnerschap dat gezamenlijke uitdagingen aanpakt</w:t>
            </w:r>
            <w:r w:rsidR="006D65BE">
              <w:rPr>
                <w:rFonts w:ascii="Verdana" w:hAnsi="Verdana" w:cstheme="minorBidi"/>
                <w:sz w:val="18"/>
                <w:szCs w:val="18"/>
              </w:rPr>
              <w:t xml:space="preserve"> met focus op de volgende onderwerpen</w:t>
            </w:r>
            <w:r w:rsidR="00C75EE6">
              <w:rPr>
                <w:rFonts w:ascii="Verdana" w:hAnsi="Verdana" w:cstheme="minorHAnsi"/>
                <w:color w:val="000000"/>
                <w:sz w:val="18"/>
                <w:szCs w:val="18"/>
              </w:rPr>
              <w:t xml:space="preserve"> </w:t>
            </w:r>
            <w:r w:rsidR="00334D28">
              <w:rPr>
                <w:rFonts w:ascii="Verdana" w:hAnsi="Verdana" w:cstheme="minorHAnsi"/>
                <w:sz w:val="18"/>
                <w:szCs w:val="18"/>
              </w:rPr>
              <w:t xml:space="preserve">(1) strategische technologieën, </w:t>
            </w:r>
            <w:r w:rsidRPr="0086334D" w:rsidR="00334D28">
              <w:rPr>
                <w:rFonts w:ascii="Verdana" w:hAnsi="Verdana" w:cstheme="minorHAnsi"/>
                <w:i/>
                <w:iCs/>
                <w:sz w:val="18"/>
                <w:szCs w:val="18"/>
              </w:rPr>
              <w:t>e-</w:t>
            </w:r>
            <w:proofErr w:type="spellStart"/>
            <w:r w:rsidRPr="0086334D" w:rsidR="00334D28">
              <w:rPr>
                <w:rFonts w:ascii="Verdana" w:hAnsi="Verdana" w:cstheme="minorHAnsi"/>
                <w:i/>
                <w:iCs/>
                <w:sz w:val="18"/>
                <w:szCs w:val="18"/>
              </w:rPr>
              <w:t>governance</w:t>
            </w:r>
            <w:proofErr w:type="spellEnd"/>
            <w:r w:rsidR="00334D28">
              <w:rPr>
                <w:rFonts w:ascii="Verdana" w:hAnsi="Verdana" w:cstheme="minorHAnsi"/>
                <w:sz w:val="18"/>
                <w:szCs w:val="18"/>
              </w:rPr>
              <w:t xml:space="preserve"> en digitale connectiviteit, (2) groene en schone energie technologieën en (3) handel, investeringen en weerbare </w:t>
            </w:r>
            <w:proofErr w:type="spellStart"/>
            <w:r w:rsidR="00334D28">
              <w:rPr>
                <w:rFonts w:ascii="Verdana" w:hAnsi="Verdana" w:cstheme="minorHAnsi"/>
                <w:sz w:val="18"/>
                <w:szCs w:val="18"/>
              </w:rPr>
              <w:t>waardeketens</w:t>
            </w:r>
            <w:proofErr w:type="spellEnd"/>
            <w:r w:rsidR="00334D28">
              <w:rPr>
                <w:rFonts w:ascii="Verdana" w:hAnsi="Verdana" w:cstheme="minorHAnsi"/>
                <w:sz w:val="18"/>
                <w:szCs w:val="18"/>
              </w:rPr>
              <w:t xml:space="preserve">. </w:t>
            </w:r>
          </w:p>
          <w:p w:rsidRPr="0086334D" w:rsidR="00052069" w:rsidP="007C26FD" w:rsidRDefault="00052069" w14:paraId="2332D9AA" w14:textId="06E9D32F">
            <w:pPr>
              <w:rPr>
                <w:rFonts w:ascii="Verdana" w:hAnsi="Verdana" w:cstheme="minorHAnsi"/>
                <w:sz w:val="18"/>
                <w:szCs w:val="18"/>
              </w:rPr>
            </w:pPr>
          </w:p>
        </w:tc>
        <w:tc>
          <w:tcPr>
            <w:tcW w:w="5953" w:type="dxa"/>
            <w:tcBorders>
              <w:top w:val="single" w:color="auto" w:sz="4" w:space="0"/>
              <w:left w:val="single" w:color="auto" w:sz="4" w:space="0"/>
              <w:bottom w:val="single" w:color="auto" w:sz="4" w:space="0"/>
              <w:right w:val="single" w:color="auto" w:sz="4" w:space="0"/>
            </w:tcBorders>
          </w:tcPr>
          <w:p w:rsidR="00052069" w:rsidP="007C26FD" w:rsidRDefault="005D78FB" w14:paraId="0D27305B" w14:textId="1A5A5264">
            <w:pPr>
              <w:rPr>
                <w:rFonts w:ascii="Verdana" w:hAnsi="Verdana" w:cstheme="minorHAnsi"/>
                <w:sz w:val="18"/>
                <w:szCs w:val="18"/>
              </w:rPr>
            </w:pPr>
            <w:r>
              <w:rPr>
                <w:rFonts w:ascii="Verdana" w:hAnsi="Verdana" w:cstheme="minorHAnsi"/>
                <w:sz w:val="18"/>
                <w:szCs w:val="18"/>
              </w:rPr>
              <w:t xml:space="preserve">Het </w:t>
            </w:r>
            <w:r w:rsidR="006D65BE">
              <w:rPr>
                <w:rFonts w:ascii="Verdana" w:hAnsi="Verdana" w:cstheme="minorHAnsi"/>
                <w:sz w:val="18"/>
                <w:szCs w:val="18"/>
              </w:rPr>
              <w:t>k</w:t>
            </w:r>
            <w:r>
              <w:rPr>
                <w:rFonts w:ascii="Verdana" w:hAnsi="Verdana" w:cstheme="minorHAnsi"/>
                <w:sz w:val="18"/>
                <w:szCs w:val="18"/>
              </w:rPr>
              <w:t xml:space="preserve">abinet verwelkomt de </w:t>
            </w:r>
            <w:r w:rsidRPr="00052069" w:rsidR="00052069">
              <w:rPr>
                <w:rFonts w:ascii="Verdana" w:hAnsi="Verdana" w:cstheme="minorHAnsi"/>
                <w:sz w:val="18"/>
                <w:szCs w:val="18"/>
              </w:rPr>
              <w:t>verdieping van de strategische relatie met India als</w:t>
            </w:r>
            <w:r w:rsidR="00052069">
              <w:rPr>
                <w:rFonts w:ascii="Verdana" w:hAnsi="Verdana" w:cstheme="minorHAnsi"/>
                <w:sz w:val="18"/>
                <w:szCs w:val="18"/>
              </w:rPr>
              <w:t xml:space="preserve"> grootste democratie van de wereld en een</w:t>
            </w:r>
            <w:r w:rsidRPr="00052069" w:rsidR="00052069">
              <w:rPr>
                <w:rFonts w:ascii="Verdana" w:hAnsi="Verdana" w:cstheme="minorHAnsi"/>
                <w:sz w:val="18"/>
                <w:szCs w:val="18"/>
              </w:rPr>
              <w:t xml:space="preserve"> sterk opkomende geopolitieke</w:t>
            </w:r>
            <w:r w:rsidR="009D50BF">
              <w:rPr>
                <w:rFonts w:ascii="Verdana" w:hAnsi="Verdana" w:cstheme="minorHAnsi"/>
                <w:sz w:val="18"/>
                <w:szCs w:val="18"/>
              </w:rPr>
              <w:t>, militaire</w:t>
            </w:r>
            <w:r w:rsidRPr="00052069" w:rsidR="00052069">
              <w:rPr>
                <w:rFonts w:ascii="Verdana" w:hAnsi="Verdana" w:cstheme="minorHAnsi"/>
                <w:sz w:val="18"/>
                <w:szCs w:val="18"/>
              </w:rPr>
              <w:t xml:space="preserve"> en </w:t>
            </w:r>
            <w:proofErr w:type="spellStart"/>
            <w:r w:rsidRPr="00052069" w:rsidR="00052069">
              <w:rPr>
                <w:rFonts w:ascii="Verdana" w:hAnsi="Verdana" w:cstheme="minorHAnsi"/>
                <w:sz w:val="18"/>
                <w:szCs w:val="18"/>
              </w:rPr>
              <w:t>geo</w:t>
            </w:r>
            <w:proofErr w:type="spellEnd"/>
            <w:r w:rsidRPr="00052069" w:rsidR="00052069">
              <w:rPr>
                <w:rFonts w:ascii="Verdana" w:hAnsi="Verdana" w:cstheme="minorHAnsi"/>
                <w:sz w:val="18"/>
                <w:szCs w:val="18"/>
              </w:rPr>
              <w:t>-economische grootmacht.</w:t>
            </w:r>
            <w:r w:rsidR="00052069">
              <w:rPr>
                <w:rFonts w:ascii="Verdana" w:hAnsi="Verdana" w:cstheme="minorHAnsi"/>
                <w:sz w:val="18"/>
                <w:szCs w:val="18"/>
              </w:rPr>
              <w:t xml:space="preserve"> </w:t>
            </w:r>
            <w:r>
              <w:rPr>
                <w:rFonts w:ascii="Verdana" w:hAnsi="Verdana" w:cstheme="minorHAnsi"/>
                <w:sz w:val="18"/>
                <w:szCs w:val="18"/>
              </w:rPr>
              <w:t>Het</w:t>
            </w:r>
            <w:r w:rsidR="00052069">
              <w:rPr>
                <w:rFonts w:ascii="Verdana" w:hAnsi="Verdana" w:cstheme="minorHAnsi"/>
                <w:sz w:val="18"/>
                <w:szCs w:val="18"/>
              </w:rPr>
              <w:t xml:space="preserve"> </w:t>
            </w:r>
            <w:r w:rsidR="006D65BE">
              <w:rPr>
                <w:rFonts w:ascii="Verdana" w:hAnsi="Verdana" w:cstheme="minorHAnsi"/>
                <w:sz w:val="18"/>
                <w:szCs w:val="18"/>
              </w:rPr>
              <w:t>voorstel</w:t>
            </w:r>
            <w:r w:rsidR="00052069">
              <w:rPr>
                <w:rFonts w:ascii="Verdana" w:hAnsi="Verdana" w:cstheme="minorHAnsi"/>
                <w:sz w:val="18"/>
                <w:szCs w:val="18"/>
              </w:rPr>
              <w:t xml:space="preserve"> sluit goed aan bij het kabinetsbeleid van het aangaan van brede partnerschappen en</w:t>
            </w:r>
            <w:r w:rsidRPr="00D76BC8" w:rsidR="00052069">
              <w:rPr>
                <w:rFonts w:ascii="Verdana" w:hAnsi="Verdana" w:cstheme="minorHAnsi"/>
                <w:sz w:val="18"/>
                <w:szCs w:val="18"/>
              </w:rPr>
              <w:t xml:space="preserve"> bij de Nederlandse economische belangen. India is een snelgroeiende economie en een belangrijke handelspartner, waardoor verdere markttoegang en investeringsbescherming kansen bieden voor Nederlandse bedrijven, met name in sectoren als hightech, agrofood</w:t>
            </w:r>
            <w:r w:rsidR="009A33ED">
              <w:rPr>
                <w:rFonts w:ascii="Verdana" w:hAnsi="Verdana" w:cstheme="minorHAnsi"/>
                <w:sz w:val="18"/>
                <w:szCs w:val="18"/>
              </w:rPr>
              <w:t xml:space="preserve">, </w:t>
            </w:r>
            <w:r w:rsidR="00386BF0">
              <w:rPr>
                <w:rFonts w:ascii="Verdana" w:hAnsi="Verdana" w:cstheme="minorHAnsi"/>
                <w:sz w:val="18"/>
                <w:szCs w:val="18"/>
              </w:rPr>
              <w:t>medische producten</w:t>
            </w:r>
            <w:r w:rsidRPr="009A33ED" w:rsidR="00386BF0">
              <w:rPr>
                <w:rFonts w:ascii="Verdana" w:hAnsi="Verdana" w:cstheme="minorHAnsi"/>
                <w:sz w:val="18"/>
                <w:szCs w:val="18"/>
              </w:rPr>
              <w:t xml:space="preserve"> </w:t>
            </w:r>
            <w:r w:rsidRPr="00D76BC8" w:rsidR="00386BF0">
              <w:rPr>
                <w:rFonts w:ascii="Verdana" w:hAnsi="Verdana" w:cstheme="minorHAnsi"/>
                <w:sz w:val="18"/>
                <w:szCs w:val="18"/>
              </w:rPr>
              <w:t xml:space="preserve"> </w:t>
            </w:r>
            <w:r w:rsidRPr="00D76BC8" w:rsidR="00052069">
              <w:rPr>
                <w:rFonts w:ascii="Verdana" w:hAnsi="Verdana" w:cstheme="minorHAnsi"/>
                <w:sz w:val="18"/>
                <w:szCs w:val="18"/>
              </w:rPr>
              <w:t xml:space="preserve">en duurzame energie. </w:t>
            </w:r>
          </w:p>
          <w:p w:rsidR="00052069" w:rsidP="007C26FD" w:rsidRDefault="00052069" w14:paraId="2E8E9FCB" w14:textId="77777777">
            <w:pPr>
              <w:rPr>
                <w:rFonts w:ascii="Verdana" w:hAnsi="Verdana" w:cstheme="minorHAnsi"/>
                <w:sz w:val="18"/>
                <w:szCs w:val="18"/>
              </w:rPr>
            </w:pPr>
          </w:p>
          <w:p w:rsidRPr="00D76BC8" w:rsidR="001A369B" w:rsidP="007C26FD" w:rsidRDefault="001A369B" w14:paraId="70D526B9" w14:textId="012111D9">
            <w:pPr>
              <w:rPr>
                <w:rFonts w:ascii="Verdana" w:hAnsi="Verdana" w:cstheme="minorHAnsi"/>
                <w:sz w:val="18"/>
                <w:szCs w:val="18"/>
              </w:rPr>
            </w:pPr>
          </w:p>
        </w:tc>
        <w:tc>
          <w:tcPr>
            <w:tcW w:w="1843" w:type="dxa"/>
            <w:tcBorders>
              <w:top w:val="single" w:color="auto" w:sz="4" w:space="0"/>
              <w:left w:val="single" w:color="auto" w:sz="4" w:space="0"/>
              <w:bottom w:val="single" w:color="auto" w:sz="4" w:space="0"/>
              <w:right w:val="single" w:color="auto" w:sz="4" w:space="0"/>
            </w:tcBorders>
          </w:tcPr>
          <w:p w:rsidRPr="00D76BC8" w:rsidR="001A369B" w:rsidP="007C26FD" w:rsidRDefault="001A369B" w14:paraId="3C3B6A7D" w14:textId="77777777">
            <w:pPr>
              <w:rPr>
                <w:rFonts w:ascii="Verdana" w:hAnsi="Verdana" w:cstheme="minorHAnsi"/>
                <w:color w:val="000000"/>
                <w:sz w:val="18"/>
                <w:szCs w:val="18"/>
              </w:rPr>
            </w:pPr>
            <w:r w:rsidRPr="00D76BC8">
              <w:rPr>
                <w:rFonts w:ascii="Verdana" w:hAnsi="Verdana" w:cstheme="minorHAnsi"/>
                <w:color w:val="000000"/>
                <w:sz w:val="18"/>
                <w:szCs w:val="18"/>
              </w:rPr>
              <w:t>Niet-wetgevend</w:t>
            </w:r>
          </w:p>
          <w:p w:rsidRPr="00D76BC8" w:rsidR="001A369B" w:rsidP="007C26FD" w:rsidRDefault="001A369B" w14:paraId="4E710ACF" w14:textId="77777777">
            <w:pPr>
              <w:rPr>
                <w:rFonts w:ascii="Verdana" w:hAnsi="Verdana" w:cstheme="minorHAnsi"/>
                <w:color w:val="000000"/>
                <w:sz w:val="18"/>
                <w:szCs w:val="18"/>
              </w:rPr>
            </w:pPr>
          </w:p>
          <w:p w:rsidRPr="00D76BC8" w:rsidR="001A369B" w:rsidP="007C26FD" w:rsidRDefault="001A369B" w14:paraId="61B89963" w14:textId="77777777">
            <w:pPr>
              <w:rPr>
                <w:rFonts w:ascii="Verdana" w:hAnsi="Verdana" w:cstheme="minorHAnsi"/>
                <w:color w:val="000000"/>
                <w:sz w:val="18"/>
                <w:szCs w:val="18"/>
              </w:rPr>
            </w:pPr>
          </w:p>
          <w:p w:rsidRPr="00D76BC8" w:rsidR="001A369B" w:rsidP="007C26FD" w:rsidRDefault="001A369B" w14:paraId="01E16447" w14:textId="3A07F9BC">
            <w:pPr>
              <w:rPr>
                <w:rFonts w:ascii="Verdana" w:hAnsi="Verdana" w:cstheme="minorHAnsi"/>
                <w:color w:val="000000"/>
                <w:sz w:val="18"/>
                <w:szCs w:val="18"/>
              </w:rPr>
            </w:pPr>
          </w:p>
        </w:tc>
      </w:tr>
    </w:tbl>
    <w:p w:rsidRPr="00D76BC8" w:rsidR="00BC4B31" w:rsidP="007C26FD" w:rsidRDefault="00BC4B31" w14:paraId="70D66095" w14:textId="0FB49E0A">
      <w:pPr>
        <w:spacing w:line="240" w:lineRule="auto"/>
        <w:rPr>
          <w:rFonts w:ascii="Verdana" w:hAnsi="Verdana"/>
          <w:b/>
          <w:bCs/>
          <w:sz w:val="18"/>
          <w:szCs w:val="18"/>
        </w:rPr>
      </w:pPr>
    </w:p>
    <w:p w:rsidR="009E4740" w:rsidRDefault="009E4740" w14:paraId="574604FA" w14:textId="77777777">
      <w:pPr>
        <w:rPr>
          <w:rFonts w:ascii="Verdana" w:hAnsi="Verdana"/>
          <w:b/>
          <w:bCs/>
          <w:sz w:val="18"/>
          <w:szCs w:val="18"/>
        </w:rPr>
      </w:pPr>
      <w:r>
        <w:rPr>
          <w:rFonts w:ascii="Verdana" w:hAnsi="Verdana"/>
          <w:b/>
          <w:bCs/>
          <w:sz w:val="18"/>
          <w:szCs w:val="18"/>
        </w:rPr>
        <w:br w:type="page"/>
      </w:r>
    </w:p>
    <w:p w:rsidRPr="00D76BC8" w:rsidR="007E5965" w:rsidP="007C26FD" w:rsidRDefault="007E5965" w14:paraId="7DACA5FF" w14:textId="0A4A164C">
      <w:pPr>
        <w:pStyle w:val="NormalWeb"/>
        <w:rPr>
          <w:rFonts w:ascii="Verdana" w:hAnsi="Verdana" w:eastAsiaTheme="minorHAnsi" w:cstheme="minorBidi"/>
          <w:b/>
          <w:bCs/>
          <w:sz w:val="18"/>
          <w:szCs w:val="18"/>
          <w:lang w:eastAsia="en-US"/>
        </w:rPr>
      </w:pPr>
      <w:r w:rsidRPr="00D76BC8">
        <w:rPr>
          <w:rFonts w:ascii="Verdana" w:hAnsi="Verdana" w:eastAsiaTheme="minorHAnsi" w:cstheme="minorBidi"/>
          <w:b/>
          <w:bCs/>
          <w:sz w:val="18"/>
          <w:szCs w:val="18"/>
          <w:lang w:eastAsia="en-US"/>
        </w:rPr>
        <w:lastRenderedPageBreak/>
        <w:t xml:space="preserve">Prioriteit </w:t>
      </w:r>
      <w:r w:rsidRPr="00D76BC8" w:rsidR="00BC4B31">
        <w:rPr>
          <w:rFonts w:ascii="Verdana" w:hAnsi="Verdana" w:eastAsiaTheme="minorHAnsi" w:cstheme="minorBidi"/>
          <w:b/>
          <w:bCs/>
          <w:sz w:val="18"/>
          <w:szCs w:val="18"/>
          <w:lang w:eastAsia="en-US"/>
        </w:rPr>
        <w:t>7</w:t>
      </w:r>
      <w:r w:rsidRPr="00D76BC8">
        <w:rPr>
          <w:rFonts w:ascii="Verdana" w:hAnsi="Verdana" w:eastAsiaTheme="minorHAnsi" w:cstheme="minorBidi"/>
          <w:b/>
          <w:bCs/>
          <w:sz w:val="18"/>
          <w:szCs w:val="18"/>
          <w:lang w:eastAsia="en-US"/>
        </w:rPr>
        <w:t xml:space="preserve">: </w:t>
      </w:r>
      <w:r w:rsidRPr="00D76BC8" w:rsidR="00BC4B31">
        <w:rPr>
          <w:rFonts w:ascii="Verdana" w:hAnsi="Verdana" w:eastAsiaTheme="minorHAnsi" w:cstheme="minorBidi"/>
          <w:b/>
          <w:bCs/>
          <w:sz w:val="18"/>
          <w:szCs w:val="18"/>
          <w:lang w:eastAsia="en-US"/>
        </w:rPr>
        <w:t>Samen resultaten boeken en onze Unie voorbereiden op de toekomst</w:t>
      </w:r>
    </w:p>
    <w:tbl>
      <w:tblPr>
        <w:tblStyle w:val="TableGrid"/>
        <w:tblW w:w="15451" w:type="dxa"/>
        <w:tblInd w:w="-5" w:type="dxa"/>
        <w:tblLayout w:type="fixed"/>
        <w:tblLook w:val="04A0" w:firstRow="1" w:lastRow="0" w:firstColumn="1" w:lastColumn="0" w:noHBand="0" w:noVBand="1"/>
      </w:tblPr>
      <w:tblGrid>
        <w:gridCol w:w="567"/>
        <w:gridCol w:w="3403"/>
        <w:gridCol w:w="5103"/>
        <w:gridCol w:w="4535"/>
        <w:gridCol w:w="1843"/>
      </w:tblGrid>
      <w:tr w:rsidRPr="00D76BC8" w:rsidR="007D4768" w:rsidTr="5D2AB649" w14:paraId="598BA867" w14:textId="77777777">
        <w:trPr>
          <w:trHeight w:val="634"/>
        </w:trPr>
        <w:tc>
          <w:tcPr>
            <w:tcW w:w="567" w:type="dxa"/>
            <w:tcBorders>
              <w:top w:val="single" w:color="auto" w:sz="4" w:space="0"/>
              <w:left w:val="single" w:color="auto" w:sz="4" w:space="0"/>
              <w:bottom w:val="single" w:color="auto" w:sz="4" w:space="0"/>
              <w:right w:val="single" w:color="auto" w:sz="4" w:space="0"/>
            </w:tcBorders>
          </w:tcPr>
          <w:p w:rsidRPr="00D76BC8" w:rsidR="007D4768" w:rsidP="007C26FD" w:rsidRDefault="007D4768" w14:paraId="164CF0D8" w14:textId="77777777">
            <w:pPr>
              <w:rPr>
                <w:rFonts w:ascii="Verdana" w:hAnsi="Verdana" w:cstheme="minorHAnsi"/>
                <w:b/>
                <w:bCs/>
                <w:sz w:val="18"/>
                <w:szCs w:val="18"/>
              </w:rPr>
            </w:pPr>
            <w:r w:rsidRPr="00D76BC8">
              <w:rPr>
                <w:rFonts w:ascii="Verdana" w:hAnsi="Verdana" w:cstheme="minorHAnsi"/>
                <w:b/>
                <w:bCs/>
                <w:sz w:val="18"/>
                <w:szCs w:val="18"/>
              </w:rPr>
              <w:t>No.</w:t>
            </w:r>
          </w:p>
        </w:tc>
        <w:tc>
          <w:tcPr>
            <w:tcW w:w="3403" w:type="dxa"/>
            <w:tcBorders>
              <w:top w:val="single" w:color="auto" w:sz="4" w:space="0"/>
              <w:left w:val="single" w:color="auto" w:sz="4" w:space="0"/>
              <w:bottom w:val="single" w:color="auto" w:sz="4" w:space="0"/>
              <w:right w:val="single" w:color="auto" w:sz="4" w:space="0"/>
            </w:tcBorders>
            <w:hideMark/>
          </w:tcPr>
          <w:p w:rsidRPr="00D76BC8" w:rsidR="007D4768" w:rsidP="007C26FD" w:rsidRDefault="007D4768" w14:paraId="20C04CBD" w14:textId="77777777">
            <w:pPr>
              <w:rPr>
                <w:rFonts w:ascii="Verdana" w:hAnsi="Verdana" w:cstheme="minorHAnsi"/>
                <w:b/>
                <w:bCs/>
                <w:sz w:val="18"/>
                <w:szCs w:val="18"/>
              </w:rPr>
            </w:pPr>
            <w:r w:rsidRPr="00D76BC8">
              <w:rPr>
                <w:rFonts w:ascii="Verdana" w:hAnsi="Verdana" w:cstheme="minorHAnsi"/>
                <w:b/>
                <w:bCs/>
                <w:sz w:val="18"/>
                <w:szCs w:val="18"/>
              </w:rPr>
              <w:t>Titel (publicatiedatum)</w:t>
            </w:r>
          </w:p>
        </w:tc>
        <w:tc>
          <w:tcPr>
            <w:tcW w:w="5103" w:type="dxa"/>
            <w:tcBorders>
              <w:top w:val="single" w:color="auto" w:sz="4" w:space="0"/>
              <w:left w:val="single" w:color="auto" w:sz="4" w:space="0"/>
              <w:bottom w:val="single" w:color="auto" w:sz="4" w:space="0"/>
              <w:right w:val="single" w:color="auto" w:sz="4" w:space="0"/>
            </w:tcBorders>
            <w:hideMark/>
          </w:tcPr>
          <w:p w:rsidRPr="00D76BC8" w:rsidR="007D4768" w:rsidP="007C26FD" w:rsidRDefault="007D4768" w14:paraId="0C4C9FF7" w14:textId="77777777">
            <w:pPr>
              <w:rPr>
                <w:rFonts w:ascii="Verdana" w:hAnsi="Verdana" w:cstheme="minorHAnsi"/>
                <w:b/>
                <w:bCs/>
                <w:sz w:val="18"/>
                <w:szCs w:val="18"/>
              </w:rPr>
            </w:pPr>
            <w:r w:rsidRPr="00D76BC8">
              <w:rPr>
                <w:rFonts w:ascii="Verdana" w:hAnsi="Verdana" w:cstheme="minorHAnsi"/>
                <w:b/>
                <w:bCs/>
                <w:sz w:val="18"/>
                <w:szCs w:val="18"/>
              </w:rPr>
              <w:t>Korte beschrijving</w:t>
            </w:r>
          </w:p>
        </w:tc>
        <w:tc>
          <w:tcPr>
            <w:tcW w:w="4535" w:type="dxa"/>
            <w:tcBorders>
              <w:top w:val="single" w:color="auto" w:sz="4" w:space="0"/>
              <w:left w:val="single" w:color="auto" w:sz="4" w:space="0"/>
              <w:bottom w:val="single" w:color="auto" w:sz="4" w:space="0"/>
              <w:right w:val="single" w:color="auto" w:sz="4" w:space="0"/>
            </w:tcBorders>
            <w:hideMark/>
          </w:tcPr>
          <w:p w:rsidRPr="00D76BC8" w:rsidR="007D4768" w:rsidP="007C26FD" w:rsidRDefault="007D4768" w14:paraId="72A18E22" w14:textId="77777777">
            <w:pPr>
              <w:rPr>
                <w:rFonts w:ascii="Verdana" w:hAnsi="Verdana" w:cstheme="minorHAnsi"/>
                <w:b/>
                <w:bCs/>
                <w:sz w:val="18"/>
                <w:szCs w:val="18"/>
              </w:rPr>
            </w:pPr>
            <w:r w:rsidRPr="00D76BC8">
              <w:rPr>
                <w:rFonts w:ascii="Verdana" w:hAnsi="Verdana" w:cstheme="minorHAnsi"/>
                <w:b/>
                <w:bCs/>
                <w:sz w:val="18"/>
                <w:szCs w:val="18"/>
              </w:rPr>
              <w:t>Kabinetsappreciatie</w:t>
            </w:r>
          </w:p>
        </w:tc>
        <w:tc>
          <w:tcPr>
            <w:tcW w:w="1843" w:type="dxa"/>
            <w:tcBorders>
              <w:top w:val="single" w:color="auto" w:sz="4" w:space="0"/>
              <w:left w:val="single" w:color="auto" w:sz="4" w:space="0"/>
              <w:bottom w:val="single" w:color="auto" w:sz="4" w:space="0"/>
              <w:right w:val="single" w:color="auto" w:sz="4" w:space="0"/>
            </w:tcBorders>
          </w:tcPr>
          <w:p w:rsidRPr="00D76BC8" w:rsidR="007D4768" w:rsidP="007C26FD" w:rsidRDefault="007D4768" w14:paraId="3AD6B287" w14:textId="77777777">
            <w:pPr>
              <w:rPr>
                <w:rFonts w:ascii="Verdana" w:hAnsi="Verdana" w:cstheme="minorHAnsi"/>
                <w:b/>
                <w:bCs/>
                <w:sz w:val="18"/>
                <w:szCs w:val="18"/>
              </w:rPr>
            </w:pPr>
            <w:r w:rsidRPr="00D76BC8">
              <w:rPr>
                <w:rFonts w:ascii="Verdana" w:hAnsi="Verdana" w:cstheme="minorHAnsi"/>
                <w:b/>
                <w:bCs/>
                <w:sz w:val="18"/>
                <w:szCs w:val="18"/>
              </w:rPr>
              <w:t>Wetgevend/niet-Wetgevend</w:t>
            </w:r>
          </w:p>
        </w:tc>
      </w:tr>
      <w:tr w:rsidRPr="00D76BC8" w:rsidR="007D4768" w:rsidTr="5D2AB649" w14:paraId="0A531A7C" w14:textId="77777777">
        <w:trPr>
          <w:trHeight w:val="979"/>
        </w:trPr>
        <w:tc>
          <w:tcPr>
            <w:tcW w:w="567" w:type="dxa"/>
            <w:tcBorders>
              <w:top w:val="single" w:color="auto" w:sz="4" w:space="0"/>
              <w:left w:val="single" w:color="auto" w:sz="4" w:space="0"/>
              <w:bottom w:val="single" w:color="auto" w:sz="4" w:space="0"/>
              <w:right w:val="single" w:color="auto" w:sz="4" w:space="0"/>
            </w:tcBorders>
          </w:tcPr>
          <w:p w:rsidRPr="00D76BC8" w:rsidR="007D4768" w:rsidP="007C26FD" w:rsidRDefault="007D4768" w14:paraId="5DC85C92" w14:textId="4D64B999">
            <w:pPr>
              <w:rPr>
                <w:rFonts w:ascii="Verdana" w:hAnsi="Verdana" w:cstheme="minorHAnsi"/>
                <w:sz w:val="18"/>
                <w:szCs w:val="18"/>
                <w:lang w:val="en-US"/>
              </w:rPr>
            </w:pPr>
            <w:r w:rsidRPr="00D76BC8">
              <w:rPr>
                <w:rFonts w:ascii="Verdana" w:hAnsi="Verdana" w:cstheme="minorHAnsi"/>
                <w:sz w:val="18"/>
                <w:szCs w:val="18"/>
                <w:lang w:val="en-US"/>
              </w:rPr>
              <w:t>4</w:t>
            </w:r>
            <w:r w:rsidRPr="00D76BC8" w:rsidR="0068013D">
              <w:rPr>
                <w:rFonts w:ascii="Verdana" w:hAnsi="Verdana" w:cstheme="minorHAnsi"/>
                <w:sz w:val="18"/>
                <w:szCs w:val="18"/>
                <w:lang w:val="en-US"/>
              </w:rPr>
              <w:t>4</w:t>
            </w:r>
            <w:r w:rsidRPr="00D76BC8">
              <w:rPr>
                <w:rFonts w:ascii="Verdana" w:hAnsi="Verdana" w:cstheme="minorHAnsi"/>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86334D" w:rsidR="007D4768" w:rsidP="007C26FD" w:rsidRDefault="009E4740" w14:paraId="7A14D06A" w14:textId="660A31D4">
            <w:pPr>
              <w:rPr>
                <w:rFonts w:ascii="Verdana" w:hAnsi="Verdana" w:cstheme="minorHAnsi"/>
                <w:sz w:val="18"/>
                <w:szCs w:val="18"/>
              </w:rPr>
            </w:pPr>
            <w:r w:rsidRPr="0086334D">
              <w:rPr>
                <w:rFonts w:ascii="Verdana" w:hAnsi="Verdana" w:cstheme="minorHAnsi"/>
                <w:sz w:val="18"/>
                <w:szCs w:val="18"/>
              </w:rPr>
              <w:t xml:space="preserve">Voorstellen voor het </w:t>
            </w:r>
            <w:r w:rsidR="00C206B4">
              <w:rPr>
                <w:rFonts w:ascii="Verdana" w:hAnsi="Verdana" w:cstheme="minorHAnsi"/>
                <w:sz w:val="18"/>
                <w:szCs w:val="18"/>
              </w:rPr>
              <w:t>M</w:t>
            </w:r>
            <w:r w:rsidRPr="0086334D">
              <w:rPr>
                <w:rFonts w:ascii="Verdana" w:hAnsi="Verdana" w:cstheme="minorHAnsi"/>
                <w:sz w:val="18"/>
                <w:szCs w:val="18"/>
              </w:rPr>
              <w:t xml:space="preserve">eerjarig </w:t>
            </w:r>
            <w:r w:rsidR="00C206B4">
              <w:rPr>
                <w:rFonts w:ascii="Verdana" w:hAnsi="Verdana" w:cstheme="minorHAnsi"/>
                <w:sz w:val="18"/>
                <w:szCs w:val="18"/>
              </w:rPr>
              <w:t>F</w:t>
            </w:r>
            <w:r w:rsidRPr="0086334D">
              <w:rPr>
                <w:rFonts w:ascii="Verdana" w:hAnsi="Verdana" w:cstheme="minorHAnsi"/>
                <w:sz w:val="18"/>
                <w:szCs w:val="18"/>
              </w:rPr>
              <w:t xml:space="preserve">inancieel </w:t>
            </w:r>
            <w:r w:rsidR="00C206B4">
              <w:rPr>
                <w:rFonts w:ascii="Verdana" w:hAnsi="Verdana" w:cstheme="minorHAnsi"/>
                <w:sz w:val="18"/>
                <w:szCs w:val="18"/>
              </w:rPr>
              <w:t>K</w:t>
            </w:r>
            <w:r w:rsidRPr="0086334D">
              <w:rPr>
                <w:rFonts w:ascii="Verdana" w:hAnsi="Verdana" w:cstheme="minorHAnsi"/>
                <w:sz w:val="18"/>
                <w:szCs w:val="18"/>
              </w:rPr>
              <w:t xml:space="preserve">ader </w:t>
            </w:r>
            <w:r w:rsidR="00C206B4">
              <w:rPr>
                <w:rFonts w:ascii="Verdana" w:hAnsi="Verdana" w:cstheme="minorHAnsi"/>
                <w:sz w:val="18"/>
                <w:szCs w:val="18"/>
              </w:rPr>
              <w:t xml:space="preserve">(MFK) </w:t>
            </w:r>
            <w:r w:rsidRPr="0086334D">
              <w:rPr>
                <w:rFonts w:ascii="Verdana" w:hAnsi="Verdana" w:cstheme="minorHAnsi"/>
                <w:sz w:val="18"/>
                <w:szCs w:val="18"/>
              </w:rPr>
              <w:t>voor de periode na 2027</w:t>
            </w:r>
            <w:r w:rsidRPr="0086334D" w:rsidDel="009E4740">
              <w:rPr>
                <w:rFonts w:ascii="Verdana" w:hAnsi="Verdana" w:cstheme="minorHAnsi"/>
                <w:sz w:val="18"/>
                <w:szCs w:val="18"/>
              </w:rPr>
              <w:t xml:space="preserve"> </w:t>
            </w:r>
            <w:r w:rsidRPr="0086334D" w:rsidR="007D4768">
              <w:rPr>
                <w:rFonts w:ascii="Verdana" w:hAnsi="Verdana" w:cstheme="minorHAnsi"/>
                <w:sz w:val="18"/>
                <w:szCs w:val="18"/>
              </w:rPr>
              <w:t>(Q3 2025)</w:t>
            </w:r>
          </w:p>
          <w:p w:rsidRPr="0086334D" w:rsidR="007D4768" w:rsidP="007C26FD" w:rsidRDefault="007D4768" w14:paraId="6A942F1E" w14:textId="4C16867C">
            <w:pPr>
              <w:rPr>
                <w:rFonts w:ascii="Verdana" w:hAnsi="Verdana" w:cstheme="minorHAnsi"/>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D76BC8" w:rsidR="007D4768" w:rsidP="007C26FD" w:rsidRDefault="5D2AB649" w14:paraId="500FA3C2" w14:textId="5B1ADCC9">
            <w:pPr>
              <w:rPr>
                <w:rFonts w:ascii="Verdana" w:hAnsi="Verdana" w:eastAsia="Calibri" w:cs="Calibri"/>
                <w:sz w:val="18"/>
                <w:szCs w:val="18"/>
              </w:rPr>
            </w:pPr>
            <w:r w:rsidRPr="00D76BC8">
              <w:rPr>
                <w:rFonts w:ascii="Verdana" w:hAnsi="Verdana" w:eastAsia="Calibri" w:cs="Calibri"/>
                <w:sz w:val="18"/>
                <w:szCs w:val="18"/>
              </w:rPr>
              <w:t>De C</w:t>
            </w:r>
            <w:r w:rsidR="007474FD">
              <w:rPr>
                <w:rFonts w:ascii="Verdana" w:hAnsi="Verdana" w:eastAsia="Calibri" w:cs="Calibri"/>
                <w:sz w:val="18"/>
                <w:szCs w:val="18"/>
              </w:rPr>
              <w:t>ommissie</w:t>
            </w:r>
            <w:r w:rsidRPr="00D76BC8">
              <w:rPr>
                <w:rFonts w:ascii="Verdana" w:hAnsi="Verdana" w:eastAsia="Calibri" w:cs="Calibri"/>
                <w:sz w:val="18"/>
                <w:szCs w:val="18"/>
              </w:rPr>
              <w:t xml:space="preserve"> zal in </w:t>
            </w:r>
            <w:r w:rsidR="007474FD">
              <w:rPr>
                <w:rFonts w:ascii="Verdana" w:hAnsi="Verdana" w:eastAsia="Calibri" w:cs="Calibri"/>
                <w:sz w:val="18"/>
                <w:szCs w:val="18"/>
              </w:rPr>
              <w:t>de</w:t>
            </w:r>
            <w:r w:rsidRPr="00D76BC8" w:rsidR="007474FD">
              <w:rPr>
                <w:rFonts w:ascii="Verdana" w:hAnsi="Verdana" w:eastAsia="Calibri" w:cs="Calibri"/>
                <w:sz w:val="18"/>
                <w:szCs w:val="18"/>
              </w:rPr>
              <w:t xml:space="preserve"> </w:t>
            </w:r>
            <w:r w:rsidRPr="00D76BC8">
              <w:rPr>
                <w:rFonts w:ascii="Verdana" w:hAnsi="Verdana" w:eastAsia="Calibri" w:cs="Calibri"/>
                <w:sz w:val="18"/>
                <w:szCs w:val="18"/>
              </w:rPr>
              <w:t>post-2027 voorstellen van MFK naar verwachting inzetten op versimpelen en flexibiliseren. Daarnaast wil de C</w:t>
            </w:r>
            <w:r w:rsidR="007474FD">
              <w:rPr>
                <w:rFonts w:ascii="Verdana" w:hAnsi="Verdana" w:eastAsia="Calibri" w:cs="Calibri"/>
                <w:sz w:val="18"/>
                <w:szCs w:val="18"/>
              </w:rPr>
              <w:t>ommissie</w:t>
            </w:r>
            <w:r w:rsidRPr="00D76BC8">
              <w:rPr>
                <w:rFonts w:ascii="Verdana" w:hAnsi="Verdana" w:eastAsia="Calibri" w:cs="Calibri"/>
                <w:sz w:val="18"/>
                <w:szCs w:val="18"/>
              </w:rPr>
              <w:t xml:space="preserve"> zorgen dat het MFK meer privaat kapitaal mobiliseert. De </w:t>
            </w:r>
            <w:r w:rsidR="00BB5845">
              <w:rPr>
                <w:rFonts w:ascii="Verdana" w:hAnsi="Verdana" w:eastAsia="Calibri" w:cs="Calibri"/>
                <w:sz w:val="18"/>
                <w:szCs w:val="18"/>
              </w:rPr>
              <w:t>Commissie</w:t>
            </w:r>
            <w:r w:rsidRPr="00D76BC8">
              <w:rPr>
                <w:rFonts w:ascii="Verdana" w:hAnsi="Verdana" w:eastAsia="Calibri" w:cs="Calibri"/>
                <w:sz w:val="18"/>
                <w:szCs w:val="18"/>
              </w:rPr>
              <w:t xml:space="preserve"> beoogt daarbij een moderne Europese begroting te realiseren gericht op de uitdagingen waar de EU voor staat.</w:t>
            </w:r>
          </w:p>
          <w:p w:rsidRPr="00D76BC8" w:rsidR="007D4768" w:rsidP="007C26FD" w:rsidRDefault="007D4768" w14:paraId="51E0892F" w14:textId="77F43654">
            <w:pPr>
              <w:rPr>
                <w:rFonts w:ascii="Verdana" w:hAnsi="Verdana" w:cstheme="minorBidi"/>
                <w:color w:val="000000" w:themeColor="text1"/>
                <w:sz w:val="18"/>
                <w:szCs w:val="18"/>
              </w:rPr>
            </w:pPr>
          </w:p>
        </w:tc>
        <w:tc>
          <w:tcPr>
            <w:tcW w:w="4535" w:type="dxa"/>
            <w:tcBorders>
              <w:top w:val="single" w:color="auto" w:sz="4" w:space="0"/>
              <w:left w:val="single" w:color="auto" w:sz="4" w:space="0"/>
              <w:bottom w:val="single" w:color="auto" w:sz="4" w:space="0"/>
              <w:right w:val="single" w:color="auto" w:sz="4" w:space="0"/>
            </w:tcBorders>
          </w:tcPr>
          <w:p w:rsidRPr="00D76BC8" w:rsidR="007D4768" w:rsidP="007C26FD" w:rsidRDefault="588BD61F" w14:paraId="2DFBB082" w14:textId="3C84C901">
            <w:pPr>
              <w:rPr>
                <w:rFonts w:ascii="Verdana" w:hAnsi="Verdana" w:cstheme="minorHAnsi"/>
                <w:color w:val="000000"/>
                <w:sz w:val="18"/>
                <w:szCs w:val="18"/>
              </w:rPr>
            </w:pPr>
            <w:r w:rsidRPr="00D76BC8">
              <w:rPr>
                <w:rFonts w:ascii="Verdana" w:hAnsi="Verdana" w:eastAsia="Calibri" w:cs="Calibri"/>
                <w:sz w:val="18"/>
                <w:szCs w:val="18"/>
              </w:rPr>
              <w:t>Het kabinet is voorstander van een moderne, versimpelde Europese begroting gericht op de uitdagingen waar de EU voor staat. Het kabinet is echter van mening dat deze beleidsprioriteiten kunnen worden gehaald door te her</w:t>
            </w:r>
            <w:r w:rsidR="004C0C67">
              <w:rPr>
                <w:rFonts w:ascii="Verdana" w:hAnsi="Verdana" w:eastAsia="Calibri" w:cs="Calibri"/>
                <w:sz w:val="18"/>
                <w:szCs w:val="18"/>
              </w:rPr>
              <w:t>-</w:t>
            </w:r>
            <w:r w:rsidRPr="00D76BC8">
              <w:rPr>
                <w:rFonts w:ascii="Verdana" w:hAnsi="Verdana" w:eastAsia="Calibri" w:cs="Calibri"/>
                <w:sz w:val="18"/>
                <w:szCs w:val="18"/>
              </w:rPr>
              <w:t>prioriteren binnen de begroting en niet door het MFK groter te maken</w:t>
            </w:r>
            <w:r w:rsidR="00C206B4">
              <w:rPr>
                <w:rFonts w:ascii="Verdana" w:hAnsi="Verdana" w:eastAsia="Calibri" w:cs="Calibri"/>
                <w:sz w:val="18"/>
                <w:szCs w:val="18"/>
              </w:rPr>
              <w:t xml:space="preserve"> in lijn met de besparingsopgave uit het Hoofdlijnenakkoord</w:t>
            </w:r>
            <w:r w:rsidRPr="00D76BC8">
              <w:rPr>
                <w:rFonts w:ascii="Verdana" w:hAnsi="Verdana" w:eastAsia="Calibri" w:cs="Calibri"/>
                <w:sz w:val="18"/>
                <w:szCs w:val="18"/>
              </w:rPr>
              <w:t xml:space="preserve">. </w:t>
            </w:r>
          </w:p>
        </w:tc>
        <w:tc>
          <w:tcPr>
            <w:tcW w:w="1843" w:type="dxa"/>
            <w:tcBorders>
              <w:top w:val="single" w:color="auto" w:sz="4" w:space="0"/>
              <w:left w:val="single" w:color="auto" w:sz="4" w:space="0"/>
              <w:bottom w:val="single" w:color="auto" w:sz="4" w:space="0"/>
              <w:right w:val="single" w:color="auto" w:sz="4" w:space="0"/>
            </w:tcBorders>
          </w:tcPr>
          <w:p w:rsidRPr="00D76BC8" w:rsidR="007D4768" w:rsidP="007C26FD" w:rsidRDefault="007D4768" w14:paraId="7EEFEF03" w14:textId="1EB2579C">
            <w:pPr>
              <w:rPr>
                <w:rFonts w:ascii="Verdana" w:hAnsi="Verdana" w:cstheme="minorHAnsi"/>
                <w:color w:val="000000"/>
                <w:sz w:val="18"/>
                <w:szCs w:val="18"/>
              </w:rPr>
            </w:pPr>
            <w:r w:rsidRPr="00D76BC8">
              <w:rPr>
                <w:rFonts w:ascii="Verdana" w:hAnsi="Verdana" w:cstheme="minorHAnsi"/>
                <w:color w:val="000000"/>
                <w:sz w:val="18"/>
                <w:szCs w:val="18"/>
              </w:rPr>
              <w:t>Wetgevend</w:t>
            </w:r>
          </w:p>
          <w:p w:rsidRPr="00D76BC8" w:rsidR="007D4768" w:rsidP="007C26FD" w:rsidRDefault="007D4768" w14:paraId="55B13535" w14:textId="77777777">
            <w:pPr>
              <w:rPr>
                <w:rFonts w:ascii="Verdana" w:hAnsi="Verdana" w:cstheme="minorHAnsi"/>
                <w:color w:val="000000"/>
                <w:sz w:val="18"/>
                <w:szCs w:val="18"/>
              </w:rPr>
            </w:pPr>
          </w:p>
        </w:tc>
      </w:tr>
      <w:tr w:rsidRPr="00D76BC8" w:rsidR="00D17BE9" w:rsidTr="5D2AB649" w14:paraId="5FCDB41D"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D17BE9" w:rsidP="007C26FD" w:rsidRDefault="00D17BE9" w14:paraId="312BAD90" w14:textId="6EEEA5CA">
            <w:pPr>
              <w:rPr>
                <w:rFonts w:ascii="Verdana" w:hAnsi="Verdana" w:cstheme="minorHAnsi"/>
                <w:sz w:val="18"/>
                <w:szCs w:val="18"/>
                <w:lang w:val="en-US"/>
              </w:rPr>
            </w:pPr>
            <w:r w:rsidRPr="00D76BC8">
              <w:rPr>
                <w:rFonts w:ascii="Verdana" w:hAnsi="Verdana" w:cstheme="minorHAnsi"/>
                <w:sz w:val="18"/>
                <w:szCs w:val="18"/>
                <w:lang w:val="en-US"/>
              </w:rPr>
              <w:t>45.</w:t>
            </w:r>
          </w:p>
        </w:tc>
        <w:tc>
          <w:tcPr>
            <w:tcW w:w="3403" w:type="dxa"/>
            <w:tcBorders>
              <w:top w:val="single" w:color="auto" w:sz="4" w:space="0"/>
              <w:left w:val="single" w:color="auto" w:sz="4" w:space="0"/>
              <w:bottom w:val="single" w:color="auto" w:sz="4" w:space="0"/>
              <w:right w:val="single" w:color="auto" w:sz="4" w:space="0"/>
            </w:tcBorders>
          </w:tcPr>
          <w:p w:rsidRPr="0086334D" w:rsidR="00D17BE9" w:rsidP="007C26FD" w:rsidRDefault="009E4740" w14:paraId="73AE2EB9" w14:textId="642D212C">
            <w:pPr>
              <w:rPr>
                <w:rFonts w:ascii="Verdana" w:hAnsi="Verdana" w:cstheme="minorHAnsi"/>
                <w:b/>
                <w:bCs/>
                <w:sz w:val="18"/>
                <w:szCs w:val="18"/>
              </w:rPr>
            </w:pPr>
            <w:r w:rsidRPr="0086334D">
              <w:rPr>
                <w:rFonts w:ascii="Verdana" w:hAnsi="Verdana" w:cstheme="minorHAnsi"/>
                <w:sz w:val="18"/>
                <w:szCs w:val="18"/>
              </w:rPr>
              <w:t>Een EU die klaar is voor uitbreiding: beleidsevaluaties en -hervormingen</w:t>
            </w:r>
            <w:r w:rsidRPr="0086334D" w:rsidDel="009E4740">
              <w:rPr>
                <w:rFonts w:ascii="Verdana" w:hAnsi="Verdana" w:cstheme="minorHAnsi"/>
                <w:sz w:val="18"/>
                <w:szCs w:val="18"/>
              </w:rPr>
              <w:t xml:space="preserve"> </w:t>
            </w:r>
            <w:r w:rsidRPr="0086334D" w:rsidR="00D17BE9">
              <w:rPr>
                <w:rFonts w:ascii="Verdana" w:hAnsi="Verdana" w:cstheme="minorHAnsi"/>
                <w:sz w:val="18"/>
                <w:szCs w:val="18"/>
              </w:rPr>
              <w:t>(</w:t>
            </w:r>
            <w:proofErr w:type="spellStart"/>
            <w:r w:rsidRPr="0086334D" w:rsidR="00D17BE9">
              <w:rPr>
                <w:rFonts w:ascii="Verdana" w:hAnsi="Verdana" w:cstheme="minorHAnsi"/>
                <w:sz w:val="18"/>
                <w:szCs w:val="18"/>
              </w:rPr>
              <w:t>tbd</w:t>
            </w:r>
            <w:proofErr w:type="spellEnd"/>
            <w:r w:rsidRPr="0086334D" w:rsidR="00D17BE9">
              <w:rPr>
                <w:rFonts w:ascii="Verdana" w:hAnsi="Verdana" w:cstheme="minorHAnsi"/>
                <w:sz w:val="18"/>
                <w:szCs w:val="18"/>
              </w:rPr>
              <w:t>)</w:t>
            </w:r>
          </w:p>
        </w:tc>
        <w:tc>
          <w:tcPr>
            <w:tcW w:w="5103" w:type="dxa"/>
            <w:tcBorders>
              <w:top w:val="single" w:color="auto" w:sz="4" w:space="0"/>
              <w:left w:val="single" w:color="auto" w:sz="4" w:space="0"/>
              <w:bottom w:val="single" w:color="auto" w:sz="4" w:space="0"/>
              <w:right w:val="single" w:color="auto" w:sz="4" w:space="0"/>
            </w:tcBorders>
          </w:tcPr>
          <w:p w:rsidRPr="0086334D" w:rsidR="00D17BE9" w:rsidP="0086334D" w:rsidRDefault="003224FD" w14:paraId="7C435EFF" w14:textId="325E945D">
            <w:pPr>
              <w:spacing w:after="160"/>
              <w:rPr>
                <w:rFonts w:ascii="Verdana" w:hAnsi="Verdana" w:eastAsiaTheme="minorHAnsi" w:cstheme="minorBidi"/>
                <w:sz w:val="18"/>
                <w:szCs w:val="18"/>
              </w:rPr>
            </w:pPr>
            <w:r>
              <w:rPr>
                <w:rFonts w:ascii="Verdana" w:hAnsi="Verdana"/>
                <w:sz w:val="18"/>
                <w:szCs w:val="18"/>
              </w:rPr>
              <w:t xml:space="preserve">Met deze mededeling brengt de Commissie </w:t>
            </w:r>
            <w:r w:rsidRPr="00D76BC8" w:rsidR="00D17BE9">
              <w:rPr>
                <w:rFonts w:ascii="Verdana" w:hAnsi="Verdana"/>
                <w:sz w:val="18"/>
                <w:szCs w:val="18"/>
              </w:rPr>
              <w:t xml:space="preserve">de gevolgen van uitbreiding op alle EU-beleidsterreinen in kaart en draagt maatregelen aan om uitdagingen om te zetten in kansen. Ook verkent de mededeling hervormingsopties voor het EU-bestuur om te garanderen dat ook in een grotere Unie beleid effectief kan worden vormgegeven. </w:t>
            </w:r>
          </w:p>
        </w:tc>
        <w:tc>
          <w:tcPr>
            <w:tcW w:w="4535" w:type="dxa"/>
            <w:tcBorders>
              <w:top w:val="single" w:color="auto" w:sz="4" w:space="0"/>
              <w:left w:val="single" w:color="auto" w:sz="4" w:space="0"/>
              <w:bottom w:val="single" w:color="auto" w:sz="4" w:space="0"/>
              <w:right w:val="single" w:color="auto" w:sz="4" w:space="0"/>
            </w:tcBorders>
          </w:tcPr>
          <w:p w:rsidRPr="00D76BC8" w:rsidR="00D17BE9" w:rsidP="007C26FD" w:rsidRDefault="00D17BE9" w14:paraId="3FA05D24" w14:textId="77E70D6A">
            <w:pPr>
              <w:rPr>
                <w:rFonts w:ascii="Verdana" w:hAnsi="Verdana" w:cstheme="minorHAnsi"/>
                <w:color w:val="000000"/>
                <w:sz w:val="18"/>
                <w:szCs w:val="18"/>
              </w:rPr>
            </w:pPr>
            <w:bookmarkStart w:name="_Hlk191562986" w:id="9"/>
            <w:r w:rsidRPr="00D76BC8">
              <w:rPr>
                <w:rFonts w:ascii="Verdana" w:hAnsi="Verdana"/>
                <w:color w:val="000000"/>
                <w:sz w:val="18"/>
                <w:szCs w:val="18"/>
              </w:rPr>
              <w:t>Het kabinet onderschrijft het belang om in kaart te brengen wat de gevolgen van uitbreiding zijn op het gebi</w:t>
            </w:r>
            <w:r w:rsidR="00CC1A93">
              <w:rPr>
                <w:rFonts w:ascii="Verdana" w:hAnsi="Verdana"/>
                <w:color w:val="000000"/>
                <w:sz w:val="18"/>
                <w:szCs w:val="18"/>
              </w:rPr>
              <w:t>e</w:t>
            </w:r>
            <w:r w:rsidRPr="00D76BC8">
              <w:rPr>
                <w:rFonts w:ascii="Verdana" w:hAnsi="Verdana"/>
                <w:color w:val="000000"/>
                <w:sz w:val="18"/>
                <w:szCs w:val="18"/>
              </w:rPr>
              <w:t xml:space="preserve">d van EU waarden, beleid, begroting en bestuur. Op basis van deze analyse kan worden bezien welke hervormingen wenselijk en mogelijk nodig zijn om nieuwe lidstaten goed te absorberen binnen de Unie. </w:t>
            </w:r>
            <w:bookmarkEnd w:id="9"/>
          </w:p>
        </w:tc>
        <w:tc>
          <w:tcPr>
            <w:tcW w:w="1843" w:type="dxa"/>
            <w:tcBorders>
              <w:top w:val="single" w:color="auto" w:sz="4" w:space="0"/>
              <w:left w:val="single" w:color="auto" w:sz="4" w:space="0"/>
              <w:bottom w:val="single" w:color="auto" w:sz="4" w:space="0"/>
              <w:right w:val="single" w:color="auto" w:sz="4" w:space="0"/>
            </w:tcBorders>
          </w:tcPr>
          <w:p w:rsidRPr="00D76BC8" w:rsidR="00D17BE9" w:rsidP="007C26FD" w:rsidRDefault="00D17BE9" w14:paraId="0621F557" w14:textId="77777777">
            <w:pPr>
              <w:rPr>
                <w:rFonts w:ascii="Verdana" w:hAnsi="Verdana" w:cstheme="minorHAnsi"/>
                <w:color w:val="000000"/>
                <w:sz w:val="18"/>
                <w:szCs w:val="18"/>
              </w:rPr>
            </w:pPr>
            <w:r w:rsidRPr="00D76BC8">
              <w:rPr>
                <w:rFonts w:ascii="Verdana" w:hAnsi="Verdana" w:cstheme="minorHAnsi"/>
                <w:color w:val="000000"/>
                <w:sz w:val="18"/>
                <w:szCs w:val="18"/>
              </w:rPr>
              <w:t xml:space="preserve">Niet-wetgevend </w:t>
            </w:r>
          </w:p>
        </w:tc>
      </w:tr>
    </w:tbl>
    <w:p w:rsidRPr="00D76BC8" w:rsidR="001444E8" w:rsidP="007C26FD" w:rsidRDefault="001444E8" w14:paraId="4237E716" w14:textId="54044150">
      <w:pPr>
        <w:pStyle w:val="NormalWeb"/>
        <w:rPr>
          <w:rFonts w:ascii="Verdana" w:hAnsi="Verdana" w:eastAsiaTheme="minorHAnsi" w:cstheme="minorBidi"/>
          <w:sz w:val="18"/>
          <w:szCs w:val="18"/>
          <w:lang w:eastAsia="en-US"/>
        </w:rPr>
      </w:pPr>
    </w:p>
    <w:p w:rsidRPr="00D76BC8" w:rsidR="00D76BC8" w:rsidP="007C26FD" w:rsidRDefault="00D76BC8" w14:paraId="424A734D" w14:textId="73DF2997">
      <w:pPr>
        <w:spacing w:line="240" w:lineRule="auto"/>
        <w:rPr>
          <w:rFonts w:ascii="Verdana" w:hAnsi="Verdana"/>
          <w:sz w:val="18"/>
          <w:szCs w:val="18"/>
        </w:rPr>
      </w:pPr>
      <w:r w:rsidRPr="00D76BC8">
        <w:rPr>
          <w:rFonts w:ascii="Verdana" w:hAnsi="Verdana"/>
          <w:sz w:val="18"/>
          <w:szCs w:val="18"/>
        </w:rPr>
        <w:br w:type="page"/>
      </w:r>
    </w:p>
    <w:p w:rsidRPr="00D76BC8" w:rsidR="00D76BC8" w:rsidP="007C26FD" w:rsidRDefault="00D76BC8" w14:paraId="6BD6ECD2" w14:textId="6A97DBC3">
      <w:pPr>
        <w:spacing w:after="0" w:line="240" w:lineRule="auto"/>
        <w:rPr>
          <w:rFonts w:ascii="Verdana" w:hAnsi="Verdana"/>
          <w:b/>
          <w:bCs/>
          <w:i/>
          <w:iCs/>
          <w:sz w:val="18"/>
          <w:szCs w:val="18"/>
        </w:rPr>
      </w:pPr>
      <w:r w:rsidRPr="00D76BC8">
        <w:rPr>
          <w:rFonts w:ascii="Verdana" w:hAnsi="Verdana"/>
          <w:b/>
          <w:bCs/>
          <w:i/>
          <w:iCs/>
          <w:sz w:val="18"/>
          <w:szCs w:val="18"/>
        </w:rPr>
        <w:lastRenderedPageBreak/>
        <w:t>Annex II: Kabinetsappreciatie Ingetrokken Voorstellen</w:t>
      </w:r>
    </w:p>
    <w:p w:rsidRPr="00D76BC8" w:rsidR="00D76BC8" w:rsidP="007C26FD" w:rsidRDefault="00D76BC8" w14:paraId="2F4812ED" w14:textId="77777777">
      <w:pPr>
        <w:spacing w:after="0" w:line="240" w:lineRule="auto"/>
        <w:rPr>
          <w:rFonts w:ascii="Verdana" w:hAnsi="Verdana"/>
          <w:b/>
          <w:bCs/>
          <w:sz w:val="18"/>
          <w:szCs w:val="18"/>
        </w:rPr>
      </w:pPr>
      <w:r w:rsidRPr="00D76BC8">
        <w:rPr>
          <w:rFonts w:ascii="Verdana" w:hAnsi="Verdana"/>
          <w:b/>
          <w:bCs/>
          <w:sz w:val="18"/>
          <w:szCs w:val="18"/>
        </w:rPr>
        <w:t>Commissie Werkprogramma 2025</w:t>
      </w:r>
    </w:p>
    <w:tbl>
      <w:tblPr>
        <w:tblStyle w:val="TableGrid"/>
        <w:tblW w:w="15451" w:type="dxa"/>
        <w:tblInd w:w="-5" w:type="dxa"/>
        <w:tblLayout w:type="fixed"/>
        <w:tblLook w:val="04A0" w:firstRow="1" w:lastRow="0" w:firstColumn="1" w:lastColumn="0" w:noHBand="0" w:noVBand="1"/>
      </w:tblPr>
      <w:tblGrid>
        <w:gridCol w:w="567"/>
        <w:gridCol w:w="3403"/>
        <w:gridCol w:w="5103"/>
        <w:gridCol w:w="4535"/>
        <w:gridCol w:w="1843"/>
      </w:tblGrid>
      <w:tr w:rsidRPr="00D76BC8" w:rsidR="00D76BC8" w:rsidTr="000C7C60" w14:paraId="04239112" w14:textId="77777777">
        <w:trPr>
          <w:trHeight w:val="895"/>
        </w:trPr>
        <w:tc>
          <w:tcPr>
            <w:tcW w:w="567" w:type="dxa"/>
            <w:tcBorders>
              <w:top w:val="single" w:color="auto" w:sz="4" w:space="0"/>
              <w:left w:val="single" w:color="auto" w:sz="4" w:space="0"/>
              <w:bottom w:val="single" w:color="auto" w:sz="4" w:space="0"/>
              <w:right w:val="single" w:color="auto" w:sz="4" w:space="0"/>
            </w:tcBorders>
          </w:tcPr>
          <w:p w:rsidRPr="00D76BC8" w:rsidR="00D76BC8" w:rsidP="007C26FD" w:rsidRDefault="004C0C67" w14:paraId="3948FB2F" w14:textId="07A8B58F">
            <w:pPr>
              <w:rPr>
                <w:rFonts w:ascii="Verdana" w:hAnsi="Verdana" w:cstheme="minorHAnsi"/>
                <w:sz w:val="18"/>
                <w:szCs w:val="18"/>
                <w:lang w:val="en-US"/>
              </w:rPr>
            </w:pPr>
            <w:r>
              <w:rPr>
                <w:rFonts w:ascii="Verdana" w:hAnsi="Verdana" w:cstheme="minorHAnsi"/>
                <w:sz w:val="18"/>
                <w:szCs w:val="18"/>
                <w:lang w:val="en-US"/>
              </w:rPr>
              <w:t>26</w:t>
            </w:r>
            <w:r w:rsidRPr="00D76BC8" w:rsidR="00D76BC8">
              <w:rPr>
                <w:rFonts w:ascii="Verdana" w:hAnsi="Verdana" w:cstheme="minorHAnsi"/>
                <w:sz w:val="18"/>
                <w:szCs w:val="18"/>
                <w:lang w:val="en-US"/>
              </w:rPr>
              <w:t>.</w:t>
            </w:r>
          </w:p>
        </w:tc>
        <w:tc>
          <w:tcPr>
            <w:tcW w:w="3403" w:type="dxa"/>
            <w:tcBorders>
              <w:top w:val="single" w:color="auto" w:sz="4" w:space="0"/>
              <w:left w:val="single" w:color="auto" w:sz="4" w:space="0"/>
              <w:bottom w:val="single" w:color="auto" w:sz="4" w:space="0"/>
              <w:right w:val="single" w:color="auto" w:sz="4" w:space="0"/>
            </w:tcBorders>
          </w:tcPr>
          <w:p w:rsidRPr="0086334D" w:rsidR="00D76BC8" w:rsidP="007C26FD" w:rsidRDefault="00E55BA1" w14:paraId="3FD8FB90" w14:textId="380592C4">
            <w:pPr>
              <w:rPr>
                <w:rFonts w:ascii="Verdana" w:hAnsi="Verdana" w:cstheme="minorHAnsi"/>
                <w:sz w:val="18"/>
                <w:szCs w:val="18"/>
              </w:rPr>
            </w:pPr>
            <w:r w:rsidRPr="0086334D">
              <w:rPr>
                <w:rFonts w:ascii="Verdana" w:hAnsi="Verdana" w:cstheme="minorHAnsi"/>
                <w:sz w:val="18"/>
                <w:szCs w:val="18"/>
              </w:rPr>
              <w:t>Voorstel voor een richtlijn van de Raad betreffende de toepassing van het beginsel van gelijke behandeling van personen ongeacht godsdienst of overtuiging, handicap, leeftijd of seksuele geaardheid</w:t>
            </w:r>
            <w:r w:rsidRPr="0086334D" w:rsidR="004C0C67">
              <w:rPr>
                <w:rFonts w:ascii="Verdana" w:hAnsi="Verdana" w:cstheme="minorHAnsi"/>
                <w:sz w:val="18"/>
                <w:szCs w:val="18"/>
              </w:rPr>
              <w:t xml:space="preserve"> (COM(2008)426 </w:t>
            </w:r>
            <w:proofErr w:type="spellStart"/>
            <w:r w:rsidRPr="0086334D" w:rsidR="004C0C67">
              <w:rPr>
                <w:rFonts w:ascii="Verdana" w:hAnsi="Verdana" w:cstheme="minorHAnsi"/>
                <w:sz w:val="18"/>
                <w:szCs w:val="18"/>
              </w:rPr>
              <w:t>final</w:t>
            </w:r>
            <w:proofErr w:type="spellEnd"/>
            <w:r w:rsidRPr="0086334D" w:rsidR="004C0C67">
              <w:rPr>
                <w:rFonts w:ascii="Verdana" w:hAnsi="Verdana" w:cstheme="minorHAnsi"/>
                <w:sz w:val="18"/>
                <w:szCs w:val="18"/>
              </w:rPr>
              <w:t xml:space="preserve"> 2008/0140 (CNS)</w:t>
            </w:r>
          </w:p>
        </w:tc>
        <w:tc>
          <w:tcPr>
            <w:tcW w:w="5103" w:type="dxa"/>
            <w:tcBorders>
              <w:top w:val="single" w:color="auto" w:sz="4" w:space="0"/>
              <w:left w:val="single" w:color="auto" w:sz="4" w:space="0"/>
              <w:bottom w:val="single" w:color="auto" w:sz="4" w:space="0"/>
              <w:right w:val="single" w:color="auto" w:sz="4" w:space="0"/>
            </w:tcBorders>
          </w:tcPr>
          <w:p w:rsidRPr="0086334D" w:rsidR="00D76BC8" w:rsidP="0086334D" w:rsidRDefault="00D76BC8" w14:paraId="0237AAB8" w14:textId="40DDF9A4">
            <w:pPr>
              <w:spacing w:after="160"/>
              <w:rPr>
                <w:rFonts w:ascii="Verdana" w:hAnsi="Verdana" w:eastAsiaTheme="minorHAnsi" w:cstheme="minorBidi"/>
                <w:sz w:val="18"/>
                <w:szCs w:val="18"/>
              </w:rPr>
            </w:pPr>
            <w:r w:rsidRPr="00D76BC8">
              <w:rPr>
                <w:rFonts w:ascii="Verdana" w:hAnsi="Verdana"/>
                <w:sz w:val="18"/>
                <w:szCs w:val="18"/>
              </w:rPr>
              <w:t xml:space="preserve">De Commissie is voornemens het Richtlijnvoorstel Gelijke Behandeling buiten Arbeid, ongeacht godsdienst of levensovertuiging, handicap, leeftijd of seksuele gerichtheid (COM 2008/426) in te trekken vanwege het langdurig ontbreken van zicht op een akkoord. Het richtlijnvoorstel stamt uit 2008 en ligt, ondanks meerdere pogingen om tot een akkoord te komen, vanwege de vereiste unanimiteit in de Raad vast door een blokkade van enkele lidstaten. </w:t>
            </w:r>
          </w:p>
        </w:tc>
        <w:tc>
          <w:tcPr>
            <w:tcW w:w="4535" w:type="dxa"/>
            <w:tcBorders>
              <w:top w:val="single" w:color="auto" w:sz="4" w:space="0"/>
              <w:left w:val="single" w:color="auto" w:sz="4" w:space="0"/>
              <w:bottom w:val="single" w:color="auto" w:sz="4" w:space="0"/>
              <w:right w:val="single" w:color="auto" w:sz="4" w:space="0"/>
            </w:tcBorders>
          </w:tcPr>
          <w:p w:rsidRPr="00D76BC8" w:rsidR="00D76BC8" w:rsidP="007C26FD" w:rsidRDefault="00D76BC8" w14:paraId="2C9CFB6F" w14:textId="2EE47EEB">
            <w:pPr>
              <w:spacing w:after="160"/>
              <w:rPr>
                <w:rFonts w:ascii="Verdana" w:hAnsi="Verdana" w:eastAsiaTheme="minorHAnsi" w:cstheme="minorBidi"/>
                <w:sz w:val="18"/>
                <w:szCs w:val="18"/>
                <w:lang w:eastAsia="en-US"/>
              </w:rPr>
            </w:pPr>
            <w:r w:rsidRPr="00D76BC8">
              <w:rPr>
                <w:rFonts w:ascii="Verdana" w:hAnsi="Verdana"/>
                <w:sz w:val="18"/>
                <w:szCs w:val="18"/>
              </w:rPr>
              <w:t xml:space="preserve">Nederland heeft vrijwel alle onderwerpen in het voorstel al door middel van nationale wetgeving geregeld. </w:t>
            </w:r>
            <w:r w:rsidR="00E81879">
              <w:rPr>
                <w:rFonts w:ascii="Verdana" w:hAnsi="Verdana"/>
                <w:sz w:val="18"/>
                <w:szCs w:val="18"/>
              </w:rPr>
              <w:t>Het kabinet</w:t>
            </w:r>
            <w:r w:rsidRPr="00D76BC8">
              <w:rPr>
                <w:rFonts w:ascii="Verdana" w:hAnsi="Verdana"/>
                <w:sz w:val="18"/>
                <w:szCs w:val="18"/>
              </w:rPr>
              <w:t xml:space="preserve"> hecht grote waarde aan de bescherming van fundamentele rechten, waaronder het recht op gelijke behandeling, en zal daarom bij de Commissie vragen naar de beweegredenen voor intrekking en in geval van daadwerkelijke intrekking van het Richtlijnvoorstel aandringen op alternatieve manieren om de doelstellingen uit de Verdragen op het gebied van gelijkheid en non-discriminatie te bereiken. </w:t>
            </w:r>
          </w:p>
        </w:tc>
        <w:tc>
          <w:tcPr>
            <w:tcW w:w="1843" w:type="dxa"/>
            <w:tcBorders>
              <w:top w:val="single" w:color="auto" w:sz="4" w:space="0"/>
              <w:left w:val="single" w:color="auto" w:sz="4" w:space="0"/>
              <w:bottom w:val="single" w:color="auto" w:sz="4" w:space="0"/>
              <w:right w:val="single" w:color="auto" w:sz="4" w:space="0"/>
            </w:tcBorders>
          </w:tcPr>
          <w:p w:rsidRPr="00D76BC8" w:rsidR="00D76BC8" w:rsidP="007C26FD" w:rsidRDefault="00D76BC8" w14:paraId="1D6699B6" w14:textId="4419998B">
            <w:pPr>
              <w:rPr>
                <w:rFonts w:ascii="Verdana" w:hAnsi="Verdana" w:cstheme="minorHAnsi"/>
                <w:color w:val="000000"/>
                <w:sz w:val="18"/>
                <w:szCs w:val="18"/>
              </w:rPr>
            </w:pPr>
            <w:r w:rsidRPr="00D76BC8">
              <w:rPr>
                <w:rFonts w:ascii="Verdana" w:hAnsi="Verdana" w:cstheme="minorHAnsi"/>
                <w:color w:val="000000"/>
                <w:sz w:val="18"/>
                <w:szCs w:val="18"/>
              </w:rPr>
              <w:t xml:space="preserve">Wetgevend </w:t>
            </w:r>
          </w:p>
        </w:tc>
      </w:tr>
      <w:bookmarkEnd w:id="0"/>
    </w:tbl>
    <w:p w:rsidRPr="00D76BC8" w:rsidR="001444E8" w:rsidP="007C26FD" w:rsidRDefault="001444E8" w14:paraId="534B7499" w14:textId="77777777">
      <w:pPr>
        <w:spacing w:line="240" w:lineRule="auto"/>
        <w:rPr>
          <w:rFonts w:ascii="Verdana" w:hAnsi="Verdana"/>
          <w:sz w:val="18"/>
          <w:szCs w:val="18"/>
        </w:rPr>
      </w:pPr>
    </w:p>
    <w:sectPr w:rsidRPr="00D76BC8" w:rsidR="001444E8" w:rsidSect="007E5965">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2BB1" w14:textId="77777777" w:rsidR="008838C4" w:rsidRDefault="008838C4" w:rsidP="001B044F">
      <w:pPr>
        <w:spacing w:after="0" w:line="240" w:lineRule="auto"/>
      </w:pPr>
      <w:r>
        <w:separator/>
      </w:r>
    </w:p>
  </w:endnote>
  <w:endnote w:type="continuationSeparator" w:id="0">
    <w:p w14:paraId="1FAE4059" w14:textId="77777777" w:rsidR="008838C4" w:rsidRDefault="008838C4" w:rsidP="001B044F">
      <w:pPr>
        <w:spacing w:after="0" w:line="240" w:lineRule="auto"/>
      </w:pPr>
      <w:r>
        <w:continuationSeparator/>
      </w:r>
    </w:p>
  </w:endnote>
  <w:endnote w:type="continuationNotice" w:id="1">
    <w:p w14:paraId="18B93CD6" w14:textId="77777777" w:rsidR="008838C4" w:rsidRDefault="00883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0B46" w14:textId="67BEFFB9" w:rsidR="00442FF4" w:rsidRDefault="00442FF4">
    <w:pPr>
      <w:pStyle w:val="Footer"/>
    </w:pPr>
    <w:r>
      <w:rPr>
        <w:noProof/>
      </w:rPr>
      <mc:AlternateContent>
        <mc:Choice Requires="wps">
          <w:drawing>
            <wp:anchor distT="0" distB="0" distL="0" distR="0" simplePos="0" relativeHeight="251658241" behindDoc="0" locked="0" layoutInCell="1" allowOverlap="1" wp14:anchorId="25654A6E" wp14:editId="17226B95">
              <wp:simplePos x="635" y="635"/>
              <wp:positionH relativeFrom="page">
                <wp:align>left</wp:align>
              </wp:positionH>
              <wp:positionV relativeFrom="page">
                <wp:align>bottom</wp:align>
              </wp:positionV>
              <wp:extent cx="986155" cy="357505"/>
              <wp:effectExtent l="0" t="0" r="4445" b="0"/>
              <wp:wrapNone/>
              <wp:docPr id="111671743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4059E0FD" w14:textId="531916DC" w:rsidR="00442FF4" w:rsidRPr="00442FF4" w:rsidRDefault="00442FF4" w:rsidP="00442FF4">
                          <w:pPr>
                            <w:spacing w:after="0"/>
                            <w:rPr>
                              <w:rFonts w:ascii="Calibri" w:eastAsia="Calibri" w:hAnsi="Calibri" w:cs="Calibri"/>
                              <w:noProof/>
                              <w:color w:val="000000"/>
                              <w:sz w:val="20"/>
                              <w:szCs w:val="20"/>
                            </w:rPr>
                          </w:pPr>
                          <w:r w:rsidRPr="00442FF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654A6E"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4059E0FD" w14:textId="531916DC" w:rsidR="00442FF4" w:rsidRPr="00442FF4" w:rsidRDefault="00442FF4" w:rsidP="00442FF4">
                    <w:pPr>
                      <w:spacing w:after="0"/>
                      <w:rPr>
                        <w:rFonts w:ascii="Calibri" w:eastAsia="Calibri" w:hAnsi="Calibri" w:cs="Calibri"/>
                        <w:noProof/>
                        <w:color w:val="000000"/>
                        <w:sz w:val="20"/>
                        <w:szCs w:val="20"/>
                      </w:rPr>
                    </w:pPr>
                    <w:r w:rsidRPr="00442FF4">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170734"/>
      <w:docPartObj>
        <w:docPartGallery w:val="Page Numbers (Bottom of Page)"/>
        <w:docPartUnique/>
      </w:docPartObj>
    </w:sdtPr>
    <w:sdtEndPr/>
    <w:sdtContent>
      <w:p w14:paraId="41C9C789" w14:textId="740539B6" w:rsidR="00543324" w:rsidRDefault="00543324">
        <w:pPr>
          <w:pStyle w:val="Footer"/>
          <w:jc w:val="center"/>
        </w:pPr>
        <w:r>
          <w:fldChar w:fldCharType="begin"/>
        </w:r>
        <w:r>
          <w:instrText>PAGE   \* MERGEFORMAT</w:instrText>
        </w:r>
        <w:r>
          <w:fldChar w:fldCharType="separate"/>
        </w:r>
        <w:r>
          <w:t>2</w:t>
        </w:r>
        <w:r>
          <w:fldChar w:fldCharType="end"/>
        </w:r>
      </w:p>
    </w:sdtContent>
  </w:sdt>
  <w:p w14:paraId="7284709A" w14:textId="77777777" w:rsidR="00923E56" w:rsidRDefault="00923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3A18" w14:textId="5CEE8B92" w:rsidR="00442FF4" w:rsidRDefault="00442FF4">
    <w:pPr>
      <w:pStyle w:val="Footer"/>
    </w:pPr>
    <w:r>
      <w:rPr>
        <w:noProof/>
      </w:rPr>
      <mc:AlternateContent>
        <mc:Choice Requires="wps">
          <w:drawing>
            <wp:anchor distT="0" distB="0" distL="0" distR="0" simplePos="0" relativeHeight="251658240" behindDoc="0" locked="0" layoutInCell="1" allowOverlap="1" wp14:anchorId="466D3C47" wp14:editId="0863BB52">
              <wp:simplePos x="635" y="635"/>
              <wp:positionH relativeFrom="page">
                <wp:align>left</wp:align>
              </wp:positionH>
              <wp:positionV relativeFrom="page">
                <wp:align>bottom</wp:align>
              </wp:positionV>
              <wp:extent cx="986155" cy="357505"/>
              <wp:effectExtent l="0" t="0" r="4445" b="0"/>
              <wp:wrapNone/>
              <wp:docPr id="20206492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35842B7C" w14:textId="2A850233" w:rsidR="00442FF4" w:rsidRPr="00442FF4" w:rsidRDefault="00442FF4" w:rsidP="00442FF4">
                          <w:pPr>
                            <w:spacing w:after="0"/>
                            <w:rPr>
                              <w:rFonts w:ascii="Calibri" w:eastAsia="Calibri" w:hAnsi="Calibri" w:cs="Calibri"/>
                              <w:noProof/>
                              <w:color w:val="000000"/>
                              <w:sz w:val="20"/>
                              <w:szCs w:val="20"/>
                            </w:rPr>
                          </w:pPr>
                          <w:r w:rsidRPr="00442FF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D3C47" id="_x0000_t202" coordsize="21600,21600" o:spt="202" path="m,l,21600r21600,l21600,xe">
              <v:stroke joinstyle="miter"/>
              <v:path gradientshapeok="t" o:connecttype="rect"/>
            </v:shapetype>
            <v:shape id="Tekstvak 1" o:spid="_x0000_s1027"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35842B7C" w14:textId="2A850233" w:rsidR="00442FF4" w:rsidRPr="00442FF4" w:rsidRDefault="00442FF4" w:rsidP="00442FF4">
                    <w:pPr>
                      <w:spacing w:after="0"/>
                      <w:rPr>
                        <w:rFonts w:ascii="Calibri" w:eastAsia="Calibri" w:hAnsi="Calibri" w:cs="Calibri"/>
                        <w:noProof/>
                        <w:color w:val="000000"/>
                        <w:sz w:val="20"/>
                        <w:szCs w:val="20"/>
                      </w:rPr>
                    </w:pPr>
                    <w:r w:rsidRPr="00442FF4">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501CC" w14:textId="77777777" w:rsidR="008838C4" w:rsidRDefault="008838C4" w:rsidP="001B044F">
      <w:pPr>
        <w:spacing w:after="0" w:line="240" w:lineRule="auto"/>
      </w:pPr>
      <w:r>
        <w:separator/>
      </w:r>
    </w:p>
  </w:footnote>
  <w:footnote w:type="continuationSeparator" w:id="0">
    <w:p w14:paraId="59CF88DD" w14:textId="77777777" w:rsidR="008838C4" w:rsidRDefault="008838C4" w:rsidP="001B044F">
      <w:pPr>
        <w:spacing w:after="0" w:line="240" w:lineRule="auto"/>
      </w:pPr>
      <w:r>
        <w:continuationSeparator/>
      </w:r>
    </w:p>
  </w:footnote>
  <w:footnote w:type="continuationNotice" w:id="1">
    <w:p w14:paraId="047234D2" w14:textId="77777777" w:rsidR="008838C4" w:rsidRDefault="008838C4">
      <w:pPr>
        <w:spacing w:after="0" w:line="240" w:lineRule="auto"/>
      </w:pPr>
    </w:p>
  </w:footnote>
  <w:footnote w:id="2">
    <w:p w14:paraId="6F3E1C51" w14:textId="740A638B" w:rsidR="00923E56" w:rsidRPr="0086334D" w:rsidRDefault="00923E56">
      <w:pPr>
        <w:pStyle w:val="FootnoteText"/>
        <w:rPr>
          <w:rFonts w:ascii="Verdana" w:hAnsi="Verdana"/>
          <w:sz w:val="16"/>
          <w:szCs w:val="16"/>
        </w:rPr>
      </w:pPr>
      <w:r w:rsidRPr="0086334D">
        <w:rPr>
          <w:rStyle w:val="FootnoteReference"/>
          <w:rFonts w:ascii="Verdana" w:hAnsi="Verdana"/>
          <w:sz w:val="16"/>
          <w:szCs w:val="16"/>
        </w:rPr>
        <w:footnoteRef/>
      </w:r>
      <w:r w:rsidRPr="0086334D">
        <w:rPr>
          <w:rFonts w:ascii="Verdana" w:hAnsi="Verdana"/>
          <w:sz w:val="16"/>
          <w:szCs w:val="16"/>
        </w:rPr>
        <w:t xml:space="preserve"> Bijlage bij </w:t>
      </w:r>
      <w:r w:rsidR="00DF14E0">
        <w:rPr>
          <w:rFonts w:ascii="Verdana" w:hAnsi="Verdana"/>
          <w:sz w:val="16"/>
          <w:szCs w:val="16"/>
        </w:rPr>
        <w:t>K</w:t>
      </w:r>
      <w:r w:rsidRPr="0086334D">
        <w:rPr>
          <w:rFonts w:ascii="Verdana" w:hAnsi="Verdana"/>
          <w:sz w:val="16"/>
          <w:szCs w:val="16"/>
        </w:rPr>
        <w:t>amerstuk 21501-02</w:t>
      </w:r>
    </w:p>
  </w:footnote>
  <w:footnote w:id="3">
    <w:p w14:paraId="09DA151A" w14:textId="5F2C9962" w:rsidR="00923E56" w:rsidRPr="0086334D" w:rsidRDefault="00923E56">
      <w:pPr>
        <w:pStyle w:val="FootnoteText"/>
        <w:rPr>
          <w:rFonts w:ascii="Verdana" w:hAnsi="Verdana"/>
          <w:sz w:val="16"/>
          <w:szCs w:val="16"/>
        </w:rPr>
      </w:pPr>
      <w:r w:rsidRPr="0086334D">
        <w:rPr>
          <w:rStyle w:val="FootnoteReference"/>
          <w:rFonts w:ascii="Verdana" w:hAnsi="Verdana"/>
          <w:sz w:val="16"/>
          <w:szCs w:val="16"/>
        </w:rPr>
        <w:footnoteRef/>
      </w:r>
      <w:r w:rsidRPr="0086334D">
        <w:rPr>
          <w:rFonts w:ascii="Verdana" w:hAnsi="Verdana"/>
          <w:sz w:val="16"/>
          <w:szCs w:val="16"/>
        </w:rPr>
        <w:t xml:space="preserve"> </w:t>
      </w:r>
      <w:r w:rsidR="00CC095E" w:rsidRPr="0086334D">
        <w:rPr>
          <w:rFonts w:ascii="Verdana" w:hAnsi="Verdana"/>
          <w:sz w:val="16"/>
          <w:szCs w:val="16"/>
        </w:rPr>
        <w:t>Kamerstuk 21 501-30, nr. 614</w:t>
      </w:r>
    </w:p>
  </w:footnote>
  <w:footnote w:id="4">
    <w:p w14:paraId="47BD66EC" w14:textId="27677FF9" w:rsidR="00A97D43" w:rsidRPr="00A97D43" w:rsidRDefault="00A97D43">
      <w:pPr>
        <w:pStyle w:val="FootnoteText"/>
      </w:pPr>
      <w:r>
        <w:rPr>
          <w:rStyle w:val="FootnoteReference"/>
        </w:rPr>
        <w:footnoteRef/>
      </w:r>
      <w:r>
        <w:t xml:space="preserve"> </w:t>
      </w:r>
      <w:r w:rsidR="00F973E6" w:rsidRPr="00F973E6">
        <w:rPr>
          <w:rFonts w:ascii="Verdana" w:hAnsi="Verdana"/>
          <w:sz w:val="16"/>
          <w:szCs w:val="16"/>
        </w:rPr>
        <w:t xml:space="preserve">Kamerstuk </w:t>
      </w:r>
      <w:r w:rsidR="00F973E6" w:rsidRPr="00A003DE">
        <w:t>22112-4004</w:t>
      </w:r>
    </w:p>
  </w:footnote>
  <w:footnote w:id="5">
    <w:p w14:paraId="1BB9812A" w14:textId="7C560C7A" w:rsidR="00CF7E62" w:rsidRPr="0086334D" w:rsidRDefault="00CF7E62">
      <w:pPr>
        <w:pStyle w:val="FootnoteText"/>
        <w:rPr>
          <w:rFonts w:ascii="Verdana" w:hAnsi="Verdana"/>
          <w:sz w:val="16"/>
          <w:szCs w:val="16"/>
        </w:rPr>
      </w:pPr>
      <w:r w:rsidRPr="0086334D">
        <w:rPr>
          <w:rStyle w:val="FootnoteReference"/>
          <w:rFonts w:ascii="Verdana" w:hAnsi="Verdana"/>
          <w:sz w:val="16"/>
          <w:szCs w:val="16"/>
        </w:rPr>
        <w:footnoteRef/>
      </w:r>
      <w:r w:rsidRPr="0086334D">
        <w:rPr>
          <w:rFonts w:ascii="Verdana" w:hAnsi="Verdana"/>
          <w:sz w:val="16"/>
          <w:szCs w:val="16"/>
        </w:rPr>
        <w:t xml:space="preserve"> </w:t>
      </w:r>
      <w:r w:rsidRPr="0086334D">
        <w:rPr>
          <w:rFonts w:ascii="Verdana" w:eastAsia="Calibri" w:hAnsi="Verdana" w:cs="Calibri"/>
          <w:color w:val="000000" w:themeColor="text1"/>
          <w:sz w:val="16"/>
          <w:szCs w:val="16"/>
          <w:lang w:eastAsia="nl-NL"/>
        </w:rPr>
        <w:t>Kamerstuk 21 501-30/Nr.621</w:t>
      </w:r>
    </w:p>
  </w:footnote>
  <w:footnote w:id="6">
    <w:p w14:paraId="5C6D62E4" w14:textId="73BFA5D4" w:rsidR="0086334D" w:rsidRPr="0086334D" w:rsidRDefault="0086334D">
      <w:pPr>
        <w:pStyle w:val="FootnoteText"/>
      </w:pPr>
      <w:r>
        <w:rPr>
          <w:rStyle w:val="FootnoteReference"/>
        </w:rPr>
        <w:footnoteRef/>
      </w:r>
      <w:r>
        <w:t xml:space="preserve"> Kamerstuk </w:t>
      </w:r>
      <w:r w:rsidR="002A0584" w:rsidRPr="002A0584">
        <w:t>33694-70</w:t>
      </w:r>
      <w:r w:rsidR="002A0584">
        <w:t xml:space="preserve">, </w:t>
      </w:r>
      <w:r w:rsidR="002A0584" w:rsidRPr="002A0584">
        <w:t>Nr. 70</w:t>
      </w:r>
    </w:p>
  </w:footnote>
  <w:footnote w:id="7">
    <w:p w14:paraId="1575AD86" w14:textId="77777777" w:rsidR="004C4633" w:rsidRPr="0086334D" w:rsidRDefault="004C4633">
      <w:pPr>
        <w:pStyle w:val="FootnoteText"/>
        <w:rPr>
          <w:rFonts w:ascii="Verdana" w:hAnsi="Verdana"/>
          <w:sz w:val="16"/>
          <w:szCs w:val="16"/>
        </w:rPr>
      </w:pPr>
      <w:r w:rsidRPr="0086334D">
        <w:rPr>
          <w:rStyle w:val="FootnoteReference"/>
          <w:rFonts w:ascii="Verdana" w:hAnsi="Verdana"/>
          <w:sz w:val="16"/>
          <w:szCs w:val="16"/>
        </w:rPr>
        <w:footnoteRef/>
      </w:r>
      <w:r w:rsidRPr="0086334D">
        <w:rPr>
          <w:rFonts w:ascii="Verdana" w:hAnsi="Verdana"/>
          <w:sz w:val="16"/>
          <w:szCs w:val="16"/>
        </w:rPr>
        <w:t xml:space="preserve"> Geannoteerde agenda van de informele bijeenkomst van de Raad Justitie en Binnenlandse Zaken, 30 en 31 januari 2025 te Warschau</w:t>
      </w:r>
    </w:p>
  </w:footnote>
  <w:footnote w:id="8">
    <w:p w14:paraId="26D6D8FC" w14:textId="5B3BAA84" w:rsidR="004C4633" w:rsidRPr="00447617" w:rsidRDefault="004C4633">
      <w:pPr>
        <w:pStyle w:val="FootnoteText"/>
        <w:rPr>
          <w:rFonts w:ascii="Verdana" w:hAnsi="Verdana"/>
          <w:sz w:val="16"/>
          <w:szCs w:val="16"/>
        </w:rPr>
      </w:pPr>
      <w:r w:rsidRPr="0086334D">
        <w:rPr>
          <w:rStyle w:val="FootnoteReference"/>
          <w:rFonts w:ascii="Verdana" w:hAnsi="Verdana"/>
          <w:sz w:val="16"/>
          <w:szCs w:val="16"/>
        </w:rPr>
        <w:footnoteRef/>
      </w:r>
      <w:r w:rsidRPr="00447617">
        <w:rPr>
          <w:rFonts w:ascii="Verdana" w:hAnsi="Verdana"/>
          <w:sz w:val="16"/>
          <w:szCs w:val="16"/>
        </w:rPr>
        <w:t xml:space="preserve"> </w:t>
      </w:r>
      <w:r w:rsidR="002A0584" w:rsidRPr="00447617">
        <w:rPr>
          <w:rFonts w:ascii="Verdana" w:hAnsi="Verdana"/>
          <w:sz w:val="16"/>
          <w:szCs w:val="16"/>
        </w:rPr>
        <w:t>Kamerstuk 22112, nr. 4000</w:t>
      </w:r>
    </w:p>
  </w:footnote>
  <w:footnote w:id="9">
    <w:p w14:paraId="57C684BF" w14:textId="105F4109" w:rsidR="0086334D" w:rsidRPr="00447617" w:rsidRDefault="0086334D">
      <w:pPr>
        <w:pStyle w:val="FootnoteText"/>
      </w:pPr>
      <w:r>
        <w:rPr>
          <w:rStyle w:val="FootnoteReference"/>
        </w:rPr>
        <w:footnoteRef/>
      </w:r>
      <w:r w:rsidRPr="00447617">
        <w:t xml:space="preserve"> </w:t>
      </w:r>
      <w:r w:rsidR="00CE6A7E">
        <w:fldChar w:fldCharType="begin"/>
      </w:r>
      <w:r w:rsidR="00CE6A7E" w:rsidRPr="00831C63">
        <w:instrText>https://commission.europa.eu/topics/eu-competitiveness/draghi-report_en</w:instrText>
      </w:r>
      <w:r w:rsidR="00CE6A7E">
        <w:fldChar w:fldCharType="separate"/>
      </w:r>
      <w:r w:rsidR="00CE6A7E" w:rsidRPr="00447617">
        <w:rPr>
          <w:rStyle w:val="Hyperlink"/>
        </w:rPr>
        <w:t>The Draghi report on EU competitiveness</w:t>
      </w:r>
      <w:r w:rsidR="00CE6A7E">
        <w:fldChar w:fldCharType="end"/>
      </w:r>
      <w:r w:rsidR="00831C63">
        <w:t xml:space="preserve"> </w:t>
      </w:r>
      <w:r w:rsidR="00F973E6" w:rsidRPr="00F973E6">
        <w:t xml:space="preserve">Het rapport kan hier geraadpleegd worden: EU </w:t>
      </w:r>
      <w:proofErr w:type="spellStart"/>
      <w:r w:rsidR="00F973E6" w:rsidRPr="00F973E6">
        <w:t>competitiveness</w:t>
      </w:r>
      <w:proofErr w:type="spellEnd"/>
      <w:r w:rsidR="00F973E6" w:rsidRPr="00F973E6">
        <w:t xml:space="preserve">: </w:t>
      </w:r>
      <w:proofErr w:type="spellStart"/>
      <w:r w:rsidR="00F973E6" w:rsidRPr="00F973E6">
        <w:t>Looking</w:t>
      </w:r>
      <w:proofErr w:type="spellEnd"/>
      <w:r w:rsidR="00F973E6" w:rsidRPr="00F973E6">
        <w:t xml:space="preserve"> </w:t>
      </w:r>
      <w:proofErr w:type="spellStart"/>
      <w:r w:rsidR="00F973E6" w:rsidRPr="00F973E6">
        <w:t>ahead</w:t>
      </w:r>
      <w:proofErr w:type="spellEnd"/>
      <w:r w:rsidR="00F973E6" w:rsidRPr="00F973E6">
        <w:t xml:space="preserve"> - European </w:t>
      </w:r>
      <w:proofErr w:type="spellStart"/>
      <w:r w:rsidR="00F973E6" w:rsidRPr="00F973E6">
        <w:t>Commission</w:t>
      </w:r>
      <w:proofErr w:type="spellEnd"/>
      <w:r w:rsidR="00F973E6" w:rsidRPr="00F973E6">
        <w:t xml:space="preserve"> (europa.eu)</w:t>
      </w:r>
    </w:p>
  </w:footnote>
  <w:footnote w:id="10">
    <w:p w14:paraId="2044929F" w14:textId="48A52B5A" w:rsidR="0086334D" w:rsidRPr="00447617" w:rsidRDefault="0086334D">
      <w:pPr>
        <w:pStyle w:val="FootnoteText"/>
      </w:pPr>
      <w:r>
        <w:rPr>
          <w:rStyle w:val="FootnoteReference"/>
        </w:rPr>
        <w:footnoteRef/>
      </w:r>
      <w:r>
        <w:t xml:space="preserve"> </w:t>
      </w:r>
      <w:r w:rsidR="00F973E6" w:rsidRPr="0086334D">
        <w:rPr>
          <w:rFonts w:ascii="Verdana" w:hAnsi="Verdana"/>
          <w:sz w:val="16"/>
          <w:szCs w:val="16"/>
        </w:rPr>
        <w:t xml:space="preserve">Kamerstuk </w:t>
      </w:r>
      <w:r w:rsidR="00F973E6" w:rsidRPr="00A003DE">
        <w:t>22112-4004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B7A5" w14:textId="77777777" w:rsidR="00543324" w:rsidRDefault="00543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07AD" w14:textId="765644CD" w:rsidR="001B044F" w:rsidRPr="001B044F" w:rsidRDefault="001B044F" w:rsidP="001B044F">
    <w:pPr>
      <w:pStyle w:val="Header"/>
      <w:jc w:val="right"/>
      <w:rPr>
        <w:b/>
        <w:bCs/>
        <w:i/>
        <w:iCs/>
        <w:lang w:val="en-US"/>
      </w:rPr>
    </w:pPr>
    <w:r w:rsidRPr="001B044F">
      <w:rPr>
        <w:b/>
        <w:bCs/>
        <w:i/>
        <w:iCs/>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FE72" w14:textId="77777777" w:rsidR="00543324" w:rsidRDefault="00543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D3D79"/>
    <w:multiLevelType w:val="hybridMultilevel"/>
    <w:tmpl w:val="FE4EA6B6"/>
    <w:lvl w:ilvl="0" w:tplc="6B2AC9AC">
      <w:numFmt w:val="bullet"/>
      <w:lvlText w:val="-"/>
      <w:lvlJc w:val="left"/>
      <w:pPr>
        <w:ind w:left="1430" w:hanging="71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548E1C3D"/>
    <w:multiLevelType w:val="hybridMultilevel"/>
    <w:tmpl w:val="62C21E2E"/>
    <w:lvl w:ilvl="0" w:tplc="379E1966">
      <w:start w:val="1"/>
      <w:numFmt w:val="decimal"/>
      <w:lvlText w:val="%1."/>
      <w:lvlJc w:val="left"/>
      <w:pPr>
        <w:ind w:left="1070" w:hanging="710"/>
      </w:pPr>
      <w:rPr>
        <w:rFonts w:hint="default"/>
      </w:rPr>
    </w:lvl>
    <w:lvl w:ilvl="1" w:tplc="0C7EBFA4">
      <w:start w:val="1"/>
      <w:numFmt w:val="lowerLetter"/>
      <w:lvlText w:val="%2."/>
      <w:lvlJc w:val="left"/>
      <w:pPr>
        <w:ind w:left="1790" w:hanging="71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9A28D2"/>
    <w:multiLevelType w:val="hybridMultilevel"/>
    <w:tmpl w:val="8B805A20"/>
    <w:lvl w:ilvl="0" w:tplc="6B2AC9AC">
      <w:numFmt w:val="bullet"/>
      <w:lvlText w:val="-"/>
      <w:lvlJc w:val="left"/>
      <w:pPr>
        <w:ind w:left="1070" w:hanging="71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17570B"/>
    <w:multiLevelType w:val="hybridMultilevel"/>
    <w:tmpl w:val="ED322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DF27036"/>
    <w:multiLevelType w:val="hybridMultilevel"/>
    <w:tmpl w:val="133E8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3404484">
    <w:abstractNumId w:val="1"/>
  </w:num>
  <w:num w:numId="2" w16cid:durableId="1967856587">
    <w:abstractNumId w:val="3"/>
  </w:num>
  <w:num w:numId="3" w16cid:durableId="604852206">
    <w:abstractNumId w:val="4"/>
  </w:num>
  <w:num w:numId="4" w16cid:durableId="906107373">
    <w:abstractNumId w:val="2"/>
  </w:num>
  <w:num w:numId="5" w16cid:durableId="194395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B9"/>
    <w:rsid w:val="0000378E"/>
    <w:rsid w:val="00006BF0"/>
    <w:rsid w:val="00022DE9"/>
    <w:rsid w:val="00030C43"/>
    <w:rsid w:val="00031872"/>
    <w:rsid w:val="00034F08"/>
    <w:rsid w:val="00044A03"/>
    <w:rsid w:val="00052069"/>
    <w:rsid w:val="00061566"/>
    <w:rsid w:val="0006487E"/>
    <w:rsid w:val="00077469"/>
    <w:rsid w:val="00077BF1"/>
    <w:rsid w:val="00093478"/>
    <w:rsid w:val="000A2AFF"/>
    <w:rsid w:val="000A2C96"/>
    <w:rsid w:val="000A3444"/>
    <w:rsid w:val="000A3788"/>
    <w:rsid w:val="000A5CE8"/>
    <w:rsid w:val="000A7FE3"/>
    <w:rsid w:val="000B054C"/>
    <w:rsid w:val="000B0A7E"/>
    <w:rsid w:val="000C42EC"/>
    <w:rsid w:val="000C6048"/>
    <w:rsid w:val="000D014E"/>
    <w:rsid w:val="000E1FB4"/>
    <w:rsid w:val="000E2DB1"/>
    <w:rsid w:val="000F1AE6"/>
    <w:rsid w:val="001124D0"/>
    <w:rsid w:val="001148EB"/>
    <w:rsid w:val="00121376"/>
    <w:rsid w:val="00121B7D"/>
    <w:rsid w:val="00136CB3"/>
    <w:rsid w:val="001444E8"/>
    <w:rsid w:val="00174E77"/>
    <w:rsid w:val="00181153"/>
    <w:rsid w:val="00192127"/>
    <w:rsid w:val="00195D11"/>
    <w:rsid w:val="001A369B"/>
    <w:rsid w:val="001B044F"/>
    <w:rsid w:val="001B4E64"/>
    <w:rsid w:val="001B5F27"/>
    <w:rsid w:val="001C3BEC"/>
    <w:rsid w:val="001C6A07"/>
    <w:rsid w:val="001D2F3F"/>
    <w:rsid w:val="001D58AA"/>
    <w:rsid w:val="001E1196"/>
    <w:rsid w:val="001E2B38"/>
    <w:rsid w:val="001E7BAD"/>
    <w:rsid w:val="001F2C6A"/>
    <w:rsid w:val="001F380A"/>
    <w:rsid w:val="001F39D8"/>
    <w:rsid w:val="001F50AD"/>
    <w:rsid w:val="00217108"/>
    <w:rsid w:val="0021779E"/>
    <w:rsid w:val="00225C8F"/>
    <w:rsid w:val="002375A8"/>
    <w:rsid w:val="00237910"/>
    <w:rsid w:val="002379F5"/>
    <w:rsid w:val="002404CF"/>
    <w:rsid w:val="0024513B"/>
    <w:rsid w:val="00255042"/>
    <w:rsid w:val="00262D75"/>
    <w:rsid w:val="002657EE"/>
    <w:rsid w:val="00267C5C"/>
    <w:rsid w:val="0028182A"/>
    <w:rsid w:val="002823F7"/>
    <w:rsid w:val="00287E84"/>
    <w:rsid w:val="00295B03"/>
    <w:rsid w:val="00296CA9"/>
    <w:rsid w:val="002A0584"/>
    <w:rsid w:val="002B4882"/>
    <w:rsid w:val="002B6F6A"/>
    <w:rsid w:val="002D3FC8"/>
    <w:rsid w:val="003048C3"/>
    <w:rsid w:val="00306259"/>
    <w:rsid w:val="0030632B"/>
    <w:rsid w:val="00313275"/>
    <w:rsid w:val="003141F4"/>
    <w:rsid w:val="003224FD"/>
    <w:rsid w:val="0032285F"/>
    <w:rsid w:val="003273C9"/>
    <w:rsid w:val="0032753D"/>
    <w:rsid w:val="00331AA1"/>
    <w:rsid w:val="00334D28"/>
    <w:rsid w:val="00341DC9"/>
    <w:rsid w:val="0035321A"/>
    <w:rsid w:val="003604E1"/>
    <w:rsid w:val="00365DF1"/>
    <w:rsid w:val="003810AC"/>
    <w:rsid w:val="003834AA"/>
    <w:rsid w:val="0038634B"/>
    <w:rsid w:val="00386BF0"/>
    <w:rsid w:val="0039009C"/>
    <w:rsid w:val="00390358"/>
    <w:rsid w:val="003C506B"/>
    <w:rsid w:val="003D5E5D"/>
    <w:rsid w:val="003D5ECC"/>
    <w:rsid w:val="003F0874"/>
    <w:rsid w:val="003F650A"/>
    <w:rsid w:val="00401AFC"/>
    <w:rsid w:val="00413A65"/>
    <w:rsid w:val="00430C36"/>
    <w:rsid w:val="00435B31"/>
    <w:rsid w:val="00440FAF"/>
    <w:rsid w:val="00442FF4"/>
    <w:rsid w:val="00446C5F"/>
    <w:rsid w:val="004470F7"/>
    <w:rsid w:val="00447579"/>
    <w:rsid w:val="00447617"/>
    <w:rsid w:val="00450EAF"/>
    <w:rsid w:val="00453748"/>
    <w:rsid w:val="0046703E"/>
    <w:rsid w:val="0047001D"/>
    <w:rsid w:val="004872A6"/>
    <w:rsid w:val="0049508B"/>
    <w:rsid w:val="0049610F"/>
    <w:rsid w:val="004B414B"/>
    <w:rsid w:val="004B700A"/>
    <w:rsid w:val="004C0C67"/>
    <w:rsid w:val="004C4633"/>
    <w:rsid w:val="004C5CAE"/>
    <w:rsid w:val="004D06A2"/>
    <w:rsid w:val="004D3D5E"/>
    <w:rsid w:val="0052570D"/>
    <w:rsid w:val="00530C15"/>
    <w:rsid w:val="005342EF"/>
    <w:rsid w:val="00540821"/>
    <w:rsid w:val="00543324"/>
    <w:rsid w:val="00544103"/>
    <w:rsid w:val="00546B79"/>
    <w:rsid w:val="00550C27"/>
    <w:rsid w:val="00553D56"/>
    <w:rsid w:val="005559EA"/>
    <w:rsid w:val="00563673"/>
    <w:rsid w:val="00566877"/>
    <w:rsid w:val="005728AE"/>
    <w:rsid w:val="005734FD"/>
    <w:rsid w:val="00576D10"/>
    <w:rsid w:val="00585C75"/>
    <w:rsid w:val="00586051"/>
    <w:rsid w:val="0059444A"/>
    <w:rsid w:val="005965A9"/>
    <w:rsid w:val="005A64F8"/>
    <w:rsid w:val="005B2A4C"/>
    <w:rsid w:val="005B5A02"/>
    <w:rsid w:val="005C433C"/>
    <w:rsid w:val="005C4A81"/>
    <w:rsid w:val="005D66A0"/>
    <w:rsid w:val="005D78FB"/>
    <w:rsid w:val="005E02B8"/>
    <w:rsid w:val="005E4C3E"/>
    <w:rsid w:val="005F0911"/>
    <w:rsid w:val="005F2CE1"/>
    <w:rsid w:val="00604224"/>
    <w:rsid w:val="00611EF5"/>
    <w:rsid w:val="00614B42"/>
    <w:rsid w:val="00621113"/>
    <w:rsid w:val="00631E1D"/>
    <w:rsid w:val="00632E50"/>
    <w:rsid w:val="00654232"/>
    <w:rsid w:val="0065484F"/>
    <w:rsid w:val="00655AD5"/>
    <w:rsid w:val="006569BD"/>
    <w:rsid w:val="0065757E"/>
    <w:rsid w:val="00660C0C"/>
    <w:rsid w:val="00660F78"/>
    <w:rsid w:val="00664B09"/>
    <w:rsid w:val="0066685D"/>
    <w:rsid w:val="00675656"/>
    <w:rsid w:val="0067775A"/>
    <w:rsid w:val="00677FA6"/>
    <w:rsid w:val="0068013D"/>
    <w:rsid w:val="00687BF5"/>
    <w:rsid w:val="006A0560"/>
    <w:rsid w:val="006A5B3C"/>
    <w:rsid w:val="006A6FC1"/>
    <w:rsid w:val="006B014F"/>
    <w:rsid w:val="006B0FEA"/>
    <w:rsid w:val="006C0D9C"/>
    <w:rsid w:val="006C2A0D"/>
    <w:rsid w:val="006C2A4C"/>
    <w:rsid w:val="006C5C8D"/>
    <w:rsid w:val="006D65BE"/>
    <w:rsid w:val="006D6869"/>
    <w:rsid w:val="006E0DCD"/>
    <w:rsid w:val="006E4F66"/>
    <w:rsid w:val="006E5334"/>
    <w:rsid w:val="006E62E2"/>
    <w:rsid w:val="006F4217"/>
    <w:rsid w:val="006F7B8C"/>
    <w:rsid w:val="00701537"/>
    <w:rsid w:val="007060B4"/>
    <w:rsid w:val="00712586"/>
    <w:rsid w:val="00712F95"/>
    <w:rsid w:val="00724C03"/>
    <w:rsid w:val="007262E8"/>
    <w:rsid w:val="00730B06"/>
    <w:rsid w:val="007474FD"/>
    <w:rsid w:val="007476DF"/>
    <w:rsid w:val="00773274"/>
    <w:rsid w:val="00776181"/>
    <w:rsid w:val="00783FBB"/>
    <w:rsid w:val="00787F0A"/>
    <w:rsid w:val="0079174C"/>
    <w:rsid w:val="00794A48"/>
    <w:rsid w:val="00795374"/>
    <w:rsid w:val="007A4A74"/>
    <w:rsid w:val="007B1641"/>
    <w:rsid w:val="007B5100"/>
    <w:rsid w:val="007C1FA0"/>
    <w:rsid w:val="007C26FD"/>
    <w:rsid w:val="007C5F3E"/>
    <w:rsid w:val="007D197E"/>
    <w:rsid w:val="007D1C81"/>
    <w:rsid w:val="007D4768"/>
    <w:rsid w:val="007D6488"/>
    <w:rsid w:val="007E5965"/>
    <w:rsid w:val="00801221"/>
    <w:rsid w:val="008029CD"/>
    <w:rsid w:val="00810737"/>
    <w:rsid w:val="00812AC7"/>
    <w:rsid w:val="00814069"/>
    <w:rsid w:val="00814F9B"/>
    <w:rsid w:val="008161F3"/>
    <w:rsid w:val="008174B8"/>
    <w:rsid w:val="008230C9"/>
    <w:rsid w:val="00823FFF"/>
    <w:rsid w:val="008266E9"/>
    <w:rsid w:val="00830A20"/>
    <w:rsid w:val="00831C63"/>
    <w:rsid w:val="008322E0"/>
    <w:rsid w:val="008630B5"/>
    <w:rsid w:val="0086334D"/>
    <w:rsid w:val="0086453B"/>
    <w:rsid w:val="00864F2D"/>
    <w:rsid w:val="0088029E"/>
    <w:rsid w:val="008813A4"/>
    <w:rsid w:val="008838C4"/>
    <w:rsid w:val="0088711B"/>
    <w:rsid w:val="008A5632"/>
    <w:rsid w:val="008B7C3E"/>
    <w:rsid w:val="008C6548"/>
    <w:rsid w:val="008C656A"/>
    <w:rsid w:val="008C66E1"/>
    <w:rsid w:val="008E068C"/>
    <w:rsid w:val="008E21E5"/>
    <w:rsid w:val="008E2299"/>
    <w:rsid w:val="008E644A"/>
    <w:rsid w:val="00903146"/>
    <w:rsid w:val="009043A5"/>
    <w:rsid w:val="00904553"/>
    <w:rsid w:val="00923E56"/>
    <w:rsid w:val="00927891"/>
    <w:rsid w:val="00934843"/>
    <w:rsid w:val="00940D40"/>
    <w:rsid w:val="009417EF"/>
    <w:rsid w:val="00942932"/>
    <w:rsid w:val="0095011E"/>
    <w:rsid w:val="0095475A"/>
    <w:rsid w:val="00954ADF"/>
    <w:rsid w:val="00955FCD"/>
    <w:rsid w:val="00970DAD"/>
    <w:rsid w:val="00982337"/>
    <w:rsid w:val="00985561"/>
    <w:rsid w:val="00991856"/>
    <w:rsid w:val="009A0DDB"/>
    <w:rsid w:val="009A2924"/>
    <w:rsid w:val="009A33ED"/>
    <w:rsid w:val="009A5C3C"/>
    <w:rsid w:val="009B736F"/>
    <w:rsid w:val="009C2FF7"/>
    <w:rsid w:val="009D50BF"/>
    <w:rsid w:val="009D64BF"/>
    <w:rsid w:val="009D752B"/>
    <w:rsid w:val="009E4471"/>
    <w:rsid w:val="009E4740"/>
    <w:rsid w:val="009F1824"/>
    <w:rsid w:val="009F5E4F"/>
    <w:rsid w:val="00A003DE"/>
    <w:rsid w:val="00A018BA"/>
    <w:rsid w:val="00A11063"/>
    <w:rsid w:val="00A15C00"/>
    <w:rsid w:val="00A22C03"/>
    <w:rsid w:val="00A25C63"/>
    <w:rsid w:val="00A26700"/>
    <w:rsid w:val="00A35568"/>
    <w:rsid w:val="00A407C7"/>
    <w:rsid w:val="00A42933"/>
    <w:rsid w:val="00A42A25"/>
    <w:rsid w:val="00A502B6"/>
    <w:rsid w:val="00A51464"/>
    <w:rsid w:val="00A57692"/>
    <w:rsid w:val="00A6126D"/>
    <w:rsid w:val="00A80351"/>
    <w:rsid w:val="00A814BB"/>
    <w:rsid w:val="00A81A71"/>
    <w:rsid w:val="00A85F14"/>
    <w:rsid w:val="00A86D48"/>
    <w:rsid w:val="00A97D43"/>
    <w:rsid w:val="00AA07F4"/>
    <w:rsid w:val="00AA315D"/>
    <w:rsid w:val="00AB65F5"/>
    <w:rsid w:val="00AC33D8"/>
    <w:rsid w:val="00AC6620"/>
    <w:rsid w:val="00AE073F"/>
    <w:rsid w:val="00AE1E68"/>
    <w:rsid w:val="00AF5D80"/>
    <w:rsid w:val="00B01CF2"/>
    <w:rsid w:val="00B25E80"/>
    <w:rsid w:val="00B34466"/>
    <w:rsid w:val="00B6455C"/>
    <w:rsid w:val="00B651C1"/>
    <w:rsid w:val="00B666CF"/>
    <w:rsid w:val="00B769FC"/>
    <w:rsid w:val="00BA08DD"/>
    <w:rsid w:val="00BA5DBD"/>
    <w:rsid w:val="00BA7051"/>
    <w:rsid w:val="00BB5845"/>
    <w:rsid w:val="00BC3D4D"/>
    <w:rsid w:val="00BC4B31"/>
    <w:rsid w:val="00BD3ACF"/>
    <w:rsid w:val="00BD4EF5"/>
    <w:rsid w:val="00BD5194"/>
    <w:rsid w:val="00BF5381"/>
    <w:rsid w:val="00BF745F"/>
    <w:rsid w:val="00C00DD1"/>
    <w:rsid w:val="00C10584"/>
    <w:rsid w:val="00C11C92"/>
    <w:rsid w:val="00C206B4"/>
    <w:rsid w:val="00C21EE2"/>
    <w:rsid w:val="00C22992"/>
    <w:rsid w:val="00C33B4C"/>
    <w:rsid w:val="00C3681E"/>
    <w:rsid w:val="00C36847"/>
    <w:rsid w:val="00C41B6E"/>
    <w:rsid w:val="00C45053"/>
    <w:rsid w:val="00C60ADF"/>
    <w:rsid w:val="00C67070"/>
    <w:rsid w:val="00C671B9"/>
    <w:rsid w:val="00C712E9"/>
    <w:rsid w:val="00C75EE6"/>
    <w:rsid w:val="00C84587"/>
    <w:rsid w:val="00C85F93"/>
    <w:rsid w:val="00CB0FDC"/>
    <w:rsid w:val="00CB1B99"/>
    <w:rsid w:val="00CB7D2B"/>
    <w:rsid w:val="00CC095E"/>
    <w:rsid w:val="00CC1A93"/>
    <w:rsid w:val="00CC5941"/>
    <w:rsid w:val="00CD23D6"/>
    <w:rsid w:val="00CD2EF0"/>
    <w:rsid w:val="00CE6A7E"/>
    <w:rsid w:val="00CF28B4"/>
    <w:rsid w:val="00CF7E62"/>
    <w:rsid w:val="00D17BE9"/>
    <w:rsid w:val="00D17D56"/>
    <w:rsid w:val="00D212AE"/>
    <w:rsid w:val="00D24C52"/>
    <w:rsid w:val="00D331D8"/>
    <w:rsid w:val="00D33AFC"/>
    <w:rsid w:val="00D44397"/>
    <w:rsid w:val="00D44970"/>
    <w:rsid w:val="00D50EEA"/>
    <w:rsid w:val="00D519AE"/>
    <w:rsid w:val="00D5737A"/>
    <w:rsid w:val="00D625B7"/>
    <w:rsid w:val="00D66473"/>
    <w:rsid w:val="00D6736F"/>
    <w:rsid w:val="00D76BC8"/>
    <w:rsid w:val="00D828D5"/>
    <w:rsid w:val="00D904A1"/>
    <w:rsid w:val="00D92E80"/>
    <w:rsid w:val="00DA1A7F"/>
    <w:rsid w:val="00DA2B9C"/>
    <w:rsid w:val="00DA6107"/>
    <w:rsid w:val="00DB6B69"/>
    <w:rsid w:val="00DD02BF"/>
    <w:rsid w:val="00DE03A2"/>
    <w:rsid w:val="00DE176E"/>
    <w:rsid w:val="00DF14E0"/>
    <w:rsid w:val="00DF62B8"/>
    <w:rsid w:val="00DF755F"/>
    <w:rsid w:val="00E05D38"/>
    <w:rsid w:val="00E107CF"/>
    <w:rsid w:val="00E262D7"/>
    <w:rsid w:val="00E42EB6"/>
    <w:rsid w:val="00E55BA1"/>
    <w:rsid w:val="00E64190"/>
    <w:rsid w:val="00E740BE"/>
    <w:rsid w:val="00E81879"/>
    <w:rsid w:val="00E90B29"/>
    <w:rsid w:val="00E94A74"/>
    <w:rsid w:val="00E97EA0"/>
    <w:rsid w:val="00EB3BE8"/>
    <w:rsid w:val="00EC2A52"/>
    <w:rsid w:val="00ED6ED3"/>
    <w:rsid w:val="00ED7D40"/>
    <w:rsid w:val="00EE14B2"/>
    <w:rsid w:val="00EE26EE"/>
    <w:rsid w:val="00EE3991"/>
    <w:rsid w:val="00F02A3D"/>
    <w:rsid w:val="00F118E5"/>
    <w:rsid w:val="00F215C2"/>
    <w:rsid w:val="00F25F81"/>
    <w:rsid w:val="00F26593"/>
    <w:rsid w:val="00F35FEC"/>
    <w:rsid w:val="00F45CA4"/>
    <w:rsid w:val="00F51073"/>
    <w:rsid w:val="00F515E1"/>
    <w:rsid w:val="00F51628"/>
    <w:rsid w:val="00F546C1"/>
    <w:rsid w:val="00F54E9F"/>
    <w:rsid w:val="00F615D4"/>
    <w:rsid w:val="00F61D02"/>
    <w:rsid w:val="00F62DA0"/>
    <w:rsid w:val="00F64836"/>
    <w:rsid w:val="00F64E3A"/>
    <w:rsid w:val="00F75B41"/>
    <w:rsid w:val="00F81A2E"/>
    <w:rsid w:val="00F84965"/>
    <w:rsid w:val="00F94101"/>
    <w:rsid w:val="00F9618C"/>
    <w:rsid w:val="00F973E6"/>
    <w:rsid w:val="00FA1911"/>
    <w:rsid w:val="00FA2B58"/>
    <w:rsid w:val="00FA5F1E"/>
    <w:rsid w:val="00FC00F6"/>
    <w:rsid w:val="00FC1C0C"/>
    <w:rsid w:val="00FC7F36"/>
    <w:rsid w:val="00FD594F"/>
    <w:rsid w:val="00FE31B1"/>
    <w:rsid w:val="00FF4588"/>
    <w:rsid w:val="588BD61F"/>
    <w:rsid w:val="5D2AB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082DF"/>
  <w15:chartTrackingRefBased/>
  <w15:docId w15:val="{917FA061-4B6A-478E-AC55-4A29A755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0C15"/>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leGrid">
    <w:name w:val="Table Grid"/>
    <w:basedOn w:val="TableNormal"/>
    <w:uiPriority w:val="39"/>
    <w:rsid w:val="00530C15"/>
    <w:pPr>
      <w:spacing w:after="0" w:line="240" w:lineRule="auto"/>
    </w:pPr>
    <w:rPr>
      <w:rFonts w:eastAsiaTheme="minorEastAsia" w:cs="Times New Roman"/>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44F"/>
  </w:style>
  <w:style w:type="paragraph" w:styleId="Footer">
    <w:name w:val="footer"/>
    <w:basedOn w:val="Normal"/>
    <w:link w:val="FooterChar"/>
    <w:uiPriority w:val="99"/>
    <w:unhideWhenUsed/>
    <w:rsid w:val="001B0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44F"/>
  </w:style>
  <w:style w:type="paragraph" w:styleId="ListParagraph">
    <w:name w:val="List Paragraph"/>
    <w:basedOn w:val="Normal"/>
    <w:uiPriority w:val="34"/>
    <w:qFormat/>
    <w:rsid w:val="00585C75"/>
    <w:pPr>
      <w:ind w:left="720"/>
      <w:contextualSpacing/>
    </w:pPr>
  </w:style>
  <w:style w:type="character" w:styleId="CommentReference">
    <w:name w:val="annotation reference"/>
    <w:basedOn w:val="DefaultParagraphFont"/>
    <w:uiPriority w:val="99"/>
    <w:semiHidden/>
    <w:unhideWhenUsed/>
    <w:rsid w:val="00F02A3D"/>
    <w:rPr>
      <w:sz w:val="16"/>
      <w:szCs w:val="16"/>
    </w:rPr>
  </w:style>
  <w:style w:type="paragraph" w:styleId="CommentText">
    <w:name w:val="annotation text"/>
    <w:basedOn w:val="Normal"/>
    <w:link w:val="CommentTextChar"/>
    <w:uiPriority w:val="99"/>
    <w:unhideWhenUsed/>
    <w:rsid w:val="00F02A3D"/>
    <w:pPr>
      <w:spacing w:line="240" w:lineRule="auto"/>
    </w:pPr>
    <w:rPr>
      <w:sz w:val="20"/>
      <w:szCs w:val="20"/>
    </w:rPr>
  </w:style>
  <w:style w:type="character" w:customStyle="1" w:styleId="CommentTextChar">
    <w:name w:val="Comment Text Char"/>
    <w:basedOn w:val="DefaultParagraphFont"/>
    <w:link w:val="CommentText"/>
    <w:uiPriority w:val="99"/>
    <w:rsid w:val="00F02A3D"/>
    <w:rPr>
      <w:sz w:val="20"/>
      <w:szCs w:val="20"/>
    </w:rPr>
  </w:style>
  <w:style w:type="paragraph" w:styleId="CommentSubject">
    <w:name w:val="annotation subject"/>
    <w:basedOn w:val="CommentText"/>
    <w:next w:val="CommentText"/>
    <w:link w:val="CommentSubjectChar"/>
    <w:uiPriority w:val="99"/>
    <w:semiHidden/>
    <w:unhideWhenUsed/>
    <w:rsid w:val="00F02A3D"/>
    <w:rPr>
      <w:b/>
      <w:bCs/>
    </w:rPr>
  </w:style>
  <w:style w:type="character" w:customStyle="1" w:styleId="CommentSubjectChar">
    <w:name w:val="Comment Subject Char"/>
    <w:basedOn w:val="CommentTextChar"/>
    <w:link w:val="CommentSubject"/>
    <w:uiPriority w:val="99"/>
    <w:semiHidden/>
    <w:rsid w:val="00F02A3D"/>
    <w:rPr>
      <w:b/>
      <w:bCs/>
      <w:sz w:val="20"/>
      <w:szCs w:val="20"/>
    </w:rPr>
  </w:style>
  <w:style w:type="paragraph" w:customStyle="1" w:styleId="Default">
    <w:name w:val="Default"/>
    <w:rsid w:val="003D5EC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14B42"/>
    <w:pPr>
      <w:spacing w:after="0" w:line="240" w:lineRule="auto"/>
    </w:pPr>
  </w:style>
  <w:style w:type="character" w:styleId="Hyperlink">
    <w:name w:val="Hyperlink"/>
    <w:basedOn w:val="DefaultParagraphFont"/>
    <w:uiPriority w:val="99"/>
    <w:unhideWhenUsed/>
    <w:rsid w:val="00F64836"/>
    <w:rPr>
      <w:color w:val="0563C1" w:themeColor="hyperlink"/>
      <w:u w:val="single"/>
    </w:rPr>
  </w:style>
  <w:style w:type="character" w:customStyle="1" w:styleId="UnresolvedMention1">
    <w:name w:val="Unresolved Mention1"/>
    <w:basedOn w:val="DefaultParagraphFont"/>
    <w:uiPriority w:val="99"/>
    <w:semiHidden/>
    <w:unhideWhenUsed/>
    <w:rsid w:val="00F64836"/>
    <w:rPr>
      <w:color w:val="605E5C"/>
      <w:shd w:val="clear" w:color="auto" w:fill="E1DFDD"/>
    </w:rPr>
  </w:style>
  <w:style w:type="paragraph" w:styleId="FootnoteText">
    <w:name w:val="footnote text"/>
    <w:basedOn w:val="Normal"/>
    <w:link w:val="FootnoteTextChar"/>
    <w:uiPriority w:val="99"/>
    <w:semiHidden/>
    <w:unhideWhenUsed/>
    <w:rsid w:val="00CF7E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E62"/>
    <w:rPr>
      <w:sz w:val="20"/>
      <w:szCs w:val="20"/>
    </w:rPr>
  </w:style>
  <w:style w:type="character" w:styleId="FootnoteReference">
    <w:name w:val="footnote reference"/>
    <w:basedOn w:val="DefaultParagraphFont"/>
    <w:uiPriority w:val="99"/>
    <w:semiHidden/>
    <w:unhideWhenUsed/>
    <w:rsid w:val="00CF7E62"/>
    <w:rPr>
      <w:vertAlign w:val="superscript"/>
    </w:rPr>
  </w:style>
  <w:style w:type="paragraph" w:styleId="NoSpacing">
    <w:name w:val="No Spacing"/>
    <w:uiPriority w:val="1"/>
    <w:qFormat/>
    <w:rsid w:val="00F51628"/>
    <w:pPr>
      <w:spacing w:after="0" w:line="240" w:lineRule="auto"/>
    </w:pPr>
  </w:style>
  <w:style w:type="paragraph" w:styleId="BalloonText">
    <w:name w:val="Balloon Text"/>
    <w:basedOn w:val="Normal"/>
    <w:link w:val="BalloonTextChar"/>
    <w:uiPriority w:val="99"/>
    <w:semiHidden/>
    <w:unhideWhenUsed/>
    <w:rsid w:val="0048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2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9770">
      <w:bodyDiv w:val="1"/>
      <w:marLeft w:val="0"/>
      <w:marRight w:val="0"/>
      <w:marTop w:val="0"/>
      <w:marBottom w:val="0"/>
      <w:divBdr>
        <w:top w:val="none" w:sz="0" w:space="0" w:color="auto"/>
        <w:left w:val="none" w:sz="0" w:space="0" w:color="auto"/>
        <w:bottom w:val="none" w:sz="0" w:space="0" w:color="auto"/>
        <w:right w:val="none" w:sz="0" w:space="0" w:color="auto"/>
      </w:divBdr>
    </w:div>
    <w:div w:id="123040916">
      <w:bodyDiv w:val="1"/>
      <w:marLeft w:val="0"/>
      <w:marRight w:val="0"/>
      <w:marTop w:val="0"/>
      <w:marBottom w:val="0"/>
      <w:divBdr>
        <w:top w:val="none" w:sz="0" w:space="0" w:color="auto"/>
        <w:left w:val="none" w:sz="0" w:space="0" w:color="auto"/>
        <w:bottom w:val="none" w:sz="0" w:space="0" w:color="auto"/>
        <w:right w:val="none" w:sz="0" w:space="0" w:color="auto"/>
      </w:divBdr>
    </w:div>
    <w:div w:id="166213657">
      <w:bodyDiv w:val="1"/>
      <w:marLeft w:val="0"/>
      <w:marRight w:val="0"/>
      <w:marTop w:val="0"/>
      <w:marBottom w:val="0"/>
      <w:divBdr>
        <w:top w:val="none" w:sz="0" w:space="0" w:color="auto"/>
        <w:left w:val="none" w:sz="0" w:space="0" w:color="auto"/>
        <w:bottom w:val="none" w:sz="0" w:space="0" w:color="auto"/>
        <w:right w:val="none" w:sz="0" w:space="0" w:color="auto"/>
      </w:divBdr>
    </w:div>
    <w:div w:id="183595398">
      <w:bodyDiv w:val="1"/>
      <w:marLeft w:val="0"/>
      <w:marRight w:val="0"/>
      <w:marTop w:val="0"/>
      <w:marBottom w:val="0"/>
      <w:divBdr>
        <w:top w:val="none" w:sz="0" w:space="0" w:color="auto"/>
        <w:left w:val="none" w:sz="0" w:space="0" w:color="auto"/>
        <w:bottom w:val="none" w:sz="0" w:space="0" w:color="auto"/>
        <w:right w:val="none" w:sz="0" w:space="0" w:color="auto"/>
      </w:divBdr>
    </w:div>
    <w:div w:id="195048918">
      <w:bodyDiv w:val="1"/>
      <w:marLeft w:val="0"/>
      <w:marRight w:val="0"/>
      <w:marTop w:val="0"/>
      <w:marBottom w:val="0"/>
      <w:divBdr>
        <w:top w:val="none" w:sz="0" w:space="0" w:color="auto"/>
        <w:left w:val="none" w:sz="0" w:space="0" w:color="auto"/>
        <w:bottom w:val="none" w:sz="0" w:space="0" w:color="auto"/>
        <w:right w:val="none" w:sz="0" w:space="0" w:color="auto"/>
      </w:divBdr>
    </w:div>
    <w:div w:id="196282505">
      <w:bodyDiv w:val="1"/>
      <w:marLeft w:val="0"/>
      <w:marRight w:val="0"/>
      <w:marTop w:val="0"/>
      <w:marBottom w:val="0"/>
      <w:divBdr>
        <w:top w:val="none" w:sz="0" w:space="0" w:color="auto"/>
        <w:left w:val="none" w:sz="0" w:space="0" w:color="auto"/>
        <w:bottom w:val="none" w:sz="0" w:space="0" w:color="auto"/>
        <w:right w:val="none" w:sz="0" w:space="0" w:color="auto"/>
      </w:divBdr>
    </w:div>
    <w:div w:id="263343073">
      <w:bodyDiv w:val="1"/>
      <w:marLeft w:val="0"/>
      <w:marRight w:val="0"/>
      <w:marTop w:val="0"/>
      <w:marBottom w:val="0"/>
      <w:divBdr>
        <w:top w:val="none" w:sz="0" w:space="0" w:color="auto"/>
        <w:left w:val="none" w:sz="0" w:space="0" w:color="auto"/>
        <w:bottom w:val="none" w:sz="0" w:space="0" w:color="auto"/>
        <w:right w:val="none" w:sz="0" w:space="0" w:color="auto"/>
      </w:divBdr>
    </w:div>
    <w:div w:id="267927044">
      <w:bodyDiv w:val="1"/>
      <w:marLeft w:val="0"/>
      <w:marRight w:val="0"/>
      <w:marTop w:val="0"/>
      <w:marBottom w:val="0"/>
      <w:divBdr>
        <w:top w:val="none" w:sz="0" w:space="0" w:color="auto"/>
        <w:left w:val="none" w:sz="0" w:space="0" w:color="auto"/>
        <w:bottom w:val="none" w:sz="0" w:space="0" w:color="auto"/>
        <w:right w:val="none" w:sz="0" w:space="0" w:color="auto"/>
      </w:divBdr>
    </w:div>
    <w:div w:id="483160651">
      <w:bodyDiv w:val="1"/>
      <w:marLeft w:val="0"/>
      <w:marRight w:val="0"/>
      <w:marTop w:val="0"/>
      <w:marBottom w:val="0"/>
      <w:divBdr>
        <w:top w:val="none" w:sz="0" w:space="0" w:color="auto"/>
        <w:left w:val="none" w:sz="0" w:space="0" w:color="auto"/>
        <w:bottom w:val="none" w:sz="0" w:space="0" w:color="auto"/>
        <w:right w:val="none" w:sz="0" w:space="0" w:color="auto"/>
      </w:divBdr>
    </w:div>
    <w:div w:id="542523821">
      <w:bodyDiv w:val="1"/>
      <w:marLeft w:val="0"/>
      <w:marRight w:val="0"/>
      <w:marTop w:val="0"/>
      <w:marBottom w:val="0"/>
      <w:divBdr>
        <w:top w:val="none" w:sz="0" w:space="0" w:color="auto"/>
        <w:left w:val="none" w:sz="0" w:space="0" w:color="auto"/>
        <w:bottom w:val="none" w:sz="0" w:space="0" w:color="auto"/>
        <w:right w:val="none" w:sz="0" w:space="0" w:color="auto"/>
      </w:divBdr>
    </w:div>
    <w:div w:id="551310580">
      <w:bodyDiv w:val="1"/>
      <w:marLeft w:val="0"/>
      <w:marRight w:val="0"/>
      <w:marTop w:val="0"/>
      <w:marBottom w:val="0"/>
      <w:divBdr>
        <w:top w:val="none" w:sz="0" w:space="0" w:color="auto"/>
        <w:left w:val="none" w:sz="0" w:space="0" w:color="auto"/>
        <w:bottom w:val="none" w:sz="0" w:space="0" w:color="auto"/>
        <w:right w:val="none" w:sz="0" w:space="0" w:color="auto"/>
      </w:divBdr>
    </w:div>
    <w:div w:id="560941419">
      <w:bodyDiv w:val="1"/>
      <w:marLeft w:val="0"/>
      <w:marRight w:val="0"/>
      <w:marTop w:val="0"/>
      <w:marBottom w:val="0"/>
      <w:divBdr>
        <w:top w:val="none" w:sz="0" w:space="0" w:color="auto"/>
        <w:left w:val="none" w:sz="0" w:space="0" w:color="auto"/>
        <w:bottom w:val="none" w:sz="0" w:space="0" w:color="auto"/>
        <w:right w:val="none" w:sz="0" w:space="0" w:color="auto"/>
      </w:divBdr>
    </w:div>
    <w:div w:id="613440273">
      <w:bodyDiv w:val="1"/>
      <w:marLeft w:val="0"/>
      <w:marRight w:val="0"/>
      <w:marTop w:val="0"/>
      <w:marBottom w:val="0"/>
      <w:divBdr>
        <w:top w:val="none" w:sz="0" w:space="0" w:color="auto"/>
        <w:left w:val="none" w:sz="0" w:space="0" w:color="auto"/>
        <w:bottom w:val="none" w:sz="0" w:space="0" w:color="auto"/>
        <w:right w:val="none" w:sz="0" w:space="0" w:color="auto"/>
      </w:divBdr>
    </w:div>
    <w:div w:id="633756995">
      <w:bodyDiv w:val="1"/>
      <w:marLeft w:val="0"/>
      <w:marRight w:val="0"/>
      <w:marTop w:val="0"/>
      <w:marBottom w:val="0"/>
      <w:divBdr>
        <w:top w:val="none" w:sz="0" w:space="0" w:color="auto"/>
        <w:left w:val="none" w:sz="0" w:space="0" w:color="auto"/>
        <w:bottom w:val="none" w:sz="0" w:space="0" w:color="auto"/>
        <w:right w:val="none" w:sz="0" w:space="0" w:color="auto"/>
      </w:divBdr>
    </w:div>
    <w:div w:id="676226899">
      <w:bodyDiv w:val="1"/>
      <w:marLeft w:val="0"/>
      <w:marRight w:val="0"/>
      <w:marTop w:val="0"/>
      <w:marBottom w:val="0"/>
      <w:divBdr>
        <w:top w:val="none" w:sz="0" w:space="0" w:color="auto"/>
        <w:left w:val="none" w:sz="0" w:space="0" w:color="auto"/>
        <w:bottom w:val="none" w:sz="0" w:space="0" w:color="auto"/>
        <w:right w:val="none" w:sz="0" w:space="0" w:color="auto"/>
      </w:divBdr>
    </w:div>
    <w:div w:id="683022123">
      <w:bodyDiv w:val="1"/>
      <w:marLeft w:val="0"/>
      <w:marRight w:val="0"/>
      <w:marTop w:val="0"/>
      <w:marBottom w:val="0"/>
      <w:divBdr>
        <w:top w:val="none" w:sz="0" w:space="0" w:color="auto"/>
        <w:left w:val="none" w:sz="0" w:space="0" w:color="auto"/>
        <w:bottom w:val="none" w:sz="0" w:space="0" w:color="auto"/>
        <w:right w:val="none" w:sz="0" w:space="0" w:color="auto"/>
      </w:divBdr>
    </w:div>
    <w:div w:id="708186129">
      <w:bodyDiv w:val="1"/>
      <w:marLeft w:val="0"/>
      <w:marRight w:val="0"/>
      <w:marTop w:val="0"/>
      <w:marBottom w:val="0"/>
      <w:divBdr>
        <w:top w:val="none" w:sz="0" w:space="0" w:color="auto"/>
        <w:left w:val="none" w:sz="0" w:space="0" w:color="auto"/>
        <w:bottom w:val="none" w:sz="0" w:space="0" w:color="auto"/>
        <w:right w:val="none" w:sz="0" w:space="0" w:color="auto"/>
      </w:divBdr>
    </w:div>
    <w:div w:id="734858172">
      <w:bodyDiv w:val="1"/>
      <w:marLeft w:val="0"/>
      <w:marRight w:val="0"/>
      <w:marTop w:val="0"/>
      <w:marBottom w:val="0"/>
      <w:divBdr>
        <w:top w:val="none" w:sz="0" w:space="0" w:color="auto"/>
        <w:left w:val="none" w:sz="0" w:space="0" w:color="auto"/>
        <w:bottom w:val="none" w:sz="0" w:space="0" w:color="auto"/>
        <w:right w:val="none" w:sz="0" w:space="0" w:color="auto"/>
      </w:divBdr>
    </w:div>
    <w:div w:id="783156313">
      <w:bodyDiv w:val="1"/>
      <w:marLeft w:val="0"/>
      <w:marRight w:val="0"/>
      <w:marTop w:val="0"/>
      <w:marBottom w:val="0"/>
      <w:divBdr>
        <w:top w:val="none" w:sz="0" w:space="0" w:color="auto"/>
        <w:left w:val="none" w:sz="0" w:space="0" w:color="auto"/>
        <w:bottom w:val="none" w:sz="0" w:space="0" w:color="auto"/>
        <w:right w:val="none" w:sz="0" w:space="0" w:color="auto"/>
      </w:divBdr>
    </w:div>
    <w:div w:id="784737327">
      <w:bodyDiv w:val="1"/>
      <w:marLeft w:val="0"/>
      <w:marRight w:val="0"/>
      <w:marTop w:val="0"/>
      <w:marBottom w:val="0"/>
      <w:divBdr>
        <w:top w:val="none" w:sz="0" w:space="0" w:color="auto"/>
        <w:left w:val="none" w:sz="0" w:space="0" w:color="auto"/>
        <w:bottom w:val="none" w:sz="0" w:space="0" w:color="auto"/>
        <w:right w:val="none" w:sz="0" w:space="0" w:color="auto"/>
      </w:divBdr>
    </w:div>
    <w:div w:id="800225900">
      <w:bodyDiv w:val="1"/>
      <w:marLeft w:val="0"/>
      <w:marRight w:val="0"/>
      <w:marTop w:val="0"/>
      <w:marBottom w:val="0"/>
      <w:divBdr>
        <w:top w:val="none" w:sz="0" w:space="0" w:color="auto"/>
        <w:left w:val="none" w:sz="0" w:space="0" w:color="auto"/>
        <w:bottom w:val="none" w:sz="0" w:space="0" w:color="auto"/>
        <w:right w:val="none" w:sz="0" w:space="0" w:color="auto"/>
      </w:divBdr>
    </w:div>
    <w:div w:id="835807178">
      <w:bodyDiv w:val="1"/>
      <w:marLeft w:val="0"/>
      <w:marRight w:val="0"/>
      <w:marTop w:val="0"/>
      <w:marBottom w:val="0"/>
      <w:divBdr>
        <w:top w:val="none" w:sz="0" w:space="0" w:color="auto"/>
        <w:left w:val="none" w:sz="0" w:space="0" w:color="auto"/>
        <w:bottom w:val="none" w:sz="0" w:space="0" w:color="auto"/>
        <w:right w:val="none" w:sz="0" w:space="0" w:color="auto"/>
      </w:divBdr>
    </w:div>
    <w:div w:id="842234586">
      <w:bodyDiv w:val="1"/>
      <w:marLeft w:val="0"/>
      <w:marRight w:val="0"/>
      <w:marTop w:val="0"/>
      <w:marBottom w:val="0"/>
      <w:divBdr>
        <w:top w:val="none" w:sz="0" w:space="0" w:color="auto"/>
        <w:left w:val="none" w:sz="0" w:space="0" w:color="auto"/>
        <w:bottom w:val="none" w:sz="0" w:space="0" w:color="auto"/>
        <w:right w:val="none" w:sz="0" w:space="0" w:color="auto"/>
      </w:divBdr>
    </w:div>
    <w:div w:id="852188256">
      <w:bodyDiv w:val="1"/>
      <w:marLeft w:val="0"/>
      <w:marRight w:val="0"/>
      <w:marTop w:val="0"/>
      <w:marBottom w:val="0"/>
      <w:divBdr>
        <w:top w:val="none" w:sz="0" w:space="0" w:color="auto"/>
        <w:left w:val="none" w:sz="0" w:space="0" w:color="auto"/>
        <w:bottom w:val="none" w:sz="0" w:space="0" w:color="auto"/>
        <w:right w:val="none" w:sz="0" w:space="0" w:color="auto"/>
      </w:divBdr>
    </w:div>
    <w:div w:id="856308332">
      <w:bodyDiv w:val="1"/>
      <w:marLeft w:val="0"/>
      <w:marRight w:val="0"/>
      <w:marTop w:val="0"/>
      <w:marBottom w:val="0"/>
      <w:divBdr>
        <w:top w:val="none" w:sz="0" w:space="0" w:color="auto"/>
        <w:left w:val="none" w:sz="0" w:space="0" w:color="auto"/>
        <w:bottom w:val="none" w:sz="0" w:space="0" w:color="auto"/>
        <w:right w:val="none" w:sz="0" w:space="0" w:color="auto"/>
      </w:divBdr>
    </w:div>
    <w:div w:id="902911631">
      <w:bodyDiv w:val="1"/>
      <w:marLeft w:val="0"/>
      <w:marRight w:val="0"/>
      <w:marTop w:val="0"/>
      <w:marBottom w:val="0"/>
      <w:divBdr>
        <w:top w:val="none" w:sz="0" w:space="0" w:color="auto"/>
        <w:left w:val="none" w:sz="0" w:space="0" w:color="auto"/>
        <w:bottom w:val="none" w:sz="0" w:space="0" w:color="auto"/>
        <w:right w:val="none" w:sz="0" w:space="0" w:color="auto"/>
      </w:divBdr>
    </w:div>
    <w:div w:id="1055007767">
      <w:bodyDiv w:val="1"/>
      <w:marLeft w:val="0"/>
      <w:marRight w:val="0"/>
      <w:marTop w:val="0"/>
      <w:marBottom w:val="0"/>
      <w:divBdr>
        <w:top w:val="none" w:sz="0" w:space="0" w:color="auto"/>
        <w:left w:val="none" w:sz="0" w:space="0" w:color="auto"/>
        <w:bottom w:val="none" w:sz="0" w:space="0" w:color="auto"/>
        <w:right w:val="none" w:sz="0" w:space="0" w:color="auto"/>
      </w:divBdr>
    </w:div>
    <w:div w:id="1086421021">
      <w:bodyDiv w:val="1"/>
      <w:marLeft w:val="0"/>
      <w:marRight w:val="0"/>
      <w:marTop w:val="0"/>
      <w:marBottom w:val="0"/>
      <w:divBdr>
        <w:top w:val="none" w:sz="0" w:space="0" w:color="auto"/>
        <w:left w:val="none" w:sz="0" w:space="0" w:color="auto"/>
        <w:bottom w:val="none" w:sz="0" w:space="0" w:color="auto"/>
        <w:right w:val="none" w:sz="0" w:space="0" w:color="auto"/>
      </w:divBdr>
    </w:div>
    <w:div w:id="1092311176">
      <w:bodyDiv w:val="1"/>
      <w:marLeft w:val="0"/>
      <w:marRight w:val="0"/>
      <w:marTop w:val="0"/>
      <w:marBottom w:val="0"/>
      <w:divBdr>
        <w:top w:val="none" w:sz="0" w:space="0" w:color="auto"/>
        <w:left w:val="none" w:sz="0" w:space="0" w:color="auto"/>
        <w:bottom w:val="none" w:sz="0" w:space="0" w:color="auto"/>
        <w:right w:val="none" w:sz="0" w:space="0" w:color="auto"/>
      </w:divBdr>
    </w:div>
    <w:div w:id="1109396473">
      <w:bodyDiv w:val="1"/>
      <w:marLeft w:val="0"/>
      <w:marRight w:val="0"/>
      <w:marTop w:val="0"/>
      <w:marBottom w:val="0"/>
      <w:divBdr>
        <w:top w:val="none" w:sz="0" w:space="0" w:color="auto"/>
        <w:left w:val="none" w:sz="0" w:space="0" w:color="auto"/>
        <w:bottom w:val="none" w:sz="0" w:space="0" w:color="auto"/>
        <w:right w:val="none" w:sz="0" w:space="0" w:color="auto"/>
      </w:divBdr>
    </w:div>
    <w:div w:id="1128889812">
      <w:bodyDiv w:val="1"/>
      <w:marLeft w:val="0"/>
      <w:marRight w:val="0"/>
      <w:marTop w:val="0"/>
      <w:marBottom w:val="0"/>
      <w:divBdr>
        <w:top w:val="none" w:sz="0" w:space="0" w:color="auto"/>
        <w:left w:val="none" w:sz="0" w:space="0" w:color="auto"/>
        <w:bottom w:val="none" w:sz="0" w:space="0" w:color="auto"/>
        <w:right w:val="none" w:sz="0" w:space="0" w:color="auto"/>
      </w:divBdr>
    </w:div>
    <w:div w:id="1235512008">
      <w:bodyDiv w:val="1"/>
      <w:marLeft w:val="0"/>
      <w:marRight w:val="0"/>
      <w:marTop w:val="0"/>
      <w:marBottom w:val="0"/>
      <w:divBdr>
        <w:top w:val="none" w:sz="0" w:space="0" w:color="auto"/>
        <w:left w:val="none" w:sz="0" w:space="0" w:color="auto"/>
        <w:bottom w:val="none" w:sz="0" w:space="0" w:color="auto"/>
        <w:right w:val="none" w:sz="0" w:space="0" w:color="auto"/>
      </w:divBdr>
    </w:div>
    <w:div w:id="1276404154">
      <w:bodyDiv w:val="1"/>
      <w:marLeft w:val="0"/>
      <w:marRight w:val="0"/>
      <w:marTop w:val="0"/>
      <w:marBottom w:val="0"/>
      <w:divBdr>
        <w:top w:val="none" w:sz="0" w:space="0" w:color="auto"/>
        <w:left w:val="none" w:sz="0" w:space="0" w:color="auto"/>
        <w:bottom w:val="none" w:sz="0" w:space="0" w:color="auto"/>
        <w:right w:val="none" w:sz="0" w:space="0" w:color="auto"/>
      </w:divBdr>
    </w:div>
    <w:div w:id="1297880094">
      <w:bodyDiv w:val="1"/>
      <w:marLeft w:val="0"/>
      <w:marRight w:val="0"/>
      <w:marTop w:val="0"/>
      <w:marBottom w:val="0"/>
      <w:divBdr>
        <w:top w:val="none" w:sz="0" w:space="0" w:color="auto"/>
        <w:left w:val="none" w:sz="0" w:space="0" w:color="auto"/>
        <w:bottom w:val="none" w:sz="0" w:space="0" w:color="auto"/>
        <w:right w:val="none" w:sz="0" w:space="0" w:color="auto"/>
      </w:divBdr>
    </w:div>
    <w:div w:id="1306592427">
      <w:bodyDiv w:val="1"/>
      <w:marLeft w:val="0"/>
      <w:marRight w:val="0"/>
      <w:marTop w:val="0"/>
      <w:marBottom w:val="0"/>
      <w:divBdr>
        <w:top w:val="none" w:sz="0" w:space="0" w:color="auto"/>
        <w:left w:val="none" w:sz="0" w:space="0" w:color="auto"/>
        <w:bottom w:val="none" w:sz="0" w:space="0" w:color="auto"/>
        <w:right w:val="none" w:sz="0" w:space="0" w:color="auto"/>
      </w:divBdr>
    </w:div>
    <w:div w:id="1321081708">
      <w:bodyDiv w:val="1"/>
      <w:marLeft w:val="0"/>
      <w:marRight w:val="0"/>
      <w:marTop w:val="0"/>
      <w:marBottom w:val="0"/>
      <w:divBdr>
        <w:top w:val="none" w:sz="0" w:space="0" w:color="auto"/>
        <w:left w:val="none" w:sz="0" w:space="0" w:color="auto"/>
        <w:bottom w:val="none" w:sz="0" w:space="0" w:color="auto"/>
        <w:right w:val="none" w:sz="0" w:space="0" w:color="auto"/>
      </w:divBdr>
    </w:div>
    <w:div w:id="1330597588">
      <w:bodyDiv w:val="1"/>
      <w:marLeft w:val="0"/>
      <w:marRight w:val="0"/>
      <w:marTop w:val="0"/>
      <w:marBottom w:val="0"/>
      <w:divBdr>
        <w:top w:val="none" w:sz="0" w:space="0" w:color="auto"/>
        <w:left w:val="none" w:sz="0" w:space="0" w:color="auto"/>
        <w:bottom w:val="none" w:sz="0" w:space="0" w:color="auto"/>
        <w:right w:val="none" w:sz="0" w:space="0" w:color="auto"/>
      </w:divBdr>
    </w:div>
    <w:div w:id="1403523884">
      <w:bodyDiv w:val="1"/>
      <w:marLeft w:val="0"/>
      <w:marRight w:val="0"/>
      <w:marTop w:val="0"/>
      <w:marBottom w:val="0"/>
      <w:divBdr>
        <w:top w:val="none" w:sz="0" w:space="0" w:color="auto"/>
        <w:left w:val="none" w:sz="0" w:space="0" w:color="auto"/>
        <w:bottom w:val="none" w:sz="0" w:space="0" w:color="auto"/>
        <w:right w:val="none" w:sz="0" w:space="0" w:color="auto"/>
      </w:divBdr>
    </w:div>
    <w:div w:id="1404253927">
      <w:bodyDiv w:val="1"/>
      <w:marLeft w:val="0"/>
      <w:marRight w:val="0"/>
      <w:marTop w:val="0"/>
      <w:marBottom w:val="0"/>
      <w:divBdr>
        <w:top w:val="none" w:sz="0" w:space="0" w:color="auto"/>
        <w:left w:val="none" w:sz="0" w:space="0" w:color="auto"/>
        <w:bottom w:val="none" w:sz="0" w:space="0" w:color="auto"/>
        <w:right w:val="none" w:sz="0" w:space="0" w:color="auto"/>
      </w:divBdr>
    </w:div>
    <w:div w:id="1420708830">
      <w:bodyDiv w:val="1"/>
      <w:marLeft w:val="0"/>
      <w:marRight w:val="0"/>
      <w:marTop w:val="0"/>
      <w:marBottom w:val="0"/>
      <w:divBdr>
        <w:top w:val="none" w:sz="0" w:space="0" w:color="auto"/>
        <w:left w:val="none" w:sz="0" w:space="0" w:color="auto"/>
        <w:bottom w:val="none" w:sz="0" w:space="0" w:color="auto"/>
        <w:right w:val="none" w:sz="0" w:space="0" w:color="auto"/>
      </w:divBdr>
    </w:div>
    <w:div w:id="1423528159">
      <w:bodyDiv w:val="1"/>
      <w:marLeft w:val="0"/>
      <w:marRight w:val="0"/>
      <w:marTop w:val="0"/>
      <w:marBottom w:val="0"/>
      <w:divBdr>
        <w:top w:val="none" w:sz="0" w:space="0" w:color="auto"/>
        <w:left w:val="none" w:sz="0" w:space="0" w:color="auto"/>
        <w:bottom w:val="none" w:sz="0" w:space="0" w:color="auto"/>
        <w:right w:val="none" w:sz="0" w:space="0" w:color="auto"/>
      </w:divBdr>
    </w:div>
    <w:div w:id="1437091403">
      <w:bodyDiv w:val="1"/>
      <w:marLeft w:val="0"/>
      <w:marRight w:val="0"/>
      <w:marTop w:val="0"/>
      <w:marBottom w:val="0"/>
      <w:divBdr>
        <w:top w:val="none" w:sz="0" w:space="0" w:color="auto"/>
        <w:left w:val="none" w:sz="0" w:space="0" w:color="auto"/>
        <w:bottom w:val="none" w:sz="0" w:space="0" w:color="auto"/>
        <w:right w:val="none" w:sz="0" w:space="0" w:color="auto"/>
      </w:divBdr>
    </w:div>
    <w:div w:id="1537817138">
      <w:bodyDiv w:val="1"/>
      <w:marLeft w:val="0"/>
      <w:marRight w:val="0"/>
      <w:marTop w:val="0"/>
      <w:marBottom w:val="0"/>
      <w:divBdr>
        <w:top w:val="none" w:sz="0" w:space="0" w:color="auto"/>
        <w:left w:val="none" w:sz="0" w:space="0" w:color="auto"/>
        <w:bottom w:val="none" w:sz="0" w:space="0" w:color="auto"/>
        <w:right w:val="none" w:sz="0" w:space="0" w:color="auto"/>
      </w:divBdr>
    </w:div>
    <w:div w:id="1574967381">
      <w:bodyDiv w:val="1"/>
      <w:marLeft w:val="0"/>
      <w:marRight w:val="0"/>
      <w:marTop w:val="0"/>
      <w:marBottom w:val="0"/>
      <w:divBdr>
        <w:top w:val="none" w:sz="0" w:space="0" w:color="auto"/>
        <w:left w:val="none" w:sz="0" w:space="0" w:color="auto"/>
        <w:bottom w:val="none" w:sz="0" w:space="0" w:color="auto"/>
        <w:right w:val="none" w:sz="0" w:space="0" w:color="auto"/>
      </w:divBdr>
    </w:div>
    <w:div w:id="1576360996">
      <w:bodyDiv w:val="1"/>
      <w:marLeft w:val="0"/>
      <w:marRight w:val="0"/>
      <w:marTop w:val="0"/>
      <w:marBottom w:val="0"/>
      <w:divBdr>
        <w:top w:val="none" w:sz="0" w:space="0" w:color="auto"/>
        <w:left w:val="none" w:sz="0" w:space="0" w:color="auto"/>
        <w:bottom w:val="none" w:sz="0" w:space="0" w:color="auto"/>
        <w:right w:val="none" w:sz="0" w:space="0" w:color="auto"/>
      </w:divBdr>
    </w:div>
    <w:div w:id="1625649815">
      <w:bodyDiv w:val="1"/>
      <w:marLeft w:val="0"/>
      <w:marRight w:val="0"/>
      <w:marTop w:val="0"/>
      <w:marBottom w:val="0"/>
      <w:divBdr>
        <w:top w:val="none" w:sz="0" w:space="0" w:color="auto"/>
        <w:left w:val="none" w:sz="0" w:space="0" w:color="auto"/>
        <w:bottom w:val="none" w:sz="0" w:space="0" w:color="auto"/>
        <w:right w:val="none" w:sz="0" w:space="0" w:color="auto"/>
      </w:divBdr>
    </w:div>
    <w:div w:id="1663242676">
      <w:bodyDiv w:val="1"/>
      <w:marLeft w:val="0"/>
      <w:marRight w:val="0"/>
      <w:marTop w:val="0"/>
      <w:marBottom w:val="0"/>
      <w:divBdr>
        <w:top w:val="none" w:sz="0" w:space="0" w:color="auto"/>
        <w:left w:val="none" w:sz="0" w:space="0" w:color="auto"/>
        <w:bottom w:val="none" w:sz="0" w:space="0" w:color="auto"/>
        <w:right w:val="none" w:sz="0" w:space="0" w:color="auto"/>
      </w:divBdr>
    </w:div>
    <w:div w:id="1726366420">
      <w:bodyDiv w:val="1"/>
      <w:marLeft w:val="0"/>
      <w:marRight w:val="0"/>
      <w:marTop w:val="0"/>
      <w:marBottom w:val="0"/>
      <w:divBdr>
        <w:top w:val="none" w:sz="0" w:space="0" w:color="auto"/>
        <w:left w:val="none" w:sz="0" w:space="0" w:color="auto"/>
        <w:bottom w:val="none" w:sz="0" w:space="0" w:color="auto"/>
        <w:right w:val="none" w:sz="0" w:space="0" w:color="auto"/>
      </w:divBdr>
    </w:div>
    <w:div w:id="1736735571">
      <w:bodyDiv w:val="1"/>
      <w:marLeft w:val="0"/>
      <w:marRight w:val="0"/>
      <w:marTop w:val="0"/>
      <w:marBottom w:val="0"/>
      <w:divBdr>
        <w:top w:val="none" w:sz="0" w:space="0" w:color="auto"/>
        <w:left w:val="none" w:sz="0" w:space="0" w:color="auto"/>
        <w:bottom w:val="none" w:sz="0" w:space="0" w:color="auto"/>
        <w:right w:val="none" w:sz="0" w:space="0" w:color="auto"/>
      </w:divBdr>
    </w:div>
    <w:div w:id="1775905465">
      <w:bodyDiv w:val="1"/>
      <w:marLeft w:val="0"/>
      <w:marRight w:val="0"/>
      <w:marTop w:val="0"/>
      <w:marBottom w:val="0"/>
      <w:divBdr>
        <w:top w:val="none" w:sz="0" w:space="0" w:color="auto"/>
        <w:left w:val="none" w:sz="0" w:space="0" w:color="auto"/>
        <w:bottom w:val="none" w:sz="0" w:space="0" w:color="auto"/>
        <w:right w:val="none" w:sz="0" w:space="0" w:color="auto"/>
      </w:divBdr>
    </w:div>
    <w:div w:id="1824542879">
      <w:bodyDiv w:val="1"/>
      <w:marLeft w:val="0"/>
      <w:marRight w:val="0"/>
      <w:marTop w:val="0"/>
      <w:marBottom w:val="0"/>
      <w:divBdr>
        <w:top w:val="none" w:sz="0" w:space="0" w:color="auto"/>
        <w:left w:val="none" w:sz="0" w:space="0" w:color="auto"/>
        <w:bottom w:val="none" w:sz="0" w:space="0" w:color="auto"/>
        <w:right w:val="none" w:sz="0" w:space="0" w:color="auto"/>
      </w:divBdr>
    </w:div>
    <w:div w:id="1833792808">
      <w:bodyDiv w:val="1"/>
      <w:marLeft w:val="0"/>
      <w:marRight w:val="0"/>
      <w:marTop w:val="0"/>
      <w:marBottom w:val="0"/>
      <w:divBdr>
        <w:top w:val="none" w:sz="0" w:space="0" w:color="auto"/>
        <w:left w:val="none" w:sz="0" w:space="0" w:color="auto"/>
        <w:bottom w:val="none" w:sz="0" w:space="0" w:color="auto"/>
        <w:right w:val="none" w:sz="0" w:space="0" w:color="auto"/>
      </w:divBdr>
    </w:div>
    <w:div w:id="1863743304">
      <w:bodyDiv w:val="1"/>
      <w:marLeft w:val="0"/>
      <w:marRight w:val="0"/>
      <w:marTop w:val="0"/>
      <w:marBottom w:val="0"/>
      <w:divBdr>
        <w:top w:val="none" w:sz="0" w:space="0" w:color="auto"/>
        <w:left w:val="none" w:sz="0" w:space="0" w:color="auto"/>
        <w:bottom w:val="none" w:sz="0" w:space="0" w:color="auto"/>
        <w:right w:val="none" w:sz="0" w:space="0" w:color="auto"/>
      </w:divBdr>
    </w:div>
    <w:div w:id="1871260264">
      <w:bodyDiv w:val="1"/>
      <w:marLeft w:val="0"/>
      <w:marRight w:val="0"/>
      <w:marTop w:val="0"/>
      <w:marBottom w:val="0"/>
      <w:divBdr>
        <w:top w:val="none" w:sz="0" w:space="0" w:color="auto"/>
        <w:left w:val="none" w:sz="0" w:space="0" w:color="auto"/>
        <w:bottom w:val="none" w:sz="0" w:space="0" w:color="auto"/>
        <w:right w:val="none" w:sz="0" w:space="0" w:color="auto"/>
      </w:divBdr>
    </w:div>
    <w:div w:id="1895502982">
      <w:bodyDiv w:val="1"/>
      <w:marLeft w:val="0"/>
      <w:marRight w:val="0"/>
      <w:marTop w:val="0"/>
      <w:marBottom w:val="0"/>
      <w:divBdr>
        <w:top w:val="none" w:sz="0" w:space="0" w:color="auto"/>
        <w:left w:val="none" w:sz="0" w:space="0" w:color="auto"/>
        <w:bottom w:val="none" w:sz="0" w:space="0" w:color="auto"/>
        <w:right w:val="none" w:sz="0" w:space="0" w:color="auto"/>
      </w:divBdr>
    </w:div>
    <w:div w:id="1907253483">
      <w:bodyDiv w:val="1"/>
      <w:marLeft w:val="0"/>
      <w:marRight w:val="0"/>
      <w:marTop w:val="0"/>
      <w:marBottom w:val="0"/>
      <w:divBdr>
        <w:top w:val="none" w:sz="0" w:space="0" w:color="auto"/>
        <w:left w:val="none" w:sz="0" w:space="0" w:color="auto"/>
        <w:bottom w:val="none" w:sz="0" w:space="0" w:color="auto"/>
        <w:right w:val="none" w:sz="0" w:space="0" w:color="auto"/>
      </w:divBdr>
    </w:div>
    <w:div w:id="1926842676">
      <w:bodyDiv w:val="1"/>
      <w:marLeft w:val="0"/>
      <w:marRight w:val="0"/>
      <w:marTop w:val="0"/>
      <w:marBottom w:val="0"/>
      <w:divBdr>
        <w:top w:val="none" w:sz="0" w:space="0" w:color="auto"/>
        <w:left w:val="none" w:sz="0" w:space="0" w:color="auto"/>
        <w:bottom w:val="none" w:sz="0" w:space="0" w:color="auto"/>
        <w:right w:val="none" w:sz="0" w:space="0" w:color="auto"/>
      </w:divBdr>
    </w:div>
    <w:div w:id="1949199539">
      <w:bodyDiv w:val="1"/>
      <w:marLeft w:val="0"/>
      <w:marRight w:val="0"/>
      <w:marTop w:val="0"/>
      <w:marBottom w:val="0"/>
      <w:divBdr>
        <w:top w:val="none" w:sz="0" w:space="0" w:color="auto"/>
        <w:left w:val="none" w:sz="0" w:space="0" w:color="auto"/>
        <w:bottom w:val="none" w:sz="0" w:space="0" w:color="auto"/>
        <w:right w:val="none" w:sz="0" w:space="0" w:color="auto"/>
      </w:divBdr>
    </w:div>
    <w:div w:id="2005624746">
      <w:bodyDiv w:val="1"/>
      <w:marLeft w:val="0"/>
      <w:marRight w:val="0"/>
      <w:marTop w:val="0"/>
      <w:marBottom w:val="0"/>
      <w:divBdr>
        <w:top w:val="none" w:sz="0" w:space="0" w:color="auto"/>
        <w:left w:val="none" w:sz="0" w:space="0" w:color="auto"/>
        <w:bottom w:val="none" w:sz="0" w:space="0" w:color="auto"/>
        <w:right w:val="none" w:sz="0" w:space="0" w:color="auto"/>
      </w:divBdr>
    </w:div>
    <w:div w:id="2013100686">
      <w:bodyDiv w:val="1"/>
      <w:marLeft w:val="0"/>
      <w:marRight w:val="0"/>
      <w:marTop w:val="0"/>
      <w:marBottom w:val="0"/>
      <w:divBdr>
        <w:top w:val="none" w:sz="0" w:space="0" w:color="auto"/>
        <w:left w:val="none" w:sz="0" w:space="0" w:color="auto"/>
        <w:bottom w:val="none" w:sz="0" w:space="0" w:color="auto"/>
        <w:right w:val="none" w:sz="0" w:space="0" w:color="auto"/>
      </w:divBdr>
    </w:div>
    <w:div w:id="2065789837">
      <w:bodyDiv w:val="1"/>
      <w:marLeft w:val="0"/>
      <w:marRight w:val="0"/>
      <w:marTop w:val="0"/>
      <w:marBottom w:val="0"/>
      <w:divBdr>
        <w:top w:val="none" w:sz="0" w:space="0" w:color="auto"/>
        <w:left w:val="none" w:sz="0" w:space="0" w:color="auto"/>
        <w:bottom w:val="none" w:sz="0" w:space="0" w:color="auto"/>
        <w:right w:val="none" w:sz="0" w:space="0" w:color="auto"/>
      </w:divBdr>
    </w:div>
    <w:div w:id="21466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17</ap:Pages>
  <ap:Words>6875</ap:Words>
  <ap:Characters>37818</ap:Characters>
  <ap:DocSecurity>0</ap:DocSecurity>
  <ap:Lines>315</ap:Lines>
  <ap:Paragraphs>89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44604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2025-03-26T15:28:00.0000000Z</lastPrinted>
  <dcterms:created xsi:type="dcterms:W3CDTF">2025-03-28T15:08:00.0000000Z</dcterms:created>
  <dcterms:modified xsi:type="dcterms:W3CDTF">2025-03-28T15:08:00.0000000Z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BZ_Country">
    <vt:lpwstr>2;#Not applicable|ec01d90b-9d0f-4785-8785-e1ea615196bf</vt:lpwstr>
  </property>
  <property fmtid="{D5CDD505-2E9C-101B-9397-08002B2CF9AE}" pid="4" name="BZ_Theme">
    <vt:lpwstr>8;#EU policy-making|62445f8a-7f88-4a05-90cb-30e854042045</vt:lpwstr>
  </property>
  <property fmtid="{D5CDD505-2E9C-101B-9397-08002B2CF9AE}" pid="5" name="BZ_Classification">
    <vt:lpwstr>4;#UNCLASSIFIED|d92c6340-bc14-4cb2-a9a6-6deda93c493b;#9;#NO MARKING|879e64ec-6597-483b-94db-f5f70afd7299</vt:lpwstr>
  </property>
  <property fmtid="{D5CDD505-2E9C-101B-9397-08002B2CF9AE}" pid="6" name="BZ_Forum">
    <vt:lpwstr>3;#EU|4d8f9873-61b3-4ee5-b6f7-0bb00c6df5e8</vt:lpwstr>
  </property>
  <property fmtid="{D5CDD505-2E9C-101B-9397-08002B2CF9AE}" pid="7" name="BZForumOrganisation">
    <vt:lpwstr>2;#Not applicable|0049e722-bfb1-4a3f-9d08-af7366a9af40</vt:lpwstr>
  </property>
  <property fmtid="{D5CDD505-2E9C-101B-9397-08002B2CF9AE}" pid="8" name="gc2efd3bfea04f7f8169be07009f5536">
    <vt:lpwstr/>
  </property>
  <property fmtid="{D5CDD505-2E9C-101B-9397-08002B2CF9AE}" pid="9" name="BZDossierBudgetManager">
    <vt:lpwstr/>
  </property>
  <property fmtid="{D5CDD505-2E9C-101B-9397-08002B2CF9AE}" pid="10" name="BZDossierSendTo">
    <vt:lpwstr/>
  </property>
  <property fmtid="{D5CDD505-2E9C-101B-9397-08002B2CF9AE}" pid="11" name="BZTheme">
    <vt:lpwstr>1;#Not applicable|ec01d90b-9d0f-4785-8785-e1ea615196bf</vt:lpwstr>
  </property>
  <property fmtid="{D5CDD505-2E9C-101B-9397-08002B2CF9AE}" pid="12" name="BZDossierResponsibleDepartment">
    <vt:lpwstr/>
  </property>
  <property fmtid="{D5CDD505-2E9C-101B-9397-08002B2CF9AE}" pid="13" name="BZCountryState">
    <vt:lpwstr>3;#Not applicable|ec01d90b-9d0f-4785-8785-e1ea615196bf</vt:lpwstr>
  </property>
  <property fmtid="{D5CDD505-2E9C-101B-9397-08002B2CF9AE}" pid="14" name="BZDossierGovernmentOfficial">
    <vt:lpwstr/>
  </property>
  <property fmtid="{D5CDD505-2E9C-101B-9397-08002B2CF9AE}" pid="15" name="BZDossierProcessLocation">
    <vt:lpwstr/>
  </property>
  <property fmtid="{D5CDD505-2E9C-101B-9397-08002B2CF9AE}" pid="16" name="BZMarking">
    <vt:lpwstr>5;#NO MARKING|0a4eb9ae-69eb-4d9e-b573-43ab99ef8592</vt:lpwstr>
  </property>
  <property fmtid="{D5CDD505-2E9C-101B-9397-08002B2CF9AE}" pid="17" name="i42ef48d5fa942a0ad0d60e44f201751">
    <vt:lpwstr/>
  </property>
  <property fmtid="{D5CDD505-2E9C-101B-9397-08002B2CF9AE}" pid="18" name="BZDossierPublishingWOOCategory">
    <vt:lpwstr/>
  </property>
  <property fmtid="{D5CDD505-2E9C-101B-9397-08002B2CF9AE}" pid="19" name="f2fb2a8e39404f1ab554e4e4a49d2918">
    <vt:lpwstr/>
  </property>
  <property fmtid="{D5CDD505-2E9C-101B-9397-08002B2CF9AE}" pid="20" name="BZClassification">
    <vt:lpwstr>4;#UNCLASSIFIED (U)|284e6a62-15ab-4017-be27-a1e965f4e940</vt:lpwstr>
  </property>
  <property fmtid="{D5CDD505-2E9C-101B-9397-08002B2CF9AE}" pid="21" name="f8e003236e1c4ac2ab9051d5d8789bbb">
    <vt:lpwstr/>
  </property>
  <property fmtid="{D5CDD505-2E9C-101B-9397-08002B2CF9AE}" pid="22" name="p29721a54a5c4bbe9786e930fc91e270">
    <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_dlc_DocIdItemGuid">
    <vt:lpwstr>e0da82b0-4db1-459b-ba83-d80bb4ced6b8</vt:lpwstr>
  </property>
  <property fmtid="{D5CDD505-2E9C-101B-9397-08002B2CF9AE}" pid="27" name="_docset_NoMedatataSyncRequired">
    <vt:lpwstr>False</vt:lpwstr>
  </property>
  <property fmtid="{D5CDD505-2E9C-101B-9397-08002B2CF9AE}" pid="28" name="ClassificationContentMarkingFooterShapeIds">
    <vt:lpwstr>c0b4418,428fc177,1b8b9c2a</vt:lpwstr>
  </property>
  <property fmtid="{D5CDD505-2E9C-101B-9397-08002B2CF9AE}" pid="29" name="ClassificationContentMarkingFooterFontProps">
    <vt:lpwstr>#000000,10,Calibri</vt:lpwstr>
  </property>
  <property fmtid="{D5CDD505-2E9C-101B-9397-08002B2CF9AE}" pid="30" name="ClassificationContentMarkingFooterText">
    <vt:lpwstr>Intern gebruik</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2025-03-12T08:19:21Z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040b12d2-1a0c-4116-b0c9-a9d3a5edded0</vt:lpwstr>
  </property>
  <property fmtid="{D5CDD505-2E9C-101B-9397-08002B2CF9AE}" pid="37" name="MSIP_Label_6800fede-0e59-47ad-af95-4e63bbdb932d_ContentBits">
    <vt:lpwstr>0</vt:lpwstr>
  </property>
</Properties>
</file>