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2025Z06043</w:t>
        <w:br/>
      </w:r>
      <w:proofErr w:type="spellEnd"/>
    </w:p>
    <w:p>
      <w:pPr>
        <w:pStyle w:val="Normal"/>
        <w:rPr>
          <w:b w:val="1"/>
          <w:bCs w:val="1"/>
        </w:rPr>
      </w:pPr>
      <w:r w:rsidR="250AE766">
        <w:rPr>
          <w:b w:val="0"/>
          <w:bCs w:val="0"/>
        </w:rPr>
        <w:t>(ingezonden 31 maart 2025)</w:t>
        <w:br/>
      </w:r>
    </w:p>
    <w:p>
      <w:r>
        <w:t xml:space="preserve">Vragen van leden Dassen (Volt) en Patijn (Groenlinks-PvdA) aan de minister van Sociale Zaken en Werkgelegenheid over het rapport ‘Verkenning wettelijk minimumjeugdloon’ en de rapportage van onderzoeksbureau Blauw ‘Jongeren en het minimumjeugdloon’.</w:t>
      </w:r>
      <w:r>
        <w:br/>
      </w:r>
    </w:p>
    <w:p>
      <w:pPr>
        <w:pStyle w:val="ListParagraph"/>
        <w:numPr>
          <w:ilvl w:val="0"/>
          <w:numId w:val="100473740"/>
        </w:numPr>
        <w:ind w:left="360"/>
      </w:pPr>
      <w:r>
        <w:t>Kunt u een eerste reflectie geven over het rapport ‘Verkenning wettelijk minimumjeugdloon’? 1)</w:t>
      </w:r>
      <w:r>
        <w:br/>
      </w:r>
    </w:p>
    <w:p>
      <w:pPr>
        <w:pStyle w:val="ListParagraph"/>
        <w:numPr>
          <w:ilvl w:val="0"/>
          <w:numId w:val="100473740"/>
        </w:numPr>
        <w:ind w:left="360"/>
      </w:pPr>
      <w:r>
        <w:t>Op welke gronden is er gekozen voor de huidige varianten in het rapport?</w:t>
      </w:r>
      <w:r>
        <w:br/>
      </w:r>
    </w:p>
    <w:p>
      <w:pPr>
        <w:pStyle w:val="ListParagraph"/>
        <w:numPr>
          <w:ilvl w:val="0"/>
          <w:numId w:val="100473740"/>
        </w:numPr>
        <w:ind w:left="360"/>
      </w:pPr>
      <w:r>
        <w:t>Welke varianten zijn wel doorgerekend, maar staan niet in het rapport?</w:t>
      </w:r>
      <w:r>
        <w:br/>
      </w:r>
    </w:p>
    <w:p>
      <w:pPr>
        <w:pStyle w:val="ListParagraph"/>
        <w:numPr>
          <w:ilvl w:val="0"/>
          <w:numId w:val="100473740"/>
        </w:numPr>
        <w:ind w:left="360"/>
      </w:pPr>
      <w:r>
        <w:t>Kunt u op basis van de beleidsvarianten van de verkenning al een eerste voorkeur delen? Zo niet, waarom niet? </w:t>
      </w:r>
      <w:r>
        <w:br/>
      </w:r>
    </w:p>
    <w:p>
      <w:pPr>
        <w:pStyle w:val="ListParagraph"/>
        <w:numPr>
          <w:ilvl w:val="0"/>
          <w:numId w:val="100473740"/>
        </w:numPr>
        <w:ind w:left="360"/>
      </w:pPr>
      <w:r>
        <w:t>In de verkenning wordt gezegd dat het doel van het minimumjeugdloon is om te bepalen wat een aanvaardbare tegenprestatie is, kunt u uitleggen waarom een aanvaardbare tegenprestatie voor mensen tot 21 jaar lager is dan voor mensen vanaf 21 jaar? Zeker als uit onderzoek blijkt dat de productiviteit ongeveer hetzelfde is over alle leeftijden?</w:t>
      </w:r>
      <w:r>
        <w:br/>
      </w:r>
    </w:p>
    <w:p>
      <w:pPr>
        <w:pStyle w:val="ListParagraph"/>
        <w:numPr>
          <w:ilvl w:val="0"/>
          <w:numId w:val="100473740"/>
        </w:numPr>
        <w:ind w:left="360"/>
      </w:pPr>
      <w:r>
        <w:t>In de verkenning wordt geconstateerd dat er geen aantoonbaar verband is tussen het jeugdloon en een lagere werkloosheid en minder vroegtijdig schoolverlaters, dit verband is niet gevonden bij eerdere verlagingen en ook internationaal gezien niet, waarom worden die twee zaken dan nog steeds als redenen aangedragen om het jeugdloon in stand te houden?</w:t>
      </w:r>
      <w:r>
        <w:br/>
      </w:r>
    </w:p>
    <w:p>
      <w:pPr>
        <w:pStyle w:val="ListParagraph"/>
        <w:numPr>
          <w:ilvl w:val="0"/>
          <w:numId w:val="100473740"/>
        </w:numPr>
        <w:ind w:left="360"/>
      </w:pPr>
      <w:r>
        <w:t>Constaterende dat in de verkenning staat dat studenten en onderwijsinstellingen zien dat studenten moeite hebben met rond komen, MBO-studenten geven aan dat 45% van de MBO- studenten niet kan rondkomen, een kwart kampt met schulden en betalingsachterstanden en voelen bovengemiddeld veel druk en dat vertegenwoordigers van Hbo-studenten stellen dat zij veel financiële stress ervaren wat hun welzijn onder druk zet, hoe rijmt u dit met de conclusies in het onderzoek van Blauw?</w:t>
      </w:r>
      <w:r>
        <w:br/>
      </w:r>
    </w:p>
    <w:p>
      <w:pPr>
        <w:pStyle w:val="ListParagraph"/>
        <w:numPr>
          <w:ilvl w:val="0"/>
          <w:numId w:val="100473740"/>
        </w:numPr>
        <w:ind w:left="360"/>
      </w:pPr>
      <w:r>
        <w:t>In internationaal perspectief zien we in de verkenning dat jongeren tussen 15 en 20 jaar in andere landen meer verdienen en dat jongeren van 18 in de meeste landen significant meer verdienen, wat vindt u van deze twee constateringen in de verkenning?</w:t>
      </w:r>
      <w:r>
        <w:br/>
      </w:r>
    </w:p>
    <w:p>
      <w:pPr>
        <w:pStyle w:val="ListParagraph"/>
        <w:numPr>
          <w:ilvl w:val="0"/>
          <w:numId w:val="100473740"/>
        </w:numPr>
        <w:ind w:left="360"/>
      </w:pPr>
      <w:r>
        <w:t>Kunt u reflecteren op het gegeven dat zeven van de twintig respondenten in het onderzoek van Blauw stellen dat het loon wat ze krijgen bedoeld is voor “voorzien levensonderhoud”? </w:t>
      </w:r>
      <w:r>
        <w:br/>
      </w:r>
    </w:p>
    <w:p>
      <w:pPr>
        <w:pStyle w:val="ListParagraph"/>
        <w:numPr>
          <w:ilvl w:val="0"/>
          <w:numId w:val="100473740"/>
        </w:numPr>
        <w:ind w:left="360"/>
      </w:pPr>
      <w:r>
        <w:t>Kunt u reflecteren op het gegeven dat negen van de 20 respondenten tussen de 11-32 uur werken naast hun opleiding?  Wat vindt u een acceptabel aantal uur om te werken naast het volgen van de een opleiding?</w:t>
      </w:r>
      <w:r>
        <w:br/>
      </w:r>
    </w:p>
    <w:p>
      <w:pPr>
        <w:pStyle w:val="ListParagraph"/>
        <w:numPr>
          <w:ilvl w:val="0"/>
          <w:numId w:val="100473740"/>
        </w:numPr>
        <w:ind w:left="360"/>
      </w:pPr>
      <w:r>
        <w:t>Vindt u 30 euro als onkostenvergoeding voor deelname aan een interview genoeg? Kunt u aangeven op basis van welke criteria de totstandkoming van de onkostenvergoeding is gesteld? En bent u op de hoogte dat dit twee keer zo hoog is als het minimumloon? </w:t>
      </w:r>
      <w:r>
        <w:br/>
      </w:r>
    </w:p>
    <w:p>
      <w:pPr>
        <w:pStyle w:val="ListParagraph"/>
        <w:numPr>
          <w:ilvl w:val="0"/>
          <w:numId w:val="100473740"/>
        </w:numPr>
        <w:ind w:left="360"/>
      </w:pPr>
      <w:r>
        <w:t>Kunt u een overzicht maken waarin de determinanten van het afhankelijk zijn van het jeugdloon staan uitgesplitst? Kunt u aangeven hoe veel mensen gelijktijdig te maken hebben met alle determinanten minus 1 (in plaats van allemaal)? Kunt u aangeven hoe veel mensen gelijktijdig te maken hebben met alle determinanten minus 2 (in plaats van allemaal)?</w:t>
      </w:r>
      <w:r>
        <w:br/>
      </w:r>
    </w:p>
    <w:p>
      <w:pPr>
        <w:pStyle w:val="ListParagraph"/>
        <w:numPr>
          <w:ilvl w:val="0"/>
          <w:numId w:val="100473740"/>
        </w:numPr>
        <w:ind w:left="360"/>
      </w:pPr>
      <w:r>
        <w:t>Is er overwogen om het jeugdminimumloon uit te drukken in een relatieve factor (zoals het mediane of gemiddelde loon) om de internationale analyse helder te krijgen? Wat zouden de resultaten zijn?</w:t>
      </w:r>
      <w:r>
        <w:br/>
      </w:r>
    </w:p>
    <w:p>
      <w:pPr>
        <w:pStyle w:val="ListParagraph"/>
        <w:numPr>
          <w:ilvl w:val="0"/>
          <w:numId w:val="100473740"/>
        </w:numPr>
        <w:ind w:left="360"/>
      </w:pPr>
      <w:r>
        <w:t>Deelt u de opvatting dat het minimumloon an sich toereikend moet zijn volgens de Europese Unie (EU)-richtlijn toereikende minimumlonen, nog los van het feit dat het minimumloon evenredig en niet-discriminatoir moet zijn?</w:t>
      </w:r>
      <w:r>
        <w:br/>
      </w:r>
    </w:p>
    <w:p>
      <w:pPr>
        <w:pStyle w:val="ListParagraph"/>
        <w:numPr>
          <w:ilvl w:val="0"/>
          <w:numId w:val="100473740"/>
        </w:numPr>
        <w:ind w:left="360"/>
      </w:pPr>
      <w:r>
        <w:t>Op welke manier is onderzocht of het minimumloon evenredig en niet-discriminatoir is? Heeft er ook een juridische analyse plaatsgevonden? Zo ja, wilt u deze aan de Kamer sturen? Zo nee, wilt u dit alsnog doen?</w:t>
      </w:r>
      <w:r>
        <w:br/>
      </w:r>
    </w:p>
    <w:p>
      <w:pPr>
        <w:pStyle w:val="ListParagraph"/>
        <w:numPr>
          <w:ilvl w:val="0"/>
          <w:numId w:val="100473740"/>
        </w:numPr>
        <w:ind w:left="360"/>
      </w:pPr>
      <w:r>
        <w:t>Hoe veel budget zit er op dit moment in de enveloppe groepen in de knel? Welk van deze middelen is juridisch verplicht? Welk deel is anderzijds reeds bestemd?</w:t>
      </w:r>
      <w:r>
        <w:br/>
      </w:r>
    </w:p>
    <w:p>
      <w:pPr>
        <w:pStyle w:val="ListParagraph"/>
        <w:numPr>
          <w:ilvl w:val="0"/>
          <w:numId w:val="100473740"/>
        </w:numPr>
        <w:ind w:left="360"/>
      </w:pPr>
      <w:r>
        <w:t>Wanneer stuurt u de kabinetsreactie naar de Kamer? Kunnen we deze met de voorjaarsnota verwachten? Kan een kabinetsbrede reactie uiterlijk voor het zomerreces naar de Kamer worden gestuurd? Zo niet, waarom niet?</w:t>
      </w:r>
      <w:r>
        <w:br/>
      </w:r>
    </w:p>
    <w:p>
      <w:pPr>
        <w:pStyle w:val="ListParagraph"/>
        <w:numPr>
          <w:ilvl w:val="0"/>
          <w:numId w:val="100473740"/>
        </w:numPr>
        <w:ind w:left="360"/>
      </w:pPr>
      <w:r>
        <w:t>Kunt u alle bovenstaande vragen één voor één beantwoorden?</w:t>
      </w:r>
      <w:r>
        <w:br/>
      </w:r>
    </w:p>
    <w:p>
      <w:r>
        <w:t xml:space="preserve"> </w:t>
      </w:r>
      <w:r>
        <w:br/>
      </w:r>
    </w:p>
    <w:p>
      <w:r>
        <w:t xml:space="preserve">1) Bijlage bij Kamerstuk 36 545, nr. 18.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40">
    <w:abstractNumId w:val="100473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