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52DA" w:rsidP="004552DA" w:rsidRDefault="004552DA" w14:paraId="141F5480" w14:textId="77777777">
      <w:pPr>
        <w:spacing w:line="276" w:lineRule="auto"/>
      </w:pPr>
      <w:r>
        <w:t>Geachte voorzitter,</w:t>
      </w:r>
      <w:r>
        <w:tab/>
      </w:r>
    </w:p>
    <w:p w:rsidRPr="00596168" w:rsidR="004552DA" w:rsidP="004552DA" w:rsidRDefault="004552DA" w14:paraId="10F960E2" w14:textId="77777777">
      <w:pPr>
        <w:spacing w:line="276" w:lineRule="auto"/>
      </w:pPr>
    </w:p>
    <w:p w:rsidRPr="00596168" w:rsidR="004552DA" w:rsidP="004552DA" w:rsidRDefault="004552DA" w14:paraId="4A068249" w14:textId="54EA6883">
      <w:pPr>
        <w:spacing w:line="276" w:lineRule="auto"/>
      </w:pPr>
      <w:bookmarkStart w:name="_Hlk163662500" w:id="0"/>
      <w:bookmarkStart w:name="_Hlk194320168" w:id="1"/>
      <w:r w:rsidRPr="00596168">
        <w:t xml:space="preserve">Op </w:t>
      </w:r>
      <w:r>
        <w:t xml:space="preserve">7 maart </w:t>
      </w:r>
      <w:r w:rsidRPr="00596168">
        <w:t xml:space="preserve">jl. publiceerde de Europese Commissie een </w:t>
      </w:r>
      <w:r>
        <w:t>voorstel voor het verlengen met drie jaar van de huidige opschorting van vrijwaringsmaatregelen op Oekraïens ijzer en staal</w:t>
      </w:r>
      <w:r w:rsidR="004F758E">
        <w:t>.</w:t>
      </w:r>
      <w:r>
        <w:rPr>
          <w:rStyle w:val="FootnoteReference"/>
        </w:rPr>
        <w:footnoteReference w:id="1"/>
      </w:r>
      <w:r>
        <w:t xml:space="preserve"> </w:t>
      </w:r>
      <w:r w:rsidRPr="001303A6">
        <w:t xml:space="preserve">Gezien </w:t>
      </w:r>
      <w:r w:rsidRPr="00596168">
        <w:t xml:space="preserve">het belang dat het kabinet hecht aan </w:t>
      </w:r>
      <w:r>
        <w:t>het</w:t>
      </w:r>
      <w:r w:rsidRPr="00596168">
        <w:t xml:space="preserve"> tijdig inform</w:t>
      </w:r>
      <w:r>
        <w:t>eren</w:t>
      </w:r>
      <w:r w:rsidRPr="00596168">
        <w:t xml:space="preserve"> </w:t>
      </w:r>
      <w:r>
        <w:t>v</w:t>
      </w:r>
      <w:r w:rsidRPr="00596168">
        <w:t>an uw Kame</w:t>
      </w:r>
      <w:r>
        <w:t xml:space="preserve">r, </w:t>
      </w:r>
      <w:r w:rsidRPr="001303A6">
        <w:t xml:space="preserve">de </w:t>
      </w:r>
      <w:r>
        <w:t xml:space="preserve">voorziene </w:t>
      </w:r>
      <w:r w:rsidRPr="001303A6">
        <w:t xml:space="preserve">snelheid van </w:t>
      </w:r>
      <w:r>
        <w:t>het</w:t>
      </w:r>
      <w:r w:rsidRPr="001303A6">
        <w:t xml:space="preserve"> Brusselse</w:t>
      </w:r>
      <w:r w:rsidRPr="00596168">
        <w:t xml:space="preserve"> onderhandelingsproces, </w:t>
      </w:r>
      <w:r>
        <w:t>en het feit dat het voorliggende voorstel een reeds bestaande opschorting verlengt, heb ik er</w:t>
      </w:r>
      <w:r w:rsidRPr="00596168">
        <w:t xml:space="preserve">voor gekozen u per brief een appreciatie van </w:t>
      </w:r>
      <w:r>
        <w:t>het voorstel te doen toekomen</w:t>
      </w:r>
      <w:r w:rsidRPr="00596168">
        <w:t xml:space="preserve"> in plaats van </w:t>
      </w:r>
      <w:r>
        <w:t>per</w:t>
      </w:r>
      <w:r w:rsidRPr="00596168">
        <w:t xml:space="preserve"> BNC-fiche.</w:t>
      </w:r>
    </w:p>
    <w:p w:rsidRPr="00596168" w:rsidR="004552DA" w:rsidP="004552DA" w:rsidRDefault="004552DA" w14:paraId="76C10F98" w14:textId="77777777">
      <w:pPr>
        <w:spacing w:line="276" w:lineRule="auto"/>
      </w:pPr>
    </w:p>
    <w:p w:rsidR="004552DA" w:rsidP="004552DA" w:rsidRDefault="004552DA" w14:paraId="67803BB1" w14:textId="527C0822">
      <w:pPr>
        <w:spacing w:line="276" w:lineRule="auto"/>
      </w:pPr>
      <w:r w:rsidRPr="00C60C73">
        <w:t>De</w:t>
      </w:r>
      <w:r>
        <w:t>ze</w:t>
      </w:r>
      <w:r w:rsidRPr="00C60C73">
        <w:t xml:space="preserve"> brief </w:t>
      </w:r>
      <w:r>
        <w:t xml:space="preserve">zal eerst de inhoud en motivatie van het voorstel bespreken, om vervolgens de impact van het voorstel in te schatten en daarna de Nederlandse positie ten aanzien van het voorstel toe te lichten. </w:t>
      </w:r>
      <w:r w:rsidR="000B7D50">
        <w:t xml:space="preserve"> </w:t>
      </w:r>
    </w:p>
    <w:p w:rsidR="004552DA" w:rsidP="004552DA" w:rsidRDefault="004552DA" w14:paraId="3D7EF0B5" w14:textId="77777777">
      <w:pPr>
        <w:spacing w:line="276" w:lineRule="auto"/>
      </w:pPr>
    </w:p>
    <w:p w:rsidRPr="0036384A" w:rsidR="004552DA" w:rsidP="004552DA" w:rsidRDefault="004552DA" w14:paraId="49E52FD0" w14:textId="77777777">
      <w:pPr>
        <w:spacing w:line="276" w:lineRule="auto"/>
        <w:rPr>
          <w:b/>
          <w:bCs/>
        </w:rPr>
      </w:pPr>
      <w:r>
        <w:rPr>
          <w:b/>
          <w:bCs/>
        </w:rPr>
        <w:t>Inhoud van het voorstel</w:t>
      </w:r>
    </w:p>
    <w:p w:rsidR="00F1042C" w:rsidP="004552DA" w:rsidRDefault="00F1042C" w14:paraId="26DCD629" w14:textId="77777777">
      <w:pPr>
        <w:spacing w:line="276" w:lineRule="auto"/>
      </w:pPr>
      <w:r w:rsidRPr="00CB3201">
        <w:t xml:space="preserve">Sinds 2018 heeft de EU vrijwaringsmaatregelen ingesteld op de import van </w:t>
      </w:r>
      <w:r>
        <w:t xml:space="preserve">bepaalde staal- en ijzerproducten, om economische schade voor Europese staalproducenten te voorkomen. </w:t>
      </w:r>
      <w:r w:rsidR="004552DA">
        <w:t xml:space="preserve">Het </w:t>
      </w:r>
      <w:r>
        <w:t xml:space="preserve">nu voorliggende </w:t>
      </w:r>
      <w:r w:rsidR="004552DA">
        <w:t>voorstel voorziet in het verlengen van de huidige opschorting van vrijwaringsmaatregelen op staal- en ijzerproducten afkomstig uit Oekraïne.</w:t>
      </w:r>
      <w:r>
        <w:t xml:space="preserve"> Daarmee wordt voorkomen dat Oekraïne met de tarieven onder de vrijwaringsmaatregelen wordt geconfronteerd bij de export van ijzer en staal naar de EU.</w:t>
      </w:r>
      <w:r w:rsidR="004552DA">
        <w:t xml:space="preserve"> </w:t>
      </w:r>
    </w:p>
    <w:p w:rsidR="00F1042C" w:rsidP="004552DA" w:rsidRDefault="00F1042C" w14:paraId="753762BD" w14:textId="77777777">
      <w:pPr>
        <w:spacing w:line="276" w:lineRule="auto"/>
      </w:pPr>
    </w:p>
    <w:p w:rsidR="004552DA" w:rsidP="004552DA" w:rsidRDefault="004552DA" w14:paraId="78681327" w14:textId="0D82288D">
      <w:pPr>
        <w:spacing w:line="276" w:lineRule="auto"/>
      </w:pPr>
      <w:r>
        <w:t xml:space="preserve">De opschorting </w:t>
      </w:r>
      <w:r w:rsidR="00F1042C">
        <w:t>wa</w:t>
      </w:r>
      <w:r>
        <w:t xml:space="preserve">s onderdeel van het eerste pakket aan autonome handelsmaatregelen voor Oekraïne, dat op 4 juni 2022 in werking getreden </w:t>
      </w:r>
      <w:r w:rsidR="00096384">
        <w:t>is</w:t>
      </w:r>
      <w:r w:rsidR="004F758E">
        <w:t>.</w:t>
      </w:r>
      <w:r>
        <w:rPr>
          <w:rStyle w:val="FootnoteReference"/>
        </w:rPr>
        <w:footnoteReference w:id="2"/>
      </w:r>
      <w:r>
        <w:t xml:space="preserve"> De maatregel is vervolgens onderdeel geweest van de twee </w:t>
      </w:r>
      <w:r w:rsidRPr="005479B0">
        <w:t>éé</w:t>
      </w:r>
      <w:r>
        <w:t>njarige verlengingen van de autonome handelsmaatregelen</w:t>
      </w:r>
      <w:r w:rsidR="004F758E">
        <w:t>.</w:t>
      </w:r>
      <w:r>
        <w:rPr>
          <w:rStyle w:val="FootnoteReference"/>
        </w:rPr>
        <w:footnoteReference w:id="3"/>
      </w:r>
      <w:r>
        <w:t xml:space="preserve"> Deze maatregelen lopen per 5 juni a.s. af</w:t>
      </w:r>
      <w:r w:rsidR="00096384">
        <w:t>.</w:t>
      </w:r>
      <w:r>
        <w:t xml:space="preserve"> </w:t>
      </w:r>
    </w:p>
    <w:p w:rsidR="004552DA" w:rsidP="004552DA" w:rsidRDefault="004552DA" w14:paraId="4BB3C224" w14:textId="77777777">
      <w:pPr>
        <w:spacing w:line="276" w:lineRule="auto"/>
      </w:pPr>
    </w:p>
    <w:p w:rsidR="004552DA" w:rsidP="004552DA" w:rsidRDefault="004552DA" w14:paraId="4A2BCC66" w14:textId="571944F6">
      <w:pPr>
        <w:spacing w:line="276" w:lineRule="auto"/>
      </w:pPr>
      <w:r>
        <w:t xml:space="preserve">De duur van de </w:t>
      </w:r>
      <w:r w:rsidR="00F1042C">
        <w:t xml:space="preserve">nu voorgestelde verlenging van de </w:t>
      </w:r>
      <w:r>
        <w:t xml:space="preserve">opschorting is voor een aanvankelijke periode van drie jaar na inwerkingtreding, met daaropvolgende stilzwijgende verlengingen van nogmaals drie jaar. De Raad of het Europees </w:t>
      </w:r>
      <w:r>
        <w:lastRenderedPageBreak/>
        <w:t xml:space="preserve">Parlement kan verlenging voorkomen door uiterlijk drie maanden voor het verstrijken van een driejarige periode aan te geven tegen verlenging te zijn. </w:t>
      </w:r>
    </w:p>
    <w:p w:rsidR="004552DA" w:rsidP="004552DA" w:rsidRDefault="004552DA" w14:paraId="0D4D3F6C" w14:textId="77777777">
      <w:pPr>
        <w:spacing w:line="276" w:lineRule="auto"/>
      </w:pPr>
    </w:p>
    <w:p w:rsidR="004552DA" w:rsidP="004552DA" w:rsidRDefault="00096384" w14:paraId="6786C7F5" w14:textId="2C04D006">
      <w:pPr>
        <w:spacing w:line="276" w:lineRule="auto"/>
      </w:pPr>
      <w:r>
        <w:t xml:space="preserve">In het voorstel wordt aan </w:t>
      </w:r>
      <w:r w:rsidR="00F1042C">
        <w:t>d</w:t>
      </w:r>
      <w:r w:rsidRPr="00797B35" w:rsidR="004552DA">
        <w:t xml:space="preserve">e Commissie </w:t>
      </w:r>
      <w:r w:rsidR="00F1042C">
        <w:t xml:space="preserve">een uitvoerende </w:t>
      </w:r>
      <w:r w:rsidR="004552DA">
        <w:t>bevoegdheid toe</w:t>
      </w:r>
      <w:r w:rsidR="00F1042C">
        <w:t>gekend</w:t>
      </w:r>
      <w:r w:rsidR="004552DA">
        <w:t xml:space="preserve"> om tijdelijk de opschorting te kunnen pauzeren voor een specifiek product als dat nodig is. Dit is een nieuwe bevoegdheid ten opzichte van de huidige autonome handelsmaatregelen en biedt meer handelingsperspectief mocht de opschorting onverwacht toch tot problemen bij de </w:t>
      </w:r>
      <w:r>
        <w:t xml:space="preserve">Europese </w:t>
      </w:r>
      <w:r w:rsidR="004552DA">
        <w:t>staalsector leiden</w:t>
      </w:r>
      <w:r w:rsidR="00F1042C">
        <w:t>.</w:t>
      </w:r>
    </w:p>
    <w:p w:rsidRPr="00797B35" w:rsidR="004552DA" w:rsidP="004552DA" w:rsidRDefault="004552DA" w14:paraId="38B1E4E9" w14:textId="77777777">
      <w:pPr>
        <w:spacing w:line="276" w:lineRule="auto"/>
      </w:pPr>
    </w:p>
    <w:p w:rsidR="004552DA" w:rsidP="004552DA" w:rsidRDefault="004552DA" w14:paraId="47812F5A" w14:textId="77777777">
      <w:pPr>
        <w:spacing w:line="276" w:lineRule="auto"/>
        <w:rPr>
          <w:b/>
          <w:bCs/>
        </w:rPr>
      </w:pPr>
      <w:r>
        <w:rPr>
          <w:b/>
          <w:bCs/>
        </w:rPr>
        <w:t>Motivatie van het voorstel</w:t>
      </w:r>
    </w:p>
    <w:p w:rsidR="004552DA" w:rsidP="004552DA" w:rsidRDefault="004552DA" w14:paraId="42027DB1" w14:textId="77777777">
      <w:pPr>
        <w:spacing w:line="276" w:lineRule="auto"/>
        <w:rPr>
          <w:rFonts w:eastAsia="Arial Unicode MS"/>
          <w:noProof/>
        </w:rPr>
      </w:pPr>
      <w:r>
        <w:rPr>
          <w:rFonts w:eastAsia="Arial Unicode MS"/>
          <w:noProof/>
        </w:rPr>
        <w:t xml:space="preserve">De Europese Commissie motiveert het voorstel met een beroep op de noodzaak om Oekraïne economisch te blijven steunen. </w:t>
      </w:r>
      <w:r w:rsidRPr="0056703F">
        <w:rPr>
          <w:rFonts w:eastAsia="Arial Unicode MS"/>
          <w:noProof/>
        </w:rPr>
        <w:t>De Russische</w:t>
      </w:r>
      <w:r>
        <w:rPr>
          <w:rFonts w:eastAsia="Arial Unicode MS"/>
          <w:noProof/>
        </w:rPr>
        <w:t xml:space="preserve"> grootschalige</w:t>
      </w:r>
      <w:r w:rsidRPr="0056703F">
        <w:rPr>
          <w:rFonts w:eastAsia="Arial Unicode MS"/>
          <w:noProof/>
        </w:rPr>
        <w:t xml:space="preserve"> </w:t>
      </w:r>
      <w:r>
        <w:rPr>
          <w:rFonts w:eastAsia="Arial Unicode MS"/>
          <w:noProof/>
        </w:rPr>
        <w:t>invasie van</w:t>
      </w:r>
      <w:r w:rsidRPr="0056703F">
        <w:rPr>
          <w:rFonts w:eastAsia="Arial Unicode MS"/>
          <w:noProof/>
        </w:rPr>
        <w:t xml:space="preserve"> Oekraïne heeft een blijvend negatief effect op de Oekraïense economie.</w:t>
      </w:r>
      <w:r>
        <w:rPr>
          <w:rFonts w:eastAsia="Arial Unicode MS"/>
          <w:noProof/>
        </w:rPr>
        <w:t xml:space="preserve"> Deze</w:t>
      </w:r>
      <w:r w:rsidRPr="0056703F">
        <w:rPr>
          <w:rFonts w:eastAsia="Arial Unicode MS"/>
          <w:noProof/>
        </w:rPr>
        <w:t xml:space="preserve"> opschorting van importheffingen op Oekraïense producten </w:t>
      </w:r>
      <w:r>
        <w:rPr>
          <w:rFonts w:eastAsia="Arial Unicode MS"/>
          <w:noProof/>
        </w:rPr>
        <w:t xml:space="preserve">komt </w:t>
      </w:r>
      <w:r w:rsidRPr="0056703F">
        <w:rPr>
          <w:rFonts w:eastAsia="Arial Unicode MS"/>
          <w:noProof/>
        </w:rPr>
        <w:t xml:space="preserve">tegemoet aan het verzoek van Oekraïne aan de EU om steun te verlenen aan het behoud van de Oekraïense handelspositie en verdieping van de handelsrelatie met de EU. </w:t>
      </w:r>
      <w:r>
        <w:rPr>
          <w:rFonts w:eastAsia="Arial Unicode MS"/>
          <w:noProof/>
        </w:rPr>
        <w:t xml:space="preserve">De autonome handelsmaatregelen hebben volgens de Commissie Oekraïense bedrijven flexibiliteit en zekerheid geboden, maar deze lopen per 5 juni a.s. af. Exporten van staal en ijzer blijven een belangrijke inkomstenbron voor de Oekraïense economie, ondanks dat veel staalfabrieken door Rusland bezet of verwoest zijn. Dit voorstel verzekert daarom de markttoegang tot de EU voor Oekraïense staal- en ijzerproducenten. </w:t>
      </w:r>
    </w:p>
    <w:p w:rsidR="004552DA" w:rsidP="004552DA" w:rsidRDefault="004552DA" w14:paraId="749CBBA6" w14:textId="77777777">
      <w:pPr>
        <w:spacing w:line="276" w:lineRule="auto"/>
        <w:rPr>
          <w:rFonts w:eastAsia="Arial Unicode MS"/>
          <w:noProof/>
        </w:rPr>
      </w:pPr>
    </w:p>
    <w:p w:rsidR="004552DA" w:rsidP="004552DA" w:rsidRDefault="004552DA" w14:paraId="3BD7D307" w14:textId="77777777">
      <w:pPr>
        <w:spacing w:line="276" w:lineRule="auto"/>
        <w:rPr>
          <w:b/>
          <w:bCs/>
        </w:rPr>
      </w:pPr>
      <w:r w:rsidRPr="00AF7843">
        <w:rPr>
          <w:b/>
          <w:bCs/>
        </w:rPr>
        <w:t>Impact van het voorstel</w:t>
      </w:r>
    </w:p>
    <w:p w:rsidR="004552DA" w:rsidP="004552DA" w:rsidRDefault="004552DA" w14:paraId="61C799F8" w14:textId="77777777">
      <w:pPr>
        <w:spacing w:line="276" w:lineRule="auto"/>
      </w:pPr>
      <w:r>
        <w:t xml:space="preserve">Er is geen verandering ten opzichte van de status quo te verwachten, aangezien op dit moment Oekraïne reeds uitgezonderd is van de vrijwaringsmaatregelen. De impact hiervan op de Nederlandse staal- en ijzersector is klein geweest, gezien de relatief kleine volumes van Oekraïense staal- en ijzerexporten naar de EU en Nederland als gevolg van de Russische agressieoorlog tegen Oekraïne. </w:t>
      </w:r>
    </w:p>
    <w:p w:rsidR="004552DA" w:rsidP="004552DA" w:rsidRDefault="004552DA" w14:paraId="416AA48C" w14:textId="77777777">
      <w:pPr>
        <w:spacing w:line="276" w:lineRule="auto"/>
      </w:pPr>
    </w:p>
    <w:p w:rsidR="004552DA" w:rsidP="004552DA" w:rsidRDefault="004552DA" w14:paraId="33376674" w14:textId="77777777">
      <w:pPr>
        <w:spacing w:line="276" w:lineRule="auto"/>
        <w:rPr>
          <w:b/>
          <w:bCs/>
        </w:rPr>
      </w:pPr>
      <w:r w:rsidRPr="001E65C5">
        <w:rPr>
          <w:b/>
          <w:bCs/>
        </w:rPr>
        <w:t>Nederlandse positie ten aanzien van het voorstel</w:t>
      </w:r>
    </w:p>
    <w:p w:rsidRPr="001E65C5" w:rsidR="004552DA" w:rsidP="004552DA" w:rsidRDefault="004552DA" w14:paraId="6F623094" w14:textId="77777777">
      <w:pPr>
        <w:spacing w:line="276" w:lineRule="auto"/>
        <w:rPr>
          <w:b/>
          <w:bCs/>
        </w:rPr>
      </w:pPr>
    </w:p>
    <w:p w:rsidRPr="001E65C5" w:rsidR="004552DA" w:rsidP="004552DA" w:rsidRDefault="004552DA" w14:paraId="24EE7FB3" w14:textId="77777777">
      <w:pPr>
        <w:spacing w:line="276" w:lineRule="auto"/>
        <w:rPr>
          <w:i/>
          <w:iCs/>
        </w:rPr>
      </w:pPr>
      <w:r w:rsidRPr="001E65C5">
        <w:rPr>
          <w:i/>
          <w:iCs/>
        </w:rPr>
        <w:t>Essentie Nederlands beleid op dit terrein</w:t>
      </w:r>
    </w:p>
    <w:p w:rsidR="004552DA" w:rsidP="004552DA" w:rsidRDefault="004552DA" w14:paraId="6CA5B916" w14:textId="77777777">
      <w:pPr>
        <w:spacing w:line="276" w:lineRule="auto"/>
      </w:pPr>
      <w:r>
        <w:t xml:space="preserve">Het kabinet heeft de grootschalige Russische invasie van Oekraïne ten scherpste veroordeeld. De Russische oorlog tegen Oekraïne is de grootste geopolitieke inbreuk op de internationale politieke en economische stabiliteit sinds de Tweede Wereldoorlog en een flagrante schending van het internationaal recht. </w:t>
      </w:r>
      <w:r w:rsidRPr="00B72373">
        <w:t>De voortdurende Russische agressie vraagt om onverminderde steun aan Oekraïne. Dit geldt ook voor steun aan de Oekraïense economie, die hard wordt geraakt door de oorlog die in het land woedt.</w:t>
      </w:r>
    </w:p>
    <w:p w:rsidR="004552DA" w:rsidP="004552DA" w:rsidRDefault="004552DA" w14:paraId="2CBA70A3" w14:textId="77777777">
      <w:pPr>
        <w:spacing w:line="276" w:lineRule="auto"/>
      </w:pPr>
    </w:p>
    <w:p w:rsidR="004552DA" w:rsidP="004552DA" w:rsidRDefault="004552DA" w14:paraId="077FE992" w14:textId="77777777">
      <w:pPr>
        <w:spacing w:line="276" w:lineRule="auto"/>
      </w:pPr>
      <w:r w:rsidRPr="00B72373">
        <w:t>Het kabinet verwelkomde in 2022</w:t>
      </w:r>
      <w:r>
        <w:t>,</w:t>
      </w:r>
      <w:r w:rsidRPr="00B72373">
        <w:t xml:space="preserve"> 2023</w:t>
      </w:r>
      <w:r>
        <w:t xml:space="preserve"> en 2024</w:t>
      </w:r>
      <w:r w:rsidRPr="00B72373">
        <w:t xml:space="preserve"> de (verlenging van de)</w:t>
      </w:r>
      <w:r>
        <w:t xml:space="preserve"> autonome handelsmaatregelen</w:t>
      </w:r>
      <w:r w:rsidRPr="00B72373">
        <w:t xml:space="preserve">, omdat tijdelijke opschorting van importheffingen op Oekraïense producten </w:t>
      </w:r>
      <w:r>
        <w:t>ma</w:t>
      </w:r>
      <w:r w:rsidRPr="00B72373">
        <w:t xml:space="preserve">atregelen mogelijk een deel van de negatieve economische consequenties voor Oekraïne als gevolg van de oorlog kunnen mitigeren. </w:t>
      </w:r>
    </w:p>
    <w:p w:rsidR="004552DA" w:rsidP="004552DA" w:rsidRDefault="004552DA" w14:paraId="51303D09" w14:textId="77777777">
      <w:pPr>
        <w:spacing w:line="276" w:lineRule="auto"/>
      </w:pPr>
    </w:p>
    <w:p w:rsidR="004552DA" w:rsidP="004552DA" w:rsidRDefault="004552DA" w14:paraId="42A2688C" w14:textId="77777777">
      <w:pPr>
        <w:spacing w:line="276" w:lineRule="auto"/>
      </w:pPr>
      <w:r w:rsidRPr="001E65C5">
        <w:rPr>
          <w:i/>
          <w:iCs/>
        </w:rPr>
        <w:t>Beoordeling en inzet ten aanzien van het voorstel</w:t>
      </w:r>
    </w:p>
    <w:p w:rsidR="004552DA" w:rsidP="004552DA" w:rsidRDefault="004552DA" w14:paraId="6B919A60" w14:textId="35F505B3">
      <w:pPr>
        <w:spacing w:line="276" w:lineRule="auto"/>
      </w:pPr>
      <w:r w:rsidRPr="00B72373">
        <w:t>Gelet op het blijvend</w:t>
      </w:r>
      <w:r>
        <w:t>e</w:t>
      </w:r>
      <w:r w:rsidRPr="00B72373">
        <w:t xml:space="preserve"> belang van economische steun, zal het kabinet de voorgestelde </w:t>
      </w:r>
      <w:r>
        <w:t xml:space="preserve">verlenging van de opschorting van vrijwaringsmaatregelen op ijzer </w:t>
      </w:r>
      <w:r>
        <w:lastRenderedPageBreak/>
        <w:t>en staal</w:t>
      </w:r>
      <w:r w:rsidRPr="00B72373">
        <w:t xml:space="preserve"> steunen.</w:t>
      </w:r>
      <w:r>
        <w:t xml:space="preserve"> Het kabinet zal tijdens de onderhandelingen vragen stellen over de betrokkenheid van lidstaten bij verdere verlenging</w:t>
      </w:r>
      <w:r w:rsidR="00B94FAC">
        <w:t>en</w:t>
      </w:r>
      <w:r>
        <w:t xml:space="preserve"> van de </w:t>
      </w:r>
      <w:r w:rsidR="00B94FAC">
        <w:t>opschorting</w:t>
      </w:r>
      <w:r>
        <w:t xml:space="preserve"> </w:t>
      </w:r>
      <w:r w:rsidR="00B94FAC">
        <w:t xml:space="preserve">van de vrijwaringsmaatregelen </w:t>
      </w:r>
      <w:r>
        <w:t xml:space="preserve">en bij het eventueel pauzeren </w:t>
      </w:r>
      <w:r w:rsidR="00B94FAC">
        <w:t>hiervan</w:t>
      </w:r>
      <w:r>
        <w:t xml:space="preserve">. </w:t>
      </w:r>
    </w:p>
    <w:p w:rsidR="004552DA" w:rsidP="004552DA" w:rsidRDefault="004552DA" w14:paraId="4BDC34B5" w14:textId="77777777">
      <w:pPr>
        <w:spacing w:line="276" w:lineRule="auto"/>
      </w:pPr>
    </w:p>
    <w:p w:rsidR="004552DA" w:rsidP="004552DA" w:rsidRDefault="004552DA" w14:paraId="59DEE9E1" w14:textId="2F492A91">
      <w:pPr>
        <w:spacing w:line="276" w:lineRule="auto"/>
      </w:pPr>
      <w:r>
        <w:t>Daarnaast is het voor het kabinet van belang om, naast deze maatregelen op ijzer- en staalproducten, ook de andere elementen uit de autonome handelsmaatregelen te bestendigen</w:t>
      </w:r>
      <w:r w:rsidR="00DC6AA6">
        <w:t xml:space="preserve">. Deze maatregelen </w:t>
      </w:r>
      <w:r>
        <w:t xml:space="preserve">verlopen op 5 juni a.s. Nederland </w:t>
      </w:r>
      <w:r w:rsidR="00DC6AA6">
        <w:t>zal</w:t>
      </w:r>
      <w:r>
        <w:t xml:space="preserve"> in Brussel </w:t>
      </w:r>
      <w:r w:rsidR="00DC6AA6">
        <w:t xml:space="preserve">aandacht blijven </w:t>
      </w:r>
      <w:r>
        <w:t xml:space="preserve">vragen </w:t>
      </w:r>
      <w:r w:rsidR="00DC6AA6">
        <w:t xml:space="preserve">voor </w:t>
      </w:r>
      <w:r>
        <w:t xml:space="preserve">aanvullende </w:t>
      </w:r>
      <w:r w:rsidR="00DC6AA6">
        <w:t>voorstellen om ook de andere elementen van de handelsmaatregelen, waaronder verbeterde markttoegang voor Oekraïense landbouwproducten, zo goed mogelijk te bestendigen</w:t>
      </w:r>
      <w:r>
        <w:t xml:space="preserve">. </w:t>
      </w:r>
    </w:p>
    <w:p w:rsidR="004552DA" w:rsidP="004552DA" w:rsidRDefault="004552DA" w14:paraId="57BF4CAE" w14:textId="77777777">
      <w:pPr>
        <w:spacing w:line="276" w:lineRule="auto"/>
      </w:pPr>
    </w:p>
    <w:p w:rsidR="004552DA" w:rsidP="004552DA" w:rsidRDefault="004552DA" w14:paraId="60ED9749" w14:textId="05839DA3">
      <w:pPr>
        <w:spacing w:line="276" w:lineRule="auto"/>
      </w:pPr>
      <w:r>
        <w:t xml:space="preserve">De Commissie is nu bezig uit te werken hoe de autonome handelsmaatregelen opgevolgd kunnen worden; het voorliggende voorstel regelt dit </w:t>
      </w:r>
      <w:r w:rsidR="00DC6AA6">
        <w:t xml:space="preserve">enkel </w:t>
      </w:r>
      <w:r>
        <w:t>op het gebied van staal en ijzer. Tijdens de onderhandelingen over de laatste verlenging van de autonome handelsmaatregelen heeft de Commissie toegezegd aan de slag te gaan met permanente wederzijdse tariefliberalisatie met Oekra</w:t>
      </w:r>
      <w:r w:rsidRPr="005479B0">
        <w:t>ïn</w:t>
      </w:r>
      <w:r>
        <w:t>e onder artikel 29 van het Associatieakkoord, waarmee ook opvolging van de autonome handelsmaatregelen op het gebied van landbouwgoederen veilig zou worden gesteld. Hier ligt echter nog geen concreet voorstel op voor. Ik zal uw Kamer uiteraard informeren zodra de Commissie hier een voorstel voor doet. Ondertussen zal het kabinet zich in Brussel inzetten voor bestendiging en waar mogelijk verbreding van Oekraïense toegang tot de Europese markt, in lijn met de motie-</w:t>
      </w:r>
      <w:proofErr w:type="spellStart"/>
      <w:r>
        <w:t>Paternotte</w:t>
      </w:r>
      <w:proofErr w:type="spellEnd"/>
      <w:r>
        <w:t xml:space="preserve"> en Kamminga</w:t>
      </w:r>
      <w:r w:rsidR="004F758E">
        <w:t>.</w:t>
      </w:r>
      <w:r>
        <w:rPr>
          <w:rStyle w:val="FootnoteReference"/>
        </w:rPr>
        <w:footnoteReference w:id="4"/>
      </w:r>
    </w:p>
    <w:p w:rsidR="004552DA" w:rsidP="004552DA" w:rsidRDefault="004552DA" w14:paraId="15D1B0D3" w14:textId="77777777">
      <w:pPr>
        <w:spacing w:line="276" w:lineRule="auto"/>
      </w:pPr>
    </w:p>
    <w:p w:rsidRPr="005808CD" w:rsidR="004552DA" w:rsidP="004552DA" w:rsidRDefault="004552DA" w14:paraId="2879584F" w14:textId="77777777">
      <w:pPr>
        <w:spacing w:line="276" w:lineRule="auto"/>
        <w:rPr>
          <w:i/>
          <w:iCs/>
        </w:rPr>
      </w:pPr>
      <w:r>
        <w:rPr>
          <w:i/>
          <w:iCs/>
        </w:rPr>
        <w:t>Eerste inschatting krachtenveld</w:t>
      </w:r>
    </w:p>
    <w:p w:rsidRPr="00E10491" w:rsidR="004552DA" w:rsidP="004552DA" w:rsidRDefault="004552DA" w14:paraId="523D9761" w14:textId="77777777">
      <w:pPr>
        <w:spacing w:line="276" w:lineRule="auto"/>
      </w:pPr>
      <w:r w:rsidRPr="00E10491">
        <w:t xml:space="preserve">Naar verwachting zal binnen de Raad </w:t>
      </w:r>
      <w:r>
        <w:t>een gekwalificeerde meerderheid van de lidstaten het voorstel steunen. Ook binnen het Europees Parlement lijkt er steun te bestaan voor dit voorstel. In het verleden was dit onderdeel van de autonome handelsmaatregelen niet controversieel.</w:t>
      </w:r>
    </w:p>
    <w:p w:rsidRPr="00C60C73" w:rsidR="004552DA" w:rsidP="004552DA" w:rsidRDefault="004552DA" w14:paraId="1FE5456C" w14:textId="77777777">
      <w:pPr>
        <w:spacing w:line="276" w:lineRule="auto"/>
        <w:rPr>
          <w:i/>
          <w:iCs/>
          <w:highlight w:val="cyan"/>
        </w:rPr>
      </w:pPr>
    </w:p>
    <w:p w:rsidRPr="001116B9" w:rsidR="004552DA" w:rsidP="004552DA" w:rsidRDefault="004552DA" w14:paraId="39A50A44" w14:textId="77777777">
      <w:pPr>
        <w:spacing w:line="276" w:lineRule="auto"/>
        <w:rPr>
          <w:b/>
          <w:bCs/>
        </w:rPr>
      </w:pPr>
      <w:r w:rsidRPr="001116B9">
        <w:rPr>
          <w:b/>
          <w:bCs/>
        </w:rPr>
        <w:t>Overige beoordelingen en implicaties</w:t>
      </w:r>
    </w:p>
    <w:p w:rsidR="004552DA" w:rsidP="004552DA" w:rsidRDefault="004552DA" w14:paraId="0B8797DE" w14:textId="4B71E0EF">
      <w:pPr>
        <w:spacing w:line="276" w:lineRule="auto"/>
      </w:pPr>
      <w:r w:rsidRPr="00064356">
        <w:t xml:space="preserve">Aangezien het voorstel voor de verlenging van de </w:t>
      </w:r>
      <w:r>
        <w:t>opschorting van de vrijwaringsmaatregelen identiek is aan het gedeelte van de autonome handelsmaatregelen dat hierop ziet,</w:t>
      </w:r>
      <w:r w:rsidRPr="00064356">
        <w:t xml:space="preserve"> zijn de oordelen ten aanzien van bevoegdheid, subsidiariteit en proportionaliteit ongewijzigd vergeleken met deze oordelen voor de huidige </w:t>
      </w:r>
      <w:r>
        <w:t>autonome handelsmaatregelen</w:t>
      </w:r>
      <w:r w:rsidR="004F758E">
        <w:t>.</w:t>
      </w:r>
      <w:r>
        <w:rPr>
          <w:rStyle w:val="FootnoteReference"/>
        </w:rPr>
        <w:footnoteReference w:id="5"/>
      </w:r>
    </w:p>
    <w:p w:rsidR="004552DA" w:rsidP="004552DA" w:rsidRDefault="004552DA" w14:paraId="6BD9C5DC" w14:textId="77777777">
      <w:pPr>
        <w:spacing w:line="276" w:lineRule="auto"/>
      </w:pPr>
    </w:p>
    <w:p w:rsidR="004552DA" w:rsidP="004552DA" w:rsidRDefault="004552DA" w14:paraId="1C887B31" w14:textId="77777777">
      <w:pPr>
        <w:spacing w:line="276" w:lineRule="auto"/>
      </w:pPr>
      <w:r w:rsidRPr="00064356">
        <w:t xml:space="preserve">Hierbij werd positief geoordeeld over de bevoegdheid (gebaseerd op artikel 207, lid 2 van het EU-Werkingsverdrag). Het subsidiariteitsbeginsel is en was niet van toepassing, gezien de exclusieve bevoegdheid van de Unie op het terrein van de gemeenschappelijke handelspolitiek (artikel 3, lid 1, sub e) van het EU-Werkingsverdrag). Het oordeel ten aanzien van de proportionaliteit is positief. De voorgestelde </w:t>
      </w:r>
      <w:r>
        <w:t>opschorting van vrijwaringsmaatregelen op ijzer en staal is</w:t>
      </w:r>
      <w:r w:rsidRPr="00064356">
        <w:t xml:space="preserve"> proportioneel aan het doel om handelsroutes zo veel mogelijk open te houden en economische banden met Oekraïne te verdiepen. </w:t>
      </w:r>
      <w:r>
        <w:t xml:space="preserve">Hierbij is een duur van drie jaar – met daaropvolgende mogelijke verlengingen van steeds drie jaar – een redelijke </w:t>
      </w:r>
      <w:r>
        <w:lastRenderedPageBreak/>
        <w:t>tijdsperiode, met het oog op de mogelijke duur van de Russische oorlog tegen Oekra</w:t>
      </w:r>
      <w:r w:rsidRPr="00FB668A">
        <w:t>ï</w:t>
      </w:r>
      <w:r>
        <w:t>ne en de noodzaak tot zekerheid en voorspelbaarheid voor Oekraïense staal- en ijzerproducenten. Ook de aan de Commissie toegekende uitvoeringsbevoegdheid om de opschorting tijdelijk te schorsen in geval van (een dreiging van) ernstige schade voor de EU-industrie is mogelijk en wenselijk.</w:t>
      </w:r>
      <w:r w:rsidRPr="00064356">
        <w:t xml:space="preserve"> De appreciatie ten aanzien van de financiële implicaties en de gevolgen voor de regeldruk en administratieve lasten is ook ongewijzigd vergeleken met de beoordeling van de huidige verordening. </w:t>
      </w:r>
      <w:r>
        <w:t>Er zijn geen financiële implicaties ten opzichte van de status quo, en ook</w:t>
      </w:r>
      <w:r w:rsidRPr="00064356">
        <w:t xml:space="preserve"> levert de verlenging geen extra regeldruk en administratieve lasten op.</w:t>
      </w:r>
    </w:p>
    <w:p w:rsidRPr="00C60C73" w:rsidR="004552DA" w:rsidP="004552DA" w:rsidRDefault="004552DA" w14:paraId="3AEABA6D" w14:textId="77777777">
      <w:pPr>
        <w:spacing w:line="276" w:lineRule="auto"/>
        <w:rPr>
          <w:b/>
          <w:highlight w:val="cyan"/>
        </w:rPr>
      </w:pPr>
    </w:p>
    <w:p w:rsidR="004552DA" w:rsidP="004552DA" w:rsidRDefault="004552DA" w14:paraId="59FEC734" w14:textId="77777777">
      <w:pPr>
        <w:spacing w:line="276" w:lineRule="auto"/>
      </w:pPr>
      <w:r w:rsidRPr="001116B9">
        <w:rPr>
          <w:iCs/>
          <w:lang w:eastAsia="zh-CN"/>
        </w:rPr>
        <w:t>Wat de geopolitieke consequenties betreft,</w:t>
      </w:r>
      <w:r>
        <w:rPr>
          <w:iCs/>
          <w:lang w:eastAsia="zh-CN"/>
        </w:rPr>
        <w:t xml:space="preserve"> is het voorstel van belang om de Oekraïense economische positie te blijven ondersteunen</w:t>
      </w:r>
      <w:bookmarkEnd w:id="0"/>
      <w:r>
        <w:rPr>
          <w:iCs/>
          <w:lang w:eastAsia="zh-CN"/>
        </w:rPr>
        <w:t xml:space="preserve">. Dit is noodzakelijk om de Oekraïense militaire positie ten opzichte van Rusland niet te laten verzwakken. </w:t>
      </w:r>
    </w:p>
    <w:p w:rsidR="004552DA" w:rsidP="004552DA" w:rsidRDefault="004552DA" w14:paraId="1E2D0D67" w14:textId="77777777">
      <w:pPr>
        <w:spacing w:line="276" w:lineRule="auto"/>
      </w:pPr>
    </w:p>
    <w:p w:rsidRPr="00380719" w:rsidR="004552DA" w:rsidP="004552DA" w:rsidRDefault="004552DA" w14:paraId="4167F765" w14:textId="77777777">
      <w:pPr>
        <w:spacing w:line="276" w:lineRule="auto"/>
        <w:rPr>
          <w:b/>
          <w:bCs/>
        </w:rPr>
      </w:pPr>
      <w:r w:rsidRPr="00380719">
        <w:rPr>
          <w:b/>
          <w:bCs/>
        </w:rPr>
        <w:t>Uitvoeringsaspecten</w:t>
      </w:r>
    </w:p>
    <w:p w:rsidR="004552DA" w:rsidP="004552DA" w:rsidRDefault="004552DA" w14:paraId="4C8AA266" w14:textId="77777777">
      <w:pPr>
        <w:spacing w:line="276" w:lineRule="auto"/>
      </w:pPr>
      <w:r>
        <w:t>Bij de implementatie van de inhoud van het voorstel zijn geen problemen voorzien. Wel kost de handhaving inspanningen van de Douane die door middel van het prioriteren van de verschillende fiscale controles zijn gevonden in de huidige personele capaciteit.</w:t>
      </w:r>
    </w:p>
    <w:bookmarkEnd w:id="1"/>
    <w:p w:rsidRPr="00C22AEE" w:rsidR="004552DA" w:rsidP="004552DA" w:rsidRDefault="004552DA" w14:paraId="7D85128B" w14:textId="77777777">
      <w:pPr>
        <w:spacing w:line="276" w:lineRule="auto"/>
      </w:pPr>
    </w:p>
    <w:p w:rsidRPr="00C22AEE" w:rsidR="004552DA" w:rsidP="004552DA" w:rsidRDefault="004552DA" w14:paraId="7525697C" w14:textId="77777777">
      <w:pPr>
        <w:spacing w:line="276" w:lineRule="auto"/>
      </w:pPr>
    </w:p>
    <w:p w:rsidRPr="00C22AEE" w:rsidR="004552DA" w:rsidP="004552DA" w:rsidRDefault="004552DA" w14:paraId="374CB827" w14:textId="77777777">
      <w:pPr>
        <w:spacing w:line="276" w:lineRule="auto"/>
      </w:pPr>
    </w:p>
    <w:p w:rsidR="004552DA" w:rsidP="004552DA" w:rsidRDefault="004552DA" w14:paraId="15417E9F" w14:textId="77777777">
      <w:pPr>
        <w:spacing w:line="276" w:lineRule="auto"/>
      </w:pPr>
      <w:r w:rsidRPr="001116B9">
        <w:t xml:space="preserve">De </w:t>
      </w:r>
      <w:r>
        <w:t>m</w:t>
      </w:r>
      <w:r w:rsidRPr="001116B9">
        <w:t>inister voor Buitenlandse Handel</w:t>
      </w:r>
    </w:p>
    <w:p w:rsidRPr="001116B9" w:rsidR="004552DA" w:rsidP="004552DA" w:rsidRDefault="004552DA" w14:paraId="0CA3540F" w14:textId="77777777">
      <w:pPr>
        <w:spacing w:line="276" w:lineRule="auto"/>
        <w:rPr>
          <w:b/>
        </w:rPr>
      </w:pPr>
      <w:r w:rsidRPr="001116B9">
        <w:t>en Ontwikkeling</w:t>
      </w:r>
      <w:r>
        <w:t>shulp</w:t>
      </w:r>
      <w:r w:rsidRPr="001116B9">
        <w:t>,</w:t>
      </w:r>
      <w:r>
        <w:br/>
      </w:r>
    </w:p>
    <w:p w:rsidRPr="001116B9" w:rsidR="004552DA" w:rsidP="004552DA" w:rsidRDefault="004552DA" w14:paraId="70DC8310" w14:textId="77777777">
      <w:pPr>
        <w:spacing w:line="276" w:lineRule="auto"/>
        <w:rPr>
          <w:b/>
        </w:rPr>
      </w:pPr>
    </w:p>
    <w:p w:rsidRPr="001116B9" w:rsidR="004552DA" w:rsidP="004552DA" w:rsidRDefault="004552DA" w14:paraId="569CDED1" w14:textId="77777777">
      <w:pPr>
        <w:spacing w:line="276" w:lineRule="auto"/>
        <w:rPr>
          <w:b/>
        </w:rPr>
      </w:pPr>
    </w:p>
    <w:p w:rsidRPr="001116B9" w:rsidR="004552DA" w:rsidP="004552DA" w:rsidRDefault="004552DA" w14:paraId="5B1CE83E" w14:textId="77777777">
      <w:pPr>
        <w:spacing w:line="276" w:lineRule="auto"/>
        <w:rPr>
          <w:b/>
        </w:rPr>
      </w:pPr>
    </w:p>
    <w:p w:rsidRPr="001116B9" w:rsidR="004552DA" w:rsidP="004552DA" w:rsidRDefault="004552DA" w14:paraId="7F067713" w14:textId="77777777">
      <w:pPr>
        <w:spacing w:line="276" w:lineRule="auto"/>
        <w:rPr>
          <w:b/>
        </w:rPr>
      </w:pPr>
    </w:p>
    <w:p w:rsidRPr="007F789E" w:rsidR="004552DA" w:rsidP="004552DA" w:rsidRDefault="004552DA" w14:paraId="36130AF7" w14:textId="77777777">
      <w:pPr>
        <w:spacing w:line="276" w:lineRule="auto"/>
        <w:rPr>
          <w:b/>
          <w:lang w:val="de-DE"/>
        </w:rPr>
      </w:pPr>
      <w:r w:rsidRPr="0097455A">
        <w:rPr>
          <w:lang w:val="de-DE"/>
        </w:rPr>
        <w:t>R</w:t>
      </w:r>
      <w:r>
        <w:rPr>
          <w:lang w:val="de-DE"/>
        </w:rPr>
        <w:t>einette</w:t>
      </w:r>
      <w:r w:rsidRPr="0097455A">
        <w:rPr>
          <w:lang w:val="de-DE"/>
        </w:rPr>
        <w:t xml:space="preserve"> Klever </w:t>
      </w:r>
    </w:p>
    <w:p w:rsidRPr="007F789E" w:rsidR="004552DA" w:rsidP="004552DA" w:rsidRDefault="004552DA" w14:paraId="13987156" w14:textId="77777777">
      <w:pPr>
        <w:spacing w:after="160" w:line="276" w:lineRule="auto"/>
        <w:rPr>
          <w:lang w:val="de-DE"/>
        </w:rPr>
      </w:pPr>
    </w:p>
    <w:p w:rsidRPr="004552DA" w:rsidR="006D3A32" w:rsidP="004552DA" w:rsidRDefault="006D3A32" w14:paraId="7B629626" w14:textId="77777777"/>
    <w:sectPr w:rsidRPr="004552DA" w:rsidR="006D3A32">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2962F" w14:textId="77777777" w:rsidR="00573F75" w:rsidRDefault="00573F75">
      <w:pPr>
        <w:spacing w:line="240" w:lineRule="auto"/>
      </w:pPr>
      <w:r>
        <w:separator/>
      </w:r>
    </w:p>
  </w:endnote>
  <w:endnote w:type="continuationSeparator" w:id="0">
    <w:p w14:paraId="7B629631" w14:textId="77777777" w:rsidR="00573F75" w:rsidRDefault="00573F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CB0BB" w14:textId="77777777" w:rsidR="00A24EA9" w:rsidRDefault="00A24E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399E5" w14:textId="77777777" w:rsidR="00A24EA9" w:rsidRDefault="00A24E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2803D" w14:textId="77777777" w:rsidR="00A24EA9" w:rsidRDefault="00A24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2962B" w14:textId="77777777" w:rsidR="00573F75" w:rsidRDefault="00573F75">
      <w:pPr>
        <w:spacing w:line="240" w:lineRule="auto"/>
      </w:pPr>
      <w:r>
        <w:separator/>
      </w:r>
    </w:p>
  </w:footnote>
  <w:footnote w:type="continuationSeparator" w:id="0">
    <w:p w14:paraId="7B62962D" w14:textId="77777777" w:rsidR="00573F75" w:rsidRDefault="00573F75">
      <w:pPr>
        <w:spacing w:line="240" w:lineRule="auto"/>
      </w:pPr>
      <w:r>
        <w:continuationSeparator/>
      </w:r>
    </w:p>
  </w:footnote>
  <w:footnote w:id="1">
    <w:p w14:paraId="5A40AE48" w14:textId="77777777" w:rsidR="004552DA" w:rsidRPr="004F758E" w:rsidRDefault="004552DA" w:rsidP="004552DA">
      <w:pPr>
        <w:pStyle w:val="FootnoteText"/>
        <w:rPr>
          <w:sz w:val="16"/>
          <w:szCs w:val="16"/>
          <w:lang w:val="en-US"/>
        </w:rPr>
      </w:pPr>
      <w:r w:rsidRPr="004F758E">
        <w:rPr>
          <w:rStyle w:val="FootnoteReference"/>
          <w:sz w:val="16"/>
          <w:szCs w:val="16"/>
        </w:rPr>
        <w:footnoteRef/>
      </w:r>
      <w:r w:rsidRPr="004F758E">
        <w:rPr>
          <w:sz w:val="16"/>
          <w:szCs w:val="16"/>
          <w:lang w:val="en-US"/>
        </w:rPr>
        <w:t xml:space="preserve"> </w:t>
      </w:r>
      <w:hyperlink r:id="rId1" w:history="1">
        <w:r w:rsidRPr="004F758E">
          <w:rPr>
            <w:rStyle w:val="Hyperlink"/>
            <w:sz w:val="16"/>
            <w:szCs w:val="16"/>
            <w:lang w:val="en-US"/>
          </w:rPr>
          <w:t>Register of Commission Documents - COM(2025)107</w:t>
        </w:r>
      </w:hyperlink>
    </w:p>
  </w:footnote>
  <w:footnote w:id="2">
    <w:p w14:paraId="7E6AE947" w14:textId="696D735B" w:rsidR="004552DA" w:rsidRPr="004F758E" w:rsidRDefault="004552DA" w:rsidP="004552DA">
      <w:pPr>
        <w:pStyle w:val="FootnoteText"/>
        <w:rPr>
          <w:sz w:val="16"/>
          <w:szCs w:val="16"/>
        </w:rPr>
      </w:pPr>
      <w:r w:rsidRPr="004F758E">
        <w:rPr>
          <w:rStyle w:val="FootnoteReference"/>
          <w:sz w:val="16"/>
          <w:szCs w:val="16"/>
        </w:rPr>
        <w:footnoteRef/>
      </w:r>
      <w:r w:rsidRPr="004F758E">
        <w:rPr>
          <w:sz w:val="16"/>
          <w:szCs w:val="16"/>
        </w:rPr>
        <w:t xml:space="preserve"> </w:t>
      </w:r>
      <w:hyperlink r:id="rId2" w:history="1">
        <w:r w:rsidR="00AF7803" w:rsidRPr="004F758E">
          <w:rPr>
            <w:rStyle w:val="Hyperlink"/>
            <w:sz w:val="16"/>
            <w:szCs w:val="16"/>
          </w:rPr>
          <w:t>Verordening (EU) 2022/870</w:t>
        </w:r>
      </w:hyperlink>
    </w:p>
  </w:footnote>
  <w:footnote w:id="3">
    <w:p w14:paraId="668442ED" w14:textId="77777777" w:rsidR="004552DA" w:rsidRPr="00DD5061" w:rsidRDefault="004552DA" w:rsidP="004552DA">
      <w:pPr>
        <w:pStyle w:val="FootnoteText"/>
      </w:pPr>
      <w:r w:rsidRPr="004F758E">
        <w:rPr>
          <w:rStyle w:val="FootnoteReference"/>
          <w:sz w:val="16"/>
          <w:szCs w:val="16"/>
        </w:rPr>
        <w:footnoteRef/>
      </w:r>
      <w:r w:rsidRPr="004F758E">
        <w:rPr>
          <w:sz w:val="16"/>
          <w:szCs w:val="16"/>
        </w:rPr>
        <w:t xml:space="preserve"> </w:t>
      </w:r>
      <w:hyperlink r:id="rId3" w:history="1">
        <w:r w:rsidRPr="004F758E">
          <w:rPr>
            <w:rStyle w:val="Hyperlink"/>
            <w:sz w:val="16"/>
            <w:szCs w:val="16"/>
          </w:rPr>
          <w:t>Verordening 2023/1077</w:t>
        </w:r>
      </w:hyperlink>
      <w:r w:rsidRPr="004F758E">
        <w:rPr>
          <w:sz w:val="16"/>
          <w:szCs w:val="16"/>
        </w:rPr>
        <w:t xml:space="preserve"> en </w:t>
      </w:r>
      <w:hyperlink r:id="rId4" w:history="1">
        <w:r w:rsidRPr="004F758E">
          <w:rPr>
            <w:rStyle w:val="Hyperlink"/>
            <w:sz w:val="16"/>
            <w:szCs w:val="16"/>
          </w:rPr>
          <w:t>2024/1392</w:t>
        </w:r>
      </w:hyperlink>
      <w:r w:rsidRPr="004F758E">
        <w:rPr>
          <w:sz w:val="16"/>
          <w:szCs w:val="16"/>
        </w:rPr>
        <w:t>.</w:t>
      </w:r>
      <w:r>
        <w:t xml:space="preserve"> </w:t>
      </w:r>
    </w:p>
  </w:footnote>
  <w:footnote w:id="4">
    <w:p w14:paraId="7B085AEE" w14:textId="2329E8C8" w:rsidR="004552DA" w:rsidRPr="004F758E" w:rsidRDefault="004552DA" w:rsidP="004552DA">
      <w:pPr>
        <w:pStyle w:val="FootnoteText"/>
        <w:rPr>
          <w:sz w:val="16"/>
          <w:szCs w:val="16"/>
        </w:rPr>
      </w:pPr>
      <w:r w:rsidRPr="004F758E">
        <w:rPr>
          <w:rStyle w:val="FootnoteReference"/>
          <w:sz w:val="16"/>
          <w:szCs w:val="16"/>
        </w:rPr>
        <w:footnoteRef/>
      </w:r>
      <w:r w:rsidRPr="004F758E">
        <w:rPr>
          <w:sz w:val="16"/>
          <w:szCs w:val="16"/>
        </w:rPr>
        <w:t xml:space="preserve"> </w:t>
      </w:r>
      <w:r w:rsidR="00A90784" w:rsidRPr="004F758E">
        <w:rPr>
          <w:sz w:val="16"/>
          <w:szCs w:val="16"/>
        </w:rPr>
        <w:t>Kamerstuk</w:t>
      </w:r>
      <w:r w:rsidR="00C86832" w:rsidRPr="004F758E">
        <w:rPr>
          <w:sz w:val="16"/>
          <w:szCs w:val="16"/>
        </w:rPr>
        <w:t xml:space="preserve"> 21501-0</w:t>
      </w:r>
      <w:r w:rsidR="00A90784" w:rsidRPr="004F758E">
        <w:rPr>
          <w:sz w:val="16"/>
          <w:szCs w:val="16"/>
        </w:rPr>
        <w:t xml:space="preserve">2, nr. </w:t>
      </w:r>
      <w:r w:rsidR="00C86832" w:rsidRPr="004F758E">
        <w:rPr>
          <w:sz w:val="16"/>
          <w:szCs w:val="16"/>
        </w:rPr>
        <w:t xml:space="preserve">3029 </w:t>
      </w:r>
    </w:p>
  </w:footnote>
  <w:footnote w:id="5">
    <w:p w14:paraId="0A955EB1" w14:textId="321FB4AB" w:rsidR="004552DA" w:rsidRPr="00FB668A" w:rsidRDefault="004552DA" w:rsidP="004552DA">
      <w:pPr>
        <w:pStyle w:val="FootnoteText"/>
      </w:pPr>
      <w:r w:rsidRPr="004F758E">
        <w:rPr>
          <w:rStyle w:val="FootnoteReference"/>
          <w:sz w:val="16"/>
          <w:szCs w:val="16"/>
        </w:rPr>
        <w:footnoteRef/>
      </w:r>
      <w:r>
        <w:t xml:space="preserve"> </w:t>
      </w:r>
      <w:r w:rsidR="00A90784">
        <w:rPr>
          <w:sz w:val="16"/>
          <w:szCs w:val="16"/>
        </w:rPr>
        <w:t>Kamerstuk</w:t>
      </w:r>
      <w:r w:rsidR="00A90784" w:rsidRPr="00C86832">
        <w:rPr>
          <w:sz w:val="16"/>
          <w:szCs w:val="16"/>
        </w:rPr>
        <w:t xml:space="preserve"> </w:t>
      </w:r>
      <w:r w:rsidR="00A90784" w:rsidRPr="00A90784">
        <w:rPr>
          <w:sz w:val="16"/>
          <w:szCs w:val="16"/>
        </w:rPr>
        <w:t>36045</w:t>
      </w:r>
      <w:r w:rsidR="00A90784">
        <w:rPr>
          <w:sz w:val="16"/>
          <w:szCs w:val="16"/>
        </w:rPr>
        <w:t xml:space="preserve">, nr. </w:t>
      </w:r>
      <w:r w:rsidR="00A90784" w:rsidRPr="00A90784">
        <w:rPr>
          <w:sz w:val="16"/>
          <w:szCs w:val="16"/>
        </w:rPr>
        <w:t>178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A3B77" w14:textId="77777777" w:rsidR="00A24EA9" w:rsidRDefault="00A24E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29627" w14:textId="77777777" w:rsidR="006D3A32" w:rsidRDefault="00573F75">
    <w:r>
      <w:rPr>
        <w:noProof/>
      </w:rPr>
      <mc:AlternateContent>
        <mc:Choice Requires="wps">
          <w:drawing>
            <wp:anchor distT="0" distB="0" distL="0" distR="0" simplePos="0" relativeHeight="251652608" behindDoc="0" locked="1" layoutInCell="1" allowOverlap="1" wp14:anchorId="7B62962B" wp14:editId="7B62962C">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B629657" w14:textId="77777777" w:rsidR="006D3A32" w:rsidRDefault="00573F75">
                          <w:pPr>
                            <w:pStyle w:val="Referentiegegevensbold"/>
                          </w:pPr>
                          <w:r>
                            <w:t>Ministerie van Buitenlandse Zaken</w:t>
                          </w:r>
                        </w:p>
                      </w:txbxContent>
                    </wps:txbx>
                    <wps:bodyPr vert="horz" wrap="square" lIns="0" tIns="0" rIns="0" bIns="0" anchor="t" anchorCtr="0"/>
                  </wps:wsp>
                </a:graphicData>
              </a:graphic>
            </wp:anchor>
          </w:drawing>
        </mc:Choice>
        <mc:Fallback>
          <w:pict>
            <v:shapetype w14:anchorId="7B62962B"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B629657" w14:textId="77777777" w:rsidR="006D3A32" w:rsidRDefault="00573F75">
                    <w:pPr>
                      <w:pStyle w:val="Referentiegegevensbold"/>
                    </w:pPr>
                    <w:r>
                      <w:t>Ministerie van Buitenlandse Zaken</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B62962D" wp14:editId="7B62962E">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B629658" w14:textId="4A853EE8" w:rsidR="006D3A32" w:rsidRDefault="006D3A32">
                          <w:pPr>
                            <w:pStyle w:val="Rubricering"/>
                          </w:pPr>
                        </w:p>
                      </w:txbxContent>
                    </wps:txbx>
                    <wps:bodyPr vert="horz" wrap="square" lIns="0" tIns="0" rIns="0" bIns="0" anchor="t" anchorCtr="0"/>
                  </wps:wsp>
                </a:graphicData>
              </a:graphic>
            </wp:anchor>
          </w:drawing>
        </mc:Choice>
        <mc:Fallback>
          <w:pict>
            <v:shape w14:anchorId="7B62962D"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7B629658" w14:textId="4A853EE8" w:rsidR="006D3A32" w:rsidRDefault="006D3A32">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B62962F" wp14:editId="7B629630">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B629665" w14:textId="77777777" w:rsidR="00573F75" w:rsidRDefault="00573F75"/>
                      </w:txbxContent>
                    </wps:txbx>
                    <wps:bodyPr vert="horz" wrap="square" lIns="0" tIns="0" rIns="0" bIns="0" anchor="t" anchorCtr="0"/>
                  </wps:wsp>
                </a:graphicData>
              </a:graphic>
            </wp:anchor>
          </w:drawing>
        </mc:Choice>
        <mc:Fallback>
          <w:pict>
            <v:shape w14:anchorId="7B62962F"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7B629665" w14:textId="77777777" w:rsidR="00573F75" w:rsidRDefault="00573F7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29629" w14:textId="77777777" w:rsidR="006D3A32" w:rsidRDefault="00573F75">
    <w:pPr>
      <w:spacing w:after="7131" w:line="14" w:lineRule="exact"/>
    </w:pPr>
    <w:r>
      <w:rPr>
        <w:noProof/>
      </w:rPr>
      <mc:AlternateContent>
        <mc:Choice Requires="wps">
          <w:drawing>
            <wp:anchor distT="0" distB="0" distL="0" distR="0" simplePos="0" relativeHeight="251655680" behindDoc="0" locked="1" layoutInCell="1" allowOverlap="1" wp14:anchorId="7B629631" wp14:editId="7B629632">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B629659" w14:textId="77777777" w:rsidR="00573F75" w:rsidRDefault="00573F75"/>
                      </w:txbxContent>
                    </wps:txbx>
                    <wps:bodyPr vert="horz" wrap="square" lIns="0" tIns="0" rIns="0" bIns="0" anchor="t" anchorCtr="0"/>
                  </wps:wsp>
                </a:graphicData>
              </a:graphic>
            </wp:anchor>
          </w:drawing>
        </mc:Choice>
        <mc:Fallback>
          <w:pict>
            <v:shapetype w14:anchorId="7B629631"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7B629659" w14:textId="77777777" w:rsidR="00573F75" w:rsidRDefault="00573F75"/>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B629633" wp14:editId="7B629634">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B629642" w14:textId="77777777" w:rsidR="006D3A32" w:rsidRDefault="00573F75">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B629633"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7B629642" w14:textId="77777777" w:rsidR="006D3A32" w:rsidRDefault="00573F75">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B629635" wp14:editId="7B629636">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6D3A32" w14:paraId="7B629645" w14:textId="77777777">
                            <w:tc>
                              <w:tcPr>
                                <w:tcW w:w="678" w:type="dxa"/>
                              </w:tcPr>
                              <w:p w14:paraId="7B629643" w14:textId="77777777" w:rsidR="006D3A32" w:rsidRDefault="00573F75">
                                <w:r>
                                  <w:t>Datum</w:t>
                                </w:r>
                              </w:p>
                            </w:tc>
                            <w:tc>
                              <w:tcPr>
                                <w:tcW w:w="6851" w:type="dxa"/>
                              </w:tcPr>
                              <w:p w14:paraId="7B629644" w14:textId="21A21E15" w:rsidR="006D3A32" w:rsidRDefault="00A24EA9">
                                <w:r>
                                  <w:t xml:space="preserve">31 </w:t>
                                </w:r>
                                <w:r w:rsidR="00573F75">
                                  <w:t>maart 2025</w:t>
                                </w:r>
                              </w:p>
                            </w:tc>
                          </w:tr>
                          <w:tr w:rsidR="006D3A32" w14:paraId="7B62964A" w14:textId="77777777">
                            <w:tc>
                              <w:tcPr>
                                <w:tcW w:w="678" w:type="dxa"/>
                              </w:tcPr>
                              <w:p w14:paraId="7B629646" w14:textId="77777777" w:rsidR="006D3A32" w:rsidRDefault="00573F75">
                                <w:r>
                                  <w:t>Betreft</w:t>
                                </w:r>
                              </w:p>
                              <w:p w14:paraId="7B629647" w14:textId="77777777" w:rsidR="006D3A32" w:rsidRDefault="006D3A32"/>
                            </w:tc>
                            <w:tc>
                              <w:tcPr>
                                <w:tcW w:w="6851" w:type="dxa"/>
                              </w:tcPr>
                              <w:p w14:paraId="7B629648" w14:textId="77777777" w:rsidR="006D3A32" w:rsidRDefault="00573F75">
                                <w:r>
                                  <w:t>Beoordeling voorstel Commissie voor verlengen opschorting vrijwaringsmaatregelen op Oekraïens ijzer en staal</w:t>
                                </w:r>
                              </w:p>
                              <w:p w14:paraId="7B629649" w14:textId="77777777" w:rsidR="006D3A32" w:rsidRDefault="006D3A32"/>
                            </w:tc>
                          </w:tr>
                        </w:tbl>
                        <w:p w14:paraId="7B62964B" w14:textId="77777777" w:rsidR="006D3A32" w:rsidRDefault="006D3A32"/>
                        <w:p w14:paraId="7B62964C" w14:textId="77777777" w:rsidR="006D3A32" w:rsidRDefault="006D3A32"/>
                      </w:txbxContent>
                    </wps:txbx>
                    <wps:bodyPr vert="horz" wrap="square" lIns="0" tIns="0" rIns="0" bIns="0" anchor="t" anchorCtr="0"/>
                  </wps:wsp>
                </a:graphicData>
              </a:graphic>
            </wp:anchor>
          </w:drawing>
        </mc:Choice>
        <mc:Fallback>
          <w:pict>
            <v:shape w14:anchorId="7B629635"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6D3A32" w14:paraId="7B629645" w14:textId="77777777">
                      <w:tc>
                        <w:tcPr>
                          <w:tcW w:w="678" w:type="dxa"/>
                        </w:tcPr>
                        <w:p w14:paraId="7B629643" w14:textId="77777777" w:rsidR="006D3A32" w:rsidRDefault="00573F75">
                          <w:r>
                            <w:t>Datum</w:t>
                          </w:r>
                        </w:p>
                      </w:tc>
                      <w:tc>
                        <w:tcPr>
                          <w:tcW w:w="6851" w:type="dxa"/>
                        </w:tcPr>
                        <w:p w14:paraId="7B629644" w14:textId="21A21E15" w:rsidR="006D3A32" w:rsidRDefault="00A24EA9">
                          <w:r>
                            <w:t xml:space="preserve">31 </w:t>
                          </w:r>
                          <w:r w:rsidR="00573F75">
                            <w:t>maart 2025</w:t>
                          </w:r>
                        </w:p>
                      </w:tc>
                    </w:tr>
                    <w:tr w:rsidR="006D3A32" w14:paraId="7B62964A" w14:textId="77777777">
                      <w:tc>
                        <w:tcPr>
                          <w:tcW w:w="678" w:type="dxa"/>
                        </w:tcPr>
                        <w:p w14:paraId="7B629646" w14:textId="77777777" w:rsidR="006D3A32" w:rsidRDefault="00573F75">
                          <w:r>
                            <w:t>Betreft</w:t>
                          </w:r>
                        </w:p>
                        <w:p w14:paraId="7B629647" w14:textId="77777777" w:rsidR="006D3A32" w:rsidRDefault="006D3A32"/>
                      </w:tc>
                      <w:tc>
                        <w:tcPr>
                          <w:tcW w:w="6851" w:type="dxa"/>
                        </w:tcPr>
                        <w:p w14:paraId="7B629648" w14:textId="77777777" w:rsidR="006D3A32" w:rsidRDefault="00573F75">
                          <w:r>
                            <w:t>Beoordeling voorstel Commissie voor verlengen opschorting vrijwaringsmaatregelen op Oekraïens ijzer en staal</w:t>
                          </w:r>
                        </w:p>
                        <w:p w14:paraId="7B629649" w14:textId="77777777" w:rsidR="006D3A32" w:rsidRDefault="006D3A32"/>
                      </w:tc>
                    </w:tr>
                  </w:tbl>
                  <w:p w14:paraId="7B62964B" w14:textId="77777777" w:rsidR="006D3A32" w:rsidRDefault="006D3A32"/>
                  <w:p w14:paraId="7B62964C" w14:textId="77777777" w:rsidR="006D3A32" w:rsidRDefault="006D3A32"/>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B629637" wp14:editId="7B629638">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AD2BC11" w14:textId="77777777" w:rsidR="004552DA" w:rsidRPr="008C30A4" w:rsidRDefault="004552DA" w:rsidP="004552DA">
                          <w:pPr>
                            <w:rPr>
                              <w:b/>
                              <w:bCs/>
                              <w:sz w:val="13"/>
                              <w:szCs w:val="13"/>
                            </w:rPr>
                          </w:pPr>
                          <w:bookmarkStart w:id="2" w:name="_Hlk194320212"/>
                          <w:bookmarkStart w:id="3" w:name="_Hlk194320213"/>
                          <w:r w:rsidRPr="008C30A4">
                            <w:rPr>
                              <w:b/>
                              <w:bCs/>
                              <w:sz w:val="13"/>
                              <w:szCs w:val="13"/>
                            </w:rPr>
                            <w:t>Ministerie van Buitenlandse Zaken</w:t>
                          </w:r>
                        </w:p>
                        <w:p w14:paraId="4185AC8C" w14:textId="77777777" w:rsidR="004552DA" w:rsidRPr="00EE5E5D" w:rsidRDefault="004552DA" w:rsidP="004552DA">
                          <w:pPr>
                            <w:rPr>
                              <w:sz w:val="13"/>
                              <w:szCs w:val="13"/>
                            </w:rPr>
                          </w:pPr>
                          <w:r>
                            <w:rPr>
                              <w:sz w:val="13"/>
                              <w:szCs w:val="13"/>
                            </w:rPr>
                            <w:t>Rijnstraat 8</w:t>
                          </w:r>
                        </w:p>
                        <w:p w14:paraId="40393E91" w14:textId="77777777" w:rsidR="004552DA" w:rsidRPr="007E422E" w:rsidRDefault="004552DA" w:rsidP="004552DA">
                          <w:pPr>
                            <w:rPr>
                              <w:sz w:val="13"/>
                              <w:szCs w:val="13"/>
                              <w:lang w:val="de-DE"/>
                            </w:rPr>
                          </w:pPr>
                          <w:r w:rsidRPr="007E422E">
                            <w:rPr>
                              <w:sz w:val="13"/>
                              <w:szCs w:val="13"/>
                              <w:lang w:val="de-DE"/>
                            </w:rPr>
                            <w:t xml:space="preserve">2515 XP Den Haag </w:t>
                          </w:r>
                        </w:p>
                        <w:p w14:paraId="6F2213FE" w14:textId="77777777" w:rsidR="004552DA" w:rsidRPr="007E422E" w:rsidRDefault="004552DA" w:rsidP="004552DA">
                          <w:pPr>
                            <w:rPr>
                              <w:sz w:val="13"/>
                              <w:szCs w:val="13"/>
                              <w:lang w:val="de-DE"/>
                            </w:rPr>
                          </w:pPr>
                          <w:r w:rsidRPr="007E422E">
                            <w:rPr>
                              <w:sz w:val="13"/>
                              <w:szCs w:val="13"/>
                              <w:lang w:val="de-DE"/>
                            </w:rPr>
                            <w:t>Postbus 20061</w:t>
                          </w:r>
                        </w:p>
                        <w:p w14:paraId="0965F6E1" w14:textId="77777777" w:rsidR="004552DA" w:rsidRPr="002A4354" w:rsidRDefault="004552DA" w:rsidP="004552DA">
                          <w:pPr>
                            <w:rPr>
                              <w:sz w:val="13"/>
                              <w:szCs w:val="13"/>
                              <w:lang w:val="de-DE"/>
                            </w:rPr>
                          </w:pPr>
                          <w:proofErr w:type="spellStart"/>
                          <w:r w:rsidRPr="002A4354">
                            <w:rPr>
                              <w:sz w:val="13"/>
                              <w:szCs w:val="13"/>
                              <w:lang w:val="de-DE"/>
                            </w:rPr>
                            <w:t>Nederland</w:t>
                          </w:r>
                          <w:proofErr w:type="spellEnd"/>
                        </w:p>
                        <w:p w14:paraId="27BCD61A" w14:textId="77777777" w:rsidR="004552DA" w:rsidRPr="002A4354" w:rsidRDefault="004552DA" w:rsidP="004552DA">
                          <w:pPr>
                            <w:rPr>
                              <w:sz w:val="13"/>
                              <w:szCs w:val="13"/>
                              <w:lang w:val="de-DE"/>
                            </w:rPr>
                          </w:pPr>
                          <w:r w:rsidRPr="002A4354">
                            <w:rPr>
                              <w:sz w:val="13"/>
                              <w:szCs w:val="13"/>
                              <w:lang w:val="de-DE"/>
                            </w:rPr>
                            <w:t>www.rijksoverheid.nl</w:t>
                          </w:r>
                        </w:p>
                        <w:p w14:paraId="126E7E69" w14:textId="77777777" w:rsidR="004552DA" w:rsidRPr="002A4354" w:rsidRDefault="004552DA" w:rsidP="004552DA">
                          <w:pPr>
                            <w:rPr>
                              <w:sz w:val="13"/>
                              <w:szCs w:val="13"/>
                              <w:lang w:val="de-DE"/>
                            </w:rPr>
                          </w:pPr>
                        </w:p>
                        <w:p w14:paraId="33F44941" w14:textId="77777777" w:rsidR="004552DA" w:rsidRPr="002A4354" w:rsidRDefault="004552DA" w:rsidP="004552DA">
                          <w:pPr>
                            <w:rPr>
                              <w:sz w:val="13"/>
                              <w:szCs w:val="13"/>
                              <w:lang w:val="de-DE"/>
                            </w:rPr>
                          </w:pPr>
                        </w:p>
                        <w:p w14:paraId="3DAB048D" w14:textId="34147DDA" w:rsidR="004552DA" w:rsidRPr="00464876" w:rsidRDefault="004552DA" w:rsidP="004552DA">
                          <w:pPr>
                            <w:rPr>
                              <w:b/>
                              <w:sz w:val="13"/>
                              <w:szCs w:val="13"/>
                              <w:lang w:val="de-DE"/>
                            </w:rPr>
                          </w:pPr>
                          <w:proofErr w:type="spellStart"/>
                          <w:r w:rsidRPr="00464876">
                            <w:rPr>
                              <w:b/>
                              <w:sz w:val="13"/>
                              <w:szCs w:val="13"/>
                              <w:lang w:val="de-DE"/>
                            </w:rPr>
                            <w:t>Onze</w:t>
                          </w:r>
                          <w:proofErr w:type="spellEnd"/>
                          <w:r w:rsidRPr="00464876">
                            <w:rPr>
                              <w:b/>
                              <w:sz w:val="13"/>
                              <w:szCs w:val="13"/>
                              <w:lang w:val="de-DE"/>
                            </w:rPr>
                            <w:t xml:space="preserve"> </w:t>
                          </w:r>
                          <w:proofErr w:type="spellStart"/>
                          <w:r w:rsidRPr="00464876">
                            <w:rPr>
                              <w:b/>
                              <w:sz w:val="13"/>
                              <w:szCs w:val="13"/>
                              <w:lang w:val="de-DE"/>
                            </w:rPr>
                            <w:t>Referentie</w:t>
                          </w:r>
                          <w:proofErr w:type="spellEnd"/>
                          <w:r w:rsidRPr="00464876">
                            <w:rPr>
                              <w:b/>
                              <w:sz w:val="13"/>
                              <w:szCs w:val="13"/>
                              <w:lang w:val="de-DE"/>
                            </w:rPr>
                            <w:br/>
                          </w:r>
                          <w:r w:rsidR="00031C99" w:rsidRPr="00031C99">
                            <w:rPr>
                              <w:bCs/>
                              <w:sz w:val="13"/>
                              <w:szCs w:val="13"/>
                              <w:lang w:val="de-DE"/>
                            </w:rPr>
                            <w:t>BZ2514296</w:t>
                          </w:r>
                        </w:p>
                        <w:p w14:paraId="64DA6911" w14:textId="77777777" w:rsidR="004552DA" w:rsidRPr="00464876" w:rsidRDefault="004552DA" w:rsidP="004552DA">
                          <w:pPr>
                            <w:rPr>
                              <w:b/>
                              <w:sz w:val="13"/>
                              <w:szCs w:val="13"/>
                              <w:lang w:val="de-DE"/>
                            </w:rPr>
                          </w:pPr>
                        </w:p>
                        <w:p w14:paraId="29FD94D5" w14:textId="77777777" w:rsidR="004552DA" w:rsidRDefault="004552DA" w:rsidP="004552DA">
                          <w:pPr>
                            <w:rPr>
                              <w:b/>
                              <w:sz w:val="13"/>
                              <w:szCs w:val="13"/>
                            </w:rPr>
                          </w:pPr>
                          <w:r w:rsidRPr="0058359E">
                            <w:rPr>
                              <w:b/>
                              <w:sz w:val="13"/>
                              <w:szCs w:val="13"/>
                            </w:rPr>
                            <w:t>Bijlage(n)</w:t>
                          </w:r>
                        </w:p>
                        <w:p w14:paraId="7B629653" w14:textId="7C914083" w:rsidR="006D3A32" w:rsidRDefault="004552DA">
                          <w:pPr>
                            <w:pStyle w:val="Referentiegegevens"/>
                          </w:pPr>
                          <w:r>
                            <w:t>1</w:t>
                          </w:r>
                          <w:bookmarkEnd w:id="2"/>
                          <w:bookmarkEnd w:id="3"/>
                        </w:p>
                      </w:txbxContent>
                    </wps:txbx>
                    <wps:bodyPr vert="horz" wrap="square" lIns="0" tIns="0" rIns="0" bIns="0" anchor="t" anchorCtr="0"/>
                  </wps:wsp>
                </a:graphicData>
              </a:graphic>
            </wp:anchor>
          </w:drawing>
        </mc:Choice>
        <mc:Fallback>
          <w:pict>
            <v:shape w14:anchorId="7B629637" id="41b10cd4-80a4-11ea-b356-6230a4311406" o:spid="_x0000_s1032"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3AD2BC11" w14:textId="77777777" w:rsidR="004552DA" w:rsidRPr="008C30A4" w:rsidRDefault="004552DA" w:rsidP="004552DA">
                    <w:pPr>
                      <w:rPr>
                        <w:b/>
                        <w:bCs/>
                        <w:sz w:val="13"/>
                        <w:szCs w:val="13"/>
                      </w:rPr>
                    </w:pPr>
                    <w:bookmarkStart w:id="4" w:name="_Hlk194320212"/>
                    <w:bookmarkStart w:id="5" w:name="_Hlk194320213"/>
                    <w:r w:rsidRPr="008C30A4">
                      <w:rPr>
                        <w:b/>
                        <w:bCs/>
                        <w:sz w:val="13"/>
                        <w:szCs w:val="13"/>
                      </w:rPr>
                      <w:t>Ministerie van Buitenlandse Zaken</w:t>
                    </w:r>
                  </w:p>
                  <w:p w14:paraId="4185AC8C" w14:textId="77777777" w:rsidR="004552DA" w:rsidRPr="00EE5E5D" w:rsidRDefault="004552DA" w:rsidP="004552DA">
                    <w:pPr>
                      <w:rPr>
                        <w:sz w:val="13"/>
                        <w:szCs w:val="13"/>
                      </w:rPr>
                    </w:pPr>
                    <w:r>
                      <w:rPr>
                        <w:sz w:val="13"/>
                        <w:szCs w:val="13"/>
                      </w:rPr>
                      <w:t>Rijnstraat 8</w:t>
                    </w:r>
                  </w:p>
                  <w:p w14:paraId="40393E91" w14:textId="77777777" w:rsidR="004552DA" w:rsidRPr="007E422E" w:rsidRDefault="004552DA" w:rsidP="004552DA">
                    <w:pPr>
                      <w:rPr>
                        <w:sz w:val="13"/>
                        <w:szCs w:val="13"/>
                        <w:lang w:val="de-DE"/>
                      </w:rPr>
                    </w:pPr>
                    <w:r w:rsidRPr="007E422E">
                      <w:rPr>
                        <w:sz w:val="13"/>
                        <w:szCs w:val="13"/>
                        <w:lang w:val="de-DE"/>
                      </w:rPr>
                      <w:t xml:space="preserve">2515 XP Den Haag </w:t>
                    </w:r>
                  </w:p>
                  <w:p w14:paraId="6F2213FE" w14:textId="77777777" w:rsidR="004552DA" w:rsidRPr="007E422E" w:rsidRDefault="004552DA" w:rsidP="004552DA">
                    <w:pPr>
                      <w:rPr>
                        <w:sz w:val="13"/>
                        <w:szCs w:val="13"/>
                        <w:lang w:val="de-DE"/>
                      </w:rPr>
                    </w:pPr>
                    <w:r w:rsidRPr="007E422E">
                      <w:rPr>
                        <w:sz w:val="13"/>
                        <w:szCs w:val="13"/>
                        <w:lang w:val="de-DE"/>
                      </w:rPr>
                      <w:t>Postbus 20061</w:t>
                    </w:r>
                  </w:p>
                  <w:p w14:paraId="0965F6E1" w14:textId="77777777" w:rsidR="004552DA" w:rsidRPr="002A4354" w:rsidRDefault="004552DA" w:rsidP="004552DA">
                    <w:pPr>
                      <w:rPr>
                        <w:sz w:val="13"/>
                        <w:szCs w:val="13"/>
                        <w:lang w:val="de-DE"/>
                      </w:rPr>
                    </w:pPr>
                    <w:proofErr w:type="spellStart"/>
                    <w:r w:rsidRPr="002A4354">
                      <w:rPr>
                        <w:sz w:val="13"/>
                        <w:szCs w:val="13"/>
                        <w:lang w:val="de-DE"/>
                      </w:rPr>
                      <w:t>Nederland</w:t>
                    </w:r>
                    <w:proofErr w:type="spellEnd"/>
                  </w:p>
                  <w:p w14:paraId="27BCD61A" w14:textId="77777777" w:rsidR="004552DA" w:rsidRPr="002A4354" w:rsidRDefault="004552DA" w:rsidP="004552DA">
                    <w:pPr>
                      <w:rPr>
                        <w:sz w:val="13"/>
                        <w:szCs w:val="13"/>
                        <w:lang w:val="de-DE"/>
                      </w:rPr>
                    </w:pPr>
                    <w:r w:rsidRPr="002A4354">
                      <w:rPr>
                        <w:sz w:val="13"/>
                        <w:szCs w:val="13"/>
                        <w:lang w:val="de-DE"/>
                      </w:rPr>
                      <w:t>www.rijksoverheid.nl</w:t>
                    </w:r>
                  </w:p>
                  <w:p w14:paraId="126E7E69" w14:textId="77777777" w:rsidR="004552DA" w:rsidRPr="002A4354" w:rsidRDefault="004552DA" w:rsidP="004552DA">
                    <w:pPr>
                      <w:rPr>
                        <w:sz w:val="13"/>
                        <w:szCs w:val="13"/>
                        <w:lang w:val="de-DE"/>
                      </w:rPr>
                    </w:pPr>
                  </w:p>
                  <w:p w14:paraId="33F44941" w14:textId="77777777" w:rsidR="004552DA" w:rsidRPr="002A4354" w:rsidRDefault="004552DA" w:rsidP="004552DA">
                    <w:pPr>
                      <w:rPr>
                        <w:sz w:val="13"/>
                        <w:szCs w:val="13"/>
                        <w:lang w:val="de-DE"/>
                      </w:rPr>
                    </w:pPr>
                  </w:p>
                  <w:p w14:paraId="3DAB048D" w14:textId="34147DDA" w:rsidR="004552DA" w:rsidRPr="00464876" w:rsidRDefault="004552DA" w:rsidP="004552DA">
                    <w:pPr>
                      <w:rPr>
                        <w:b/>
                        <w:sz w:val="13"/>
                        <w:szCs w:val="13"/>
                        <w:lang w:val="de-DE"/>
                      </w:rPr>
                    </w:pPr>
                    <w:proofErr w:type="spellStart"/>
                    <w:r w:rsidRPr="00464876">
                      <w:rPr>
                        <w:b/>
                        <w:sz w:val="13"/>
                        <w:szCs w:val="13"/>
                        <w:lang w:val="de-DE"/>
                      </w:rPr>
                      <w:t>Onze</w:t>
                    </w:r>
                    <w:proofErr w:type="spellEnd"/>
                    <w:r w:rsidRPr="00464876">
                      <w:rPr>
                        <w:b/>
                        <w:sz w:val="13"/>
                        <w:szCs w:val="13"/>
                        <w:lang w:val="de-DE"/>
                      </w:rPr>
                      <w:t xml:space="preserve"> </w:t>
                    </w:r>
                    <w:proofErr w:type="spellStart"/>
                    <w:r w:rsidRPr="00464876">
                      <w:rPr>
                        <w:b/>
                        <w:sz w:val="13"/>
                        <w:szCs w:val="13"/>
                        <w:lang w:val="de-DE"/>
                      </w:rPr>
                      <w:t>Referentie</w:t>
                    </w:r>
                    <w:proofErr w:type="spellEnd"/>
                    <w:r w:rsidRPr="00464876">
                      <w:rPr>
                        <w:b/>
                        <w:sz w:val="13"/>
                        <w:szCs w:val="13"/>
                        <w:lang w:val="de-DE"/>
                      </w:rPr>
                      <w:br/>
                    </w:r>
                    <w:r w:rsidR="00031C99" w:rsidRPr="00031C99">
                      <w:rPr>
                        <w:bCs/>
                        <w:sz w:val="13"/>
                        <w:szCs w:val="13"/>
                        <w:lang w:val="de-DE"/>
                      </w:rPr>
                      <w:t>BZ2514296</w:t>
                    </w:r>
                  </w:p>
                  <w:p w14:paraId="64DA6911" w14:textId="77777777" w:rsidR="004552DA" w:rsidRPr="00464876" w:rsidRDefault="004552DA" w:rsidP="004552DA">
                    <w:pPr>
                      <w:rPr>
                        <w:b/>
                        <w:sz w:val="13"/>
                        <w:szCs w:val="13"/>
                        <w:lang w:val="de-DE"/>
                      </w:rPr>
                    </w:pPr>
                  </w:p>
                  <w:p w14:paraId="29FD94D5" w14:textId="77777777" w:rsidR="004552DA" w:rsidRDefault="004552DA" w:rsidP="004552DA">
                    <w:pPr>
                      <w:rPr>
                        <w:b/>
                        <w:sz w:val="13"/>
                        <w:szCs w:val="13"/>
                      </w:rPr>
                    </w:pPr>
                    <w:r w:rsidRPr="0058359E">
                      <w:rPr>
                        <w:b/>
                        <w:sz w:val="13"/>
                        <w:szCs w:val="13"/>
                      </w:rPr>
                      <w:t>Bijlage(n)</w:t>
                    </w:r>
                  </w:p>
                  <w:p w14:paraId="7B629653" w14:textId="7C914083" w:rsidR="006D3A32" w:rsidRDefault="004552DA">
                    <w:pPr>
                      <w:pStyle w:val="Referentiegegevens"/>
                    </w:pPr>
                    <w:r>
                      <w:t>1</w:t>
                    </w:r>
                    <w:bookmarkEnd w:id="4"/>
                    <w:bookmarkEnd w:id="5"/>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B629639" wp14:editId="7B62963A">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B629654" w14:textId="7C98CEDC" w:rsidR="006D3A32" w:rsidRDefault="006D3A32">
                          <w:pPr>
                            <w:pStyle w:val="Rubricering"/>
                          </w:pPr>
                        </w:p>
                      </w:txbxContent>
                    </wps:txbx>
                    <wps:bodyPr vert="horz" wrap="square" lIns="0" tIns="0" rIns="0" bIns="0" anchor="t" anchorCtr="0"/>
                  </wps:wsp>
                </a:graphicData>
              </a:graphic>
            </wp:anchor>
          </w:drawing>
        </mc:Choice>
        <mc:Fallback>
          <w:pict>
            <v:shape w14:anchorId="7B629639" id="41b10d26-80a4-11ea-b356-6230a4311406" o:spid="_x0000_s1033" type="#_x0000_t202" style="position:absolute;margin-left:79.35pt;margin-top:802.75pt;width:377pt;height:19.8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7B629654" w14:textId="7C98CEDC" w:rsidR="006D3A32" w:rsidRDefault="006D3A32">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B62963B" wp14:editId="7B62963C">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B62965F" w14:textId="77777777" w:rsidR="00573F75" w:rsidRDefault="00573F75"/>
                      </w:txbxContent>
                    </wps:txbx>
                    <wps:bodyPr vert="horz" wrap="square" lIns="0" tIns="0" rIns="0" bIns="0" anchor="t" anchorCtr="0"/>
                  </wps:wsp>
                </a:graphicData>
              </a:graphic>
            </wp:anchor>
          </w:drawing>
        </mc:Choice>
        <mc:Fallback>
          <w:pict>
            <v:shape w14:anchorId="7B62963B" id="41b10d73-80a4-11ea-b356-6230a4311406" o:spid="_x0000_s1034"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7B62965F" w14:textId="77777777" w:rsidR="00573F75" w:rsidRDefault="00573F75"/>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B62963D" wp14:editId="7B62963E">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B629655" w14:textId="77777777" w:rsidR="006D3A32" w:rsidRDefault="00573F75">
                          <w:pPr>
                            <w:spacing w:line="240" w:lineRule="auto"/>
                          </w:pPr>
                          <w:r>
                            <w:rPr>
                              <w:noProof/>
                            </w:rPr>
                            <w:drawing>
                              <wp:inline distT="0" distB="0" distL="0" distR="0" wp14:anchorId="7B629659" wp14:editId="7B62965A">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62963D" id="41b10dc3-80a4-11ea-b356-6230a4311406" o:spid="_x0000_s1035"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7B629655" w14:textId="77777777" w:rsidR="006D3A32" w:rsidRDefault="00573F75">
                    <w:pPr>
                      <w:spacing w:line="240" w:lineRule="auto"/>
                    </w:pPr>
                    <w:r>
                      <w:rPr>
                        <w:noProof/>
                      </w:rPr>
                      <w:drawing>
                        <wp:inline distT="0" distB="0" distL="0" distR="0" wp14:anchorId="7B629659" wp14:editId="7B62965A">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B62963F" wp14:editId="7B629640">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B629656" w14:textId="77777777" w:rsidR="006D3A32" w:rsidRDefault="00573F75">
                          <w:pPr>
                            <w:spacing w:line="240" w:lineRule="auto"/>
                          </w:pPr>
                          <w:r>
                            <w:rPr>
                              <w:noProof/>
                            </w:rPr>
                            <w:drawing>
                              <wp:inline distT="0" distB="0" distL="0" distR="0" wp14:anchorId="7B62965B" wp14:editId="7B62965C">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62963F" id="41b10edc-80a4-11ea-b356-6230a4311406" o:spid="_x0000_s1036"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7B629656" w14:textId="77777777" w:rsidR="006D3A32" w:rsidRDefault="00573F75">
                    <w:pPr>
                      <w:spacing w:line="240" w:lineRule="auto"/>
                    </w:pPr>
                    <w:r>
                      <w:rPr>
                        <w:noProof/>
                      </w:rPr>
                      <w:drawing>
                        <wp:inline distT="0" distB="0" distL="0" distR="0" wp14:anchorId="7B62965B" wp14:editId="7B62965C">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AF59C2"/>
    <w:multiLevelType w:val="multilevel"/>
    <w:tmpl w:val="EA218B70"/>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1A0278D"/>
    <w:multiLevelType w:val="multilevel"/>
    <w:tmpl w:val="80BC2CF6"/>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B1A25F8"/>
    <w:multiLevelType w:val="multilevel"/>
    <w:tmpl w:val="792CD5C2"/>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54813143"/>
    <w:multiLevelType w:val="multilevel"/>
    <w:tmpl w:val="3D60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23509A"/>
    <w:multiLevelType w:val="multilevel"/>
    <w:tmpl w:val="C466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94F4A7"/>
    <w:multiLevelType w:val="multilevel"/>
    <w:tmpl w:val="E61CB50C"/>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7C8071BB"/>
    <w:multiLevelType w:val="multilevel"/>
    <w:tmpl w:val="1E73C4E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690422613">
    <w:abstractNumId w:val="2"/>
  </w:num>
  <w:num w:numId="2" w16cid:durableId="1719352552">
    <w:abstractNumId w:val="5"/>
  </w:num>
  <w:num w:numId="3" w16cid:durableId="2062090704">
    <w:abstractNumId w:val="6"/>
  </w:num>
  <w:num w:numId="4" w16cid:durableId="1948153879">
    <w:abstractNumId w:val="0"/>
  </w:num>
  <w:num w:numId="5" w16cid:durableId="1069501876">
    <w:abstractNumId w:val="1"/>
  </w:num>
  <w:num w:numId="6" w16cid:durableId="1120565601">
    <w:abstractNumId w:val="4"/>
  </w:num>
  <w:num w:numId="7" w16cid:durableId="9290448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A32"/>
    <w:rsid w:val="00031C99"/>
    <w:rsid w:val="00062A95"/>
    <w:rsid w:val="00096384"/>
    <w:rsid w:val="000B7D50"/>
    <w:rsid w:val="000E0843"/>
    <w:rsid w:val="0018174B"/>
    <w:rsid w:val="0038763A"/>
    <w:rsid w:val="004552DA"/>
    <w:rsid w:val="00457D00"/>
    <w:rsid w:val="00482DC9"/>
    <w:rsid w:val="004F758E"/>
    <w:rsid w:val="005361B4"/>
    <w:rsid w:val="00573F75"/>
    <w:rsid w:val="00636800"/>
    <w:rsid w:val="006D3A32"/>
    <w:rsid w:val="0074163E"/>
    <w:rsid w:val="00832A30"/>
    <w:rsid w:val="00886EDC"/>
    <w:rsid w:val="00890507"/>
    <w:rsid w:val="009E30FC"/>
    <w:rsid w:val="00A24EA9"/>
    <w:rsid w:val="00A31CE2"/>
    <w:rsid w:val="00A62CBB"/>
    <w:rsid w:val="00A90784"/>
    <w:rsid w:val="00AF7803"/>
    <w:rsid w:val="00B94FAC"/>
    <w:rsid w:val="00C86832"/>
    <w:rsid w:val="00D26FC0"/>
    <w:rsid w:val="00D82262"/>
    <w:rsid w:val="00DA4661"/>
    <w:rsid w:val="00DB7E59"/>
    <w:rsid w:val="00DC6AA6"/>
    <w:rsid w:val="00E265D1"/>
    <w:rsid w:val="00EC11FD"/>
    <w:rsid w:val="00F1042C"/>
    <w:rsid w:val="00F11B7D"/>
    <w:rsid w:val="00F27670"/>
    <w:rsid w:val="00FC7C92"/>
    <w:rsid w:val="00FF78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7B62961F"/>
  <w15:docId w15:val="{145194BF-EDB5-4C25-92DB-7B9AFAB10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636800"/>
    <w:pPr>
      <w:autoSpaceDN/>
      <w:spacing w:line="240" w:lineRule="auto"/>
      <w:textAlignment w:val="auto"/>
    </w:pPr>
    <w:rPr>
      <w:rFonts w:eastAsia="Times New Roman" w:cs="Times New Roman"/>
      <w:color w:val="auto"/>
      <w:sz w:val="20"/>
      <w:szCs w:val="20"/>
    </w:rPr>
  </w:style>
  <w:style w:type="character" w:customStyle="1" w:styleId="FootnoteTextChar">
    <w:name w:val="Footnote Text Char"/>
    <w:basedOn w:val="DefaultParagraphFont"/>
    <w:link w:val="FootnoteText"/>
    <w:uiPriority w:val="99"/>
    <w:semiHidden/>
    <w:rsid w:val="00636800"/>
    <w:rPr>
      <w:rFonts w:ascii="Verdana" w:eastAsia="Times New Roman" w:hAnsi="Verdana" w:cs="Times New Roman"/>
    </w:rPr>
  </w:style>
  <w:style w:type="character" w:styleId="FootnoteReference">
    <w:name w:val="footnote reference"/>
    <w:basedOn w:val="DefaultParagraphFont"/>
    <w:uiPriority w:val="99"/>
    <w:semiHidden/>
    <w:unhideWhenUsed/>
    <w:rsid w:val="00636800"/>
    <w:rPr>
      <w:vertAlign w:val="superscript"/>
    </w:rPr>
  </w:style>
  <w:style w:type="character" w:styleId="CommentReference">
    <w:name w:val="annotation reference"/>
    <w:basedOn w:val="DefaultParagraphFont"/>
    <w:uiPriority w:val="99"/>
    <w:semiHidden/>
    <w:unhideWhenUsed/>
    <w:rsid w:val="00636800"/>
    <w:rPr>
      <w:sz w:val="16"/>
      <w:szCs w:val="16"/>
    </w:rPr>
  </w:style>
  <w:style w:type="paragraph" w:styleId="CommentText">
    <w:name w:val="annotation text"/>
    <w:basedOn w:val="Normal"/>
    <w:link w:val="CommentTextChar"/>
    <w:uiPriority w:val="99"/>
    <w:unhideWhenUsed/>
    <w:rsid w:val="00636800"/>
    <w:pPr>
      <w:autoSpaceDN/>
      <w:spacing w:line="240" w:lineRule="auto"/>
      <w:textAlignment w:val="auto"/>
    </w:pPr>
    <w:rPr>
      <w:rFonts w:eastAsia="Times New Roman" w:cs="Times New Roman"/>
      <w:color w:val="auto"/>
      <w:sz w:val="20"/>
      <w:szCs w:val="20"/>
    </w:rPr>
  </w:style>
  <w:style w:type="character" w:customStyle="1" w:styleId="CommentTextChar">
    <w:name w:val="Comment Text Char"/>
    <w:basedOn w:val="DefaultParagraphFont"/>
    <w:link w:val="CommentText"/>
    <w:uiPriority w:val="99"/>
    <w:rsid w:val="00636800"/>
    <w:rPr>
      <w:rFonts w:ascii="Verdana" w:eastAsia="Times New Roman" w:hAnsi="Verdana" w:cs="Times New Roman"/>
    </w:rPr>
  </w:style>
  <w:style w:type="paragraph" w:styleId="Header">
    <w:name w:val="header"/>
    <w:basedOn w:val="Normal"/>
    <w:link w:val="HeaderChar"/>
    <w:uiPriority w:val="99"/>
    <w:unhideWhenUsed/>
    <w:rsid w:val="00636800"/>
    <w:pPr>
      <w:tabs>
        <w:tab w:val="center" w:pos="4513"/>
        <w:tab w:val="right" w:pos="9026"/>
      </w:tabs>
      <w:spacing w:line="240" w:lineRule="auto"/>
    </w:pPr>
  </w:style>
  <w:style w:type="character" w:customStyle="1" w:styleId="HeaderChar">
    <w:name w:val="Header Char"/>
    <w:basedOn w:val="DefaultParagraphFont"/>
    <w:link w:val="Header"/>
    <w:uiPriority w:val="99"/>
    <w:rsid w:val="00636800"/>
    <w:rPr>
      <w:rFonts w:ascii="Verdana" w:hAnsi="Verdana"/>
      <w:color w:val="000000"/>
      <w:sz w:val="18"/>
      <w:szCs w:val="18"/>
    </w:rPr>
  </w:style>
  <w:style w:type="paragraph" w:styleId="Footer">
    <w:name w:val="footer"/>
    <w:basedOn w:val="Normal"/>
    <w:link w:val="FooterChar"/>
    <w:uiPriority w:val="99"/>
    <w:unhideWhenUsed/>
    <w:rsid w:val="00636800"/>
    <w:pPr>
      <w:tabs>
        <w:tab w:val="center" w:pos="4513"/>
        <w:tab w:val="right" w:pos="9026"/>
      </w:tabs>
      <w:spacing w:line="240" w:lineRule="auto"/>
    </w:pPr>
  </w:style>
  <w:style w:type="character" w:customStyle="1" w:styleId="FooterChar">
    <w:name w:val="Footer Char"/>
    <w:basedOn w:val="DefaultParagraphFont"/>
    <w:link w:val="Footer"/>
    <w:uiPriority w:val="99"/>
    <w:rsid w:val="00636800"/>
    <w:rPr>
      <w:rFonts w:ascii="Verdana" w:hAnsi="Verdana"/>
      <w:color w:val="000000"/>
      <w:sz w:val="18"/>
      <w:szCs w:val="18"/>
    </w:rPr>
  </w:style>
  <w:style w:type="character" w:styleId="FollowedHyperlink">
    <w:name w:val="FollowedHyperlink"/>
    <w:basedOn w:val="DefaultParagraphFont"/>
    <w:uiPriority w:val="99"/>
    <w:semiHidden/>
    <w:unhideWhenUsed/>
    <w:rsid w:val="00C8683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92970">
      <w:bodyDiv w:val="1"/>
      <w:marLeft w:val="0"/>
      <w:marRight w:val="0"/>
      <w:marTop w:val="0"/>
      <w:marBottom w:val="0"/>
      <w:divBdr>
        <w:top w:val="none" w:sz="0" w:space="0" w:color="auto"/>
        <w:left w:val="none" w:sz="0" w:space="0" w:color="auto"/>
        <w:bottom w:val="none" w:sz="0" w:space="0" w:color="auto"/>
        <w:right w:val="none" w:sz="0" w:space="0" w:color="auto"/>
      </w:divBdr>
      <w:divsChild>
        <w:div w:id="1749427146">
          <w:marLeft w:val="0"/>
          <w:marRight w:val="0"/>
          <w:marTop w:val="0"/>
          <w:marBottom w:val="0"/>
          <w:divBdr>
            <w:top w:val="none" w:sz="0" w:space="0" w:color="auto"/>
            <w:left w:val="none" w:sz="0" w:space="0" w:color="auto"/>
            <w:bottom w:val="none" w:sz="0" w:space="0" w:color="auto"/>
            <w:right w:val="none" w:sz="0" w:space="0" w:color="auto"/>
          </w:divBdr>
        </w:div>
      </w:divsChild>
    </w:div>
    <w:div w:id="425075223">
      <w:bodyDiv w:val="1"/>
      <w:marLeft w:val="0"/>
      <w:marRight w:val="0"/>
      <w:marTop w:val="0"/>
      <w:marBottom w:val="0"/>
      <w:divBdr>
        <w:top w:val="none" w:sz="0" w:space="0" w:color="auto"/>
        <w:left w:val="none" w:sz="0" w:space="0" w:color="auto"/>
        <w:bottom w:val="none" w:sz="0" w:space="0" w:color="auto"/>
        <w:right w:val="none" w:sz="0" w:space="0" w:color="auto"/>
      </w:divBdr>
      <w:divsChild>
        <w:div w:id="39407348">
          <w:marLeft w:val="0"/>
          <w:marRight w:val="0"/>
          <w:marTop w:val="0"/>
          <w:marBottom w:val="0"/>
          <w:divBdr>
            <w:top w:val="none" w:sz="0" w:space="0" w:color="auto"/>
            <w:left w:val="none" w:sz="0" w:space="0" w:color="auto"/>
            <w:bottom w:val="none" w:sz="0" w:space="0" w:color="auto"/>
            <w:right w:val="none" w:sz="0" w:space="0" w:color="auto"/>
          </w:divBdr>
        </w:div>
      </w:divsChild>
    </w:div>
    <w:div w:id="1067461967">
      <w:bodyDiv w:val="1"/>
      <w:marLeft w:val="0"/>
      <w:marRight w:val="0"/>
      <w:marTop w:val="0"/>
      <w:marBottom w:val="0"/>
      <w:divBdr>
        <w:top w:val="none" w:sz="0" w:space="0" w:color="auto"/>
        <w:left w:val="none" w:sz="0" w:space="0" w:color="auto"/>
        <w:bottom w:val="none" w:sz="0" w:space="0" w:color="auto"/>
        <w:right w:val="none" w:sz="0" w:space="0" w:color="auto"/>
      </w:divBdr>
      <w:divsChild>
        <w:div w:id="2073112544">
          <w:marLeft w:val="0"/>
          <w:marRight w:val="0"/>
          <w:marTop w:val="0"/>
          <w:marBottom w:val="0"/>
          <w:divBdr>
            <w:top w:val="none" w:sz="0" w:space="0" w:color="auto"/>
            <w:left w:val="none" w:sz="0" w:space="0" w:color="auto"/>
            <w:bottom w:val="none" w:sz="0" w:space="0" w:color="auto"/>
            <w:right w:val="none" w:sz="0" w:space="0" w:color="auto"/>
          </w:divBdr>
        </w:div>
      </w:divsChild>
    </w:div>
    <w:div w:id="1160925511">
      <w:bodyDiv w:val="1"/>
      <w:marLeft w:val="0"/>
      <w:marRight w:val="0"/>
      <w:marTop w:val="0"/>
      <w:marBottom w:val="0"/>
      <w:divBdr>
        <w:top w:val="none" w:sz="0" w:space="0" w:color="auto"/>
        <w:left w:val="none" w:sz="0" w:space="0" w:color="auto"/>
        <w:bottom w:val="none" w:sz="0" w:space="0" w:color="auto"/>
        <w:right w:val="none" w:sz="0" w:space="0" w:color="auto"/>
      </w:divBdr>
      <w:divsChild>
        <w:div w:id="1522233217">
          <w:marLeft w:val="0"/>
          <w:marRight w:val="0"/>
          <w:marTop w:val="0"/>
          <w:marBottom w:val="0"/>
          <w:divBdr>
            <w:top w:val="none" w:sz="0" w:space="0" w:color="auto"/>
            <w:left w:val="none" w:sz="0" w:space="0" w:color="auto"/>
            <w:bottom w:val="none" w:sz="0" w:space="0" w:color="auto"/>
            <w:right w:val="none" w:sz="0" w:space="0" w:color="auto"/>
          </w:divBdr>
        </w:div>
      </w:divsChild>
    </w:div>
    <w:div w:id="1447775497">
      <w:bodyDiv w:val="1"/>
      <w:marLeft w:val="0"/>
      <w:marRight w:val="0"/>
      <w:marTop w:val="0"/>
      <w:marBottom w:val="0"/>
      <w:divBdr>
        <w:top w:val="none" w:sz="0" w:space="0" w:color="auto"/>
        <w:left w:val="none" w:sz="0" w:space="0" w:color="auto"/>
        <w:bottom w:val="none" w:sz="0" w:space="0" w:color="auto"/>
        <w:right w:val="none" w:sz="0" w:space="0" w:color="auto"/>
      </w:divBdr>
      <w:divsChild>
        <w:div w:id="867454116">
          <w:marLeft w:val="0"/>
          <w:marRight w:val="0"/>
          <w:marTop w:val="0"/>
          <w:marBottom w:val="0"/>
          <w:divBdr>
            <w:top w:val="none" w:sz="0" w:space="0" w:color="auto"/>
            <w:left w:val="none" w:sz="0" w:space="0" w:color="auto"/>
            <w:bottom w:val="none" w:sz="0" w:space="0" w:color="auto"/>
            <w:right w:val="none" w:sz="0" w:space="0" w:color="auto"/>
          </w:divBdr>
        </w:div>
      </w:divsChild>
    </w:div>
    <w:div w:id="1479684762">
      <w:bodyDiv w:val="1"/>
      <w:marLeft w:val="0"/>
      <w:marRight w:val="0"/>
      <w:marTop w:val="0"/>
      <w:marBottom w:val="0"/>
      <w:divBdr>
        <w:top w:val="none" w:sz="0" w:space="0" w:color="auto"/>
        <w:left w:val="none" w:sz="0" w:space="0" w:color="auto"/>
        <w:bottom w:val="none" w:sz="0" w:space="0" w:color="auto"/>
        <w:right w:val="none" w:sz="0" w:space="0" w:color="auto"/>
      </w:divBdr>
      <w:divsChild>
        <w:div w:id="664817411">
          <w:marLeft w:val="0"/>
          <w:marRight w:val="0"/>
          <w:marTop w:val="0"/>
          <w:marBottom w:val="0"/>
          <w:divBdr>
            <w:top w:val="none" w:sz="0" w:space="0" w:color="auto"/>
            <w:left w:val="none" w:sz="0" w:space="0" w:color="auto"/>
            <w:bottom w:val="none" w:sz="0" w:space="0" w:color="auto"/>
            <w:right w:val="none" w:sz="0" w:space="0" w:color="auto"/>
          </w:divBdr>
        </w:div>
      </w:divsChild>
    </w:div>
    <w:div w:id="1479690975">
      <w:bodyDiv w:val="1"/>
      <w:marLeft w:val="0"/>
      <w:marRight w:val="0"/>
      <w:marTop w:val="0"/>
      <w:marBottom w:val="0"/>
      <w:divBdr>
        <w:top w:val="none" w:sz="0" w:space="0" w:color="auto"/>
        <w:left w:val="none" w:sz="0" w:space="0" w:color="auto"/>
        <w:bottom w:val="none" w:sz="0" w:space="0" w:color="auto"/>
        <w:right w:val="none" w:sz="0" w:space="0" w:color="auto"/>
      </w:divBdr>
      <w:divsChild>
        <w:div w:id="1374962722">
          <w:marLeft w:val="0"/>
          <w:marRight w:val="0"/>
          <w:marTop w:val="0"/>
          <w:marBottom w:val="0"/>
          <w:divBdr>
            <w:top w:val="none" w:sz="0" w:space="0" w:color="auto"/>
            <w:left w:val="none" w:sz="0" w:space="0" w:color="auto"/>
            <w:bottom w:val="none" w:sz="0" w:space="0" w:color="auto"/>
            <w:right w:val="none" w:sz="0" w:space="0" w:color="auto"/>
          </w:divBdr>
        </w:div>
      </w:divsChild>
    </w:div>
    <w:div w:id="2111117564">
      <w:bodyDiv w:val="1"/>
      <w:marLeft w:val="0"/>
      <w:marRight w:val="0"/>
      <w:marTop w:val="0"/>
      <w:marBottom w:val="0"/>
      <w:divBdr>
        <w:top w:val="none" w:sz="0" w:space="0" w:color="auto"/>
        <w:left w:val="none" w:sz="0" w:space="0" w:color="auto"/>
        <w:bottom w:val="none" w:sz="0" w:space="0" w:color="auto"/>
        <w:right w:val="none" w:sz="0" w:space="0" w:color="auto"/>
      </w:divBdr>
      <w:divsChild>
        <w:div w:id="12511621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NL/ALL/?uri=CELEX%3A32023R1077" TargetMode="External"/><Relationship Id="rId2" Type="http://schemas.openxmlformats.org/officeDocument/2006/relationships/hyperlink" Target="https://eur-lex.europa.eu/legal-content/NL/TXT/?uri=CELEX:32022R0870" TargetMode="External"/><Relationship Id="rId1" Type="http://schemas.openxmlformats.org/officeDocument/2006/relationships/hyperlink" Target="https://ec.europa.eu/transparency/documents-register/detail?ref=COM(2025)107&amp;lang=en" TargetMode="External"/><Relationship Id="rId4" Type="http://schemas.openxmlformats.org/officeDocument/2006/relationships/hyperlink" Target="https://eur-lex.europa.eu/legal-content/NL/ALL/?uri=CELEX:32024R1392"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1384</ap:Words>
  <ap:Characters>7615</ap:Characters>
  <ap:DocSecurity>0</ap:DocSecurity>
  <ap:Lines>63</ap:Lines>
  <ap:Paragraphs>17</ap:Paragraphs>
  <ap:ScaleCrop>false</ap:ScaleCrop>
  <ap:HeadingPairs>
    <vt:vector baseType="variant" size="2">
      <vt:variant>
        <vt:lpstr>Title</vt:lpstr>
      </vt:variant>
      <vt:variant>
        <vt:i4>1</vt:i4>
      </vt:variant>
    </vt:vector>
  </ap:HeadingPairs>
  <ap:TitlesOfParts>
    <vt:vector baseType="lpstr" size="1">
      <vt:lpstr>Beoordeling voorstel Commissie voor verlengen opschorting vrijwaringsmaatregelen op Oekraïens ijzer en staal</vt:lpstr>
    </vt:vector>
  </ap:TitlesOfParts>
  <ap:LinksUpToDate>false</ap:LinksUpToDate>
  <ap:CharactersWithSpaces>8982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2025-03-31T12:04:00.0000000Z</dcterms:created>
  <dcterms:modified xsi:type="dcterms:W3CDTF">2025-03-31T12:04:00.0000000Z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fa387cb8-49c3-4604-a1b6-57a3d602ce4e</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