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CDD" w:rsidRDefault="00F35CDD" w14:paraId="487C8146" w14:textId="77777777"/>
    <w:p w:rsidR="00976FF9" w:rsidP="00FC5C79" w:rsidRDefault="00153307" w14:paraId="6B784520" w14:textId="77777777">
      <w:pPr>
        <w:rPr>
          <w:rFonts w:ascii="Verdana" w:hAnsi="Verdana"/>
          <w:sz w:val="18"/>
          <w:szCs w:val="18"/>
        </w:rPr>
      </w:pPr>
      <w:r>
        <w:rPr>
          <w:rFonts w:ascii="Verdana" w:hAnsi="Verdana"/>
          <w:sz w:val="18"/>
          <w:szCs w:val="18"/>
        </w:rPr>
        <w:t>Tijdens de plenaire behandeling van het verworpen wetsvoorstel van het lid Van Houwelingen houdende splitsing van de gemeente Groningen en instelling van de gemeente Haren</w:t>
      </w:r>
      <w:r w:rsidR="00B65449">
        <w:rPr>
          <w:rFonts w:ascii="Verdana" w:hAnsi="Verdana"/>
          <w:sz w:val="18"/>
          <w:szCs w:val="18"/>
        </w:rPr>
        <w:t xml:space="preserve"> is</w:t>
      </w:r>
      <w:r w:rsidR="00FC5C79">
        <w:rPr>
          <w:rFonts w:ascii="Verdana" w:hAnsi="Verdana"/>
          <w:sz w:val="18"/>
          <w:szCs w:val="18"/>
        </w:rPr>
        <w:t xml:space="preserve"> door het lid Bisschop de vraag opgeworpen of de bestaande juridische en beleidsmatige kaders voor een herindeling wel voldoende rekening houden met de herindelingsvariant waarbij een bestaande gemeente in twee (of meerdere) gemeenten wordt gesplitst.</w:t>
      </w:r>
      <w:r w:rsidR="00FC5C79">
        <w:rPr>
          <w:rStyle w:val="Voetnootmarkering"/>
          <w:rFonts w:ascii="Verdana" w:hAnsi="Verdana"/>
          <w:sz w:val="18"/>
          <w:szCs w:val="18"/>
        </w:rPr>
        <w:footnoteReference w:id="1"/>
      </w:r>
      <w:r w:rsidR="00FC5C79">
        <w:rPr>
          <w:rFonts w:ascii="Verdana" w:hAnsi="Verdana"/>
          <w:sz w:val="18"/>
          <w:szCs w:val="18"/>
        </w:rPr>
        <w:t xml:space="preserve"> Mijn ambtsvoorganger heeft hierop toegezegd te zullen onderzoeken of de Wet algemene regels herindeling (hierna: Wet arhi), het Beleidskader gemeentelijke herindeling (2018) en het Handboek gemeentelijke herindeling (2020) voldoende rekening houden met die herindelingsvariant en uw Kamer hierover te informeren (ID 205214). Met deze brief doe ik deze toezegging gestand.</w:t>
      </w:r>
      <w:r w:rsidR="00AB1D62">
        <w:rPr>
          <w:rFonts w:ascii="Verdana" w:hAnsi="Verdana"/>
          <w:sz w:val="18"/>
          <w:szCs w:val="18"/>
        </w:rPr>
        <w:t xml:space="preserve"> </w:t>
      </w:r>
    </w:p>
    <w:p w:rsidRPr="00AB1D62" w:rsidR="00FC5C79" w:rsidP="00FC5C79" w:rsidRDefault="00AB1D62" w14:paraId="0000CFA5" w14:textId="77777777">
      <w:pPr>
        <w:rPr>
          <w:rFonts w:ascii="Verdana" w:hAnsi="Verdana"/>
          <w:sz w:val="18"/>
          <w:szCs w:val="18"/>
        </w:rPr>
      </w:pPr>
      <w:r>
        <w:rPr>
          <w:rFonts w:ascii="Verdana" w:hAnsi="Verdana"/>
          <w:sz w:val="18"/>
          <w:szCs w:val="18"/>
        </w:rPr>
        <w:t xml:space="preserve">Voor de duidelijkheid hecht ik eraan op te merken dat deze brief enkel betrekking heeft op de situatie van een splitsing waarbij het aantal gemeenten </w:t>
      </w:r>
      <w:r>
        <w:rPr>
          <w:rFonts w:ascii="Verdana" w:hAnsi="Verdana"/>
          <w:i/>
          <w:iCs/>
          <w:sz w:val="18"/>
          <w:szCs w:val="18"/>
        </w:rPr>
        <w:t xml:space="preserve">vermeerdert. </w:t>
      </w:r>
      <w:r>
        <w:rPr>
          <w:rFonts w:ascii="Verdana" w:hAnsi="Verdana"/>
          <w:sz w:val="18"/>
          <w:szCs w:val="18"/>
        </w:rPr>
        <w:t xml:space="preserve">De brief heeft dus </w:t>
      </w:r>
      <w:r w:rsidRPr="00976FF9">
        <w:rPr>
          <w:rFonts w:ascii="Verdana" w:hAnsi="Verdana"/>
          <w:i/>
          <w:iCs/>
          <w:sz w:val="18"/>
          <w:szCs w:val="18"/>
        </w:rPr>
        <w:t>geen</w:t>
      </w:r>
      <w:r>
        <w:rPr>
          <w:rFonts w:ascii="Verdana" w:hAnsi="Verdana"/>
          <w:sz w:val="18"/>
          <w:szCs w:val="18"/>
        </w:rPr>
        <w:t xml:space="preserve"> betrekking op splitsingen waarbij het grondgebied van een op te heffen gemeente over twee of meer bestaande gemeenten wordt verdeeld (zoals het geval was bij de splitsing van de</w:t>
      </w:r>
      <w:r w:rsidR="00976FF9">
        <w:rPr>
          <w:rFonts w:ascii="Verdana" w:hAnsi="Verdana"/>
          <w:sz w:val="18"/>
          <w:szCs w:val="18"/>
        </w:rPr>
        <w:t xml:space="preserve"> Brabantse</w:t>
      </w:r>
      <w:r>
        <w:rPr>
          <w:rFonts w:ascii="Verdana" w:hAnsi="Verdana"/>
          <w:sz w:val="18"/>
          <w:szCs w:val="18"/>
        </w:rPr>
        <w:t xml:space="preserve"> gemeente Haaren in 2021). </w:t>
      </w:r>
      <w:r w:rsidR="00B06D56">
        <w:rPr>
          <w:rFonts w:ascii="Verdana" w:hAnsi="Verdana"/>
          <w:sz w:val="18"/>
          <w:szCs w:val="18"/>
        </w:rPr>
        <w:t>Bij een dergelijke splitsing</w:t>
      </w:r>
      <w:r>
        <w:rPr>
          <w:rFonts w:ascii="Verdana" w:hAnsi="Verdana"/>
          <w:sz w:val="18"/>
          <w:szCs w:val="18"/>
        </w:rPr>
        <w:t xml:space="preserve"> wordt het aantal gemeenten immers verminderd en is er sprake van opschaling. Om verwarring met dergelijke splitsingen te voorkomen, wordt in deze brief verder gesproken van ‘gemeentelijke afschaling’</w:t>
      </w:r>
      <w:r w:rsidR="00AF2752">
        <w:rPr>
          <w:rFonts w:ascii="Verdana" w:hAnsi="Verdana"/>
          <w:sz w:val="18"/>
          <w:szCs w:val="18"/>
        </w:rPr>
        <w:t>: een herindelingsvariant waarbij één gemeente wordt opgeheven en twee of meer nieuwe gemeenten ontstaan.</w:t>
      </w:r>
      <w:r w:rsidR="00AF2752">
        <w:rPr>
          <w:rStyle w:val="Voetnootmarkering"/>
          <w:rFonts w:ascii="Verdana" w:hAnsi="Verdana"/>
          <w:sz w:val="18"/>
          <w:szCs w:val="18"/>
        </w:rPr>
        <w:footnoteReference w:id="2"/>
      </w:r>
      <w:r w:rsidR="00AF2752">
        <w:rPr>
          <w:rFonts w:ascii="Verdana" w:hAnsi="Verdana"/>
          <w:sz w:val="18"/>
          <w:szCs w:val="18"/>
        </w:rPr>
        <w:t xml:space="preserve"> </w:t>
      </w:r>
    </w:p>
    <w:p w:rsidR="002B1F69" w:rsidP="002B1F69" w:rsidRDefault="00AB1D62" w14:paraId="3A2A9986" w14:textId="77777777">
      <w:pPr>
        <w:rPr>
          <w:rFonts w:ascii="Verdana" w:hAnsi="Verdana"/>
          <w:sz w:val="18"/>
          <w:szCs w:val="18"/>
        </w:rPr>
      </w:pPr>
      <w:r>
        <w:rPr>
          <w:rFonts w:ascii="Verdana" w:hAnsi="Verdana"/>
          <w:sz w:val="18"/>
          <w:szCs w:val="18"/>
        </w:rPr>
        <w:t xml:space="preserve">Verder </w:t>
      </w:r>
      <w:r w:rsidR="002B1F69">
        <w:rPr>
          <w:rFonts w:ascii="Verdana" w:hAnsi="Verdana"/>
          <w:sz w:val="18"/>
          <w:szCs w:val="18"/>
        </w:rPr>
        <w:t xml:space="preserve">wordt opgemerkt dat </w:t>
      </w:r>
      <w:r w:rsidR="001B066B">
        <w:rPr>
          <w:rFonts w:ascii="Verdana" w:hAnsi="Verdana"/>
          <w:sz w:val="18"/>
          <w:szCs w:val="18"/>
        </w:rPr>
        <w:t xml:space="preserve">mijn nadere analyse </w:t>
      </w:r>
      <w:r w:rsidR="002B1F69">
        <w:rPr>
          <w:rFonts w:ascii="Verdana" w:hAnsi="Verdana"/>
          <w:sz w:val="18"/>
          <w:szCs w:val="18"/>
        </w:rPr>
        <w:t xml:space="preserve">zich enkel richtte op de theoretische vraag of de hierboven genoemde kaders voldoende handvatten bieden om een </w:t>
      </w:r>
      <w:r w:rsidRPr="00FD5D36" w:rsidR="002B1F69">
        <w:rPr>
          <w:rFonts w:ascii="Verdana" w:hAnsi="Verdana"/>
          <w:sz w:val="18"/>
          <w:szCs w:val="18"/>
        </w:rPr>
        <w:t xml:space="preserve">eventuele wens tot </w:t>
      </w:r>
      <w:r w:rsidR="00894678">
        <w:rPr>
          <w:rFonts w:ascii="Verdana" w:hAnsi="Verdana"/>
          <w:sz w:val="18"/>
          <w:szCs w:val="18"/>
        </w:rPr>
        <w:t>afschaling</w:t>
      </w:r>
      <w:r w:rsidRPr="00FD5D36" w:rsidR="002B1F69">
        <w:rPr>
          <w:rFonts w:ascii="Verdana" w:hAnsi="Verdana"/>
          <w:sz w:val="18"/>
          <w:szCs w:val="18"/>
        </w:rPr>
        <w:t xml:space="preserve"> op een zorgvuldige manier te effectueren. </w:t>
      </w:r>
      <w:r w:rsidR="002B1F69">
        <w:rPr>
          <w:rFonts w:ascii="Verdana" w:hAnsi="Verdana"/>
          <w:sz w:val="18"/>
          <w:szCs w:val="18"/>
        </w:rPr>
        <w:t xml:space="preserve">Deze brief gaat dan ook niet in op de vraag of gemeentelijke </w:t>
      </w:r>
      <w:r w:rsidR="005D5BC5">
        <w:rPr>
          <w:rFonts w:ascii="Verdana" w:hAnsi="Verdana"/>
          <w:sz w:val="18"/>
          <w:szCs w:val="18"/>
        </w:rPr>
        <w:t>afschaling</w:t>
      </w:r>
      <w:r w:rsidR="008A6A84">
        <w:rPr>
          <w:rFonts w:ascii="Verdana" w:hAnsi="Verdana"/>
          <w:sz w:val="18"/>
          <w:szCs w:val="18"/>
        </w:rPr>
        <w:t xml:space="preserve"> </w:t>
      </w:r>
      <w:r w:rsidRPr="00CE6B9C" w:rsidR="002B1F69">
        <w:rPr>
          <w:rFonts w:ascii="Verdana" w:hAnsi="Verdana"/>
          <w:i/>
          <w:iCs/>
          <w:sz w:val="18"/>
          <w:szCs w:val="18"/>
        </w:rPr>
        <w:t>wenselijk</w:t>
      </w:r>
      <w:r w:rsidR="002B1F69">
        <w:rPr>
          <w:rFonts w:ascii="Verdana" w:hAnsi="Verdana"/>
          <w:sz w:val="18"/>
          <w:szCs w:val="18"/>
        </w:rPr>
        <w:t xml:space="preserve"> is. </w:t>
      </w:r>
    </w:p>
    <w:p w:rsidR="00796354" w:rsidP="00FC5C79" w:rsidRDefault="00023D59" w14:paraId="0F508672" w14:textId="77777777">
      <w:pPr>
        <w:rPr>
          <w:rFonts w:ascii="Verdana" w:hAnsi="Verdana"/>
          <w:sz w:val="18"/>
          <w:szCs w:val="18"/>
        </w:rPr>
      </w:pPr>
      <w:r>
        <w:rPr>
          <w:rFonts w:ascii="Verdana" w:hAnsi="Verdana"/>
          <w:sz w:val="18"/>
          <w:szCs w:val="18"/>
        </w:rPr>
        <w:lastRenderedPageBreak/>
        <w:t>In deze brief zal allereerst worden ingegaan</w:t>
      </w:r>
      <w:r w:rsidR="00AB1D62">
        <w:rPr>
          <w:rFonts w:ascii="Verdana" w:hAnsi="Verdana"/>
          <w:sz w:val="18"/>
          <w:szCs w:val="18"/>
        </w:rPr>
        <w:t xml:space="preserve"> op het grondwettelijke kader</w:t>
      </w:r>
      <w:r w:rsidR="002D1584">
        <w:rPr>
          <w:rFonts w:ascii="Verdana" w:hAnsi="Verdana"/>
          <w:sz w:val="18"/>
          <w:szCs w:val="18"/>
        </w:rPr>
        <w:t xml:space="preserve"> dat relevant is bij herindelingen en gemeentelijke afschaling.</w:t>
      </w:r>
      <w:r w:rsidR="00AB1D62">
        <w:rPr>
          <w:rFonts w:ascii="Verdana" w:hAnsi="Verdana"/>
          <w:sz w:val="18"/>
          <w:szCs w:val="18"/>
        </w:rPr>
        <w:t xml:space="preserve"> Vervolgens wordt ingegaan</w:t>
      </w:r>
      <w:r>
        <w:rPr>
          <w:rFonts w:ascii="Verdana" w:hAnsi="Verdana"/>
          <w:sz w:val="18"/>
          <w:szCs w:val="18"/>
        </w:rPr>
        <w:t xml:space="preserve"> op de Wet arhi. Zijn de regels die deze wet bevat ook goed toepasbaar in de situatie </w:t>
      </w:r>
      <w:r w:rsidR="00B65449">
        <w:rPr>
          <w:rFonts w:ascii="Verdana" w:hAnsi="Verdana"/>
          <w:sz w:val="18"/>
          <w:szCs w:val="18"/>
        </w:rPr>
        <w:t>waarbij één gemeente in twee of meerdere gemeenten wordt gesplits</w:t>
      </w:r>
      <w:r w:rsidR="00095874">
        <w:rPr>
          <w:rFonts w:ascii="Verdana" w:hAnsi="Verdana"/>
          <w:sz w:val="18"/>
          <w:szCs w:val="18"/>
        </w:rPr>
        <w:t>t</w:t>
      </w:r>
      <w:r>
        <w:rPr>
          <w:rFonts w:ascii="Verdana" w:hAnsi="Verdana"/>
          <w:sz w:val="18"/>
          <w:szCs w:val="18"/>
        </w:rPr>
        <w:t xml:space="preserve">? Vervolgens zal het Beleidskader gemeentelijke herindeling (2018) </w:t>
      </w:r>
      <w:r w:rsidR="006D36E5">
        <w:rPr>
          <w:rFonts w:ascii="Verdana" w:hAnsi="Verdana"/>
          <w:sz w:val="18"/>
          <w:szCs w:val="18"/>
        </w:rPr>
        <w:t>worden behandeld. Hierbij wordt met name besproken</w:t>
      </w:r>
      <w:r w:rsidRPr="009A302F" w:rsidR="006D36E5">
        <w:rPr>
          <w:rFonts w:ascii="Verdana" w:hAnsi="Verdana"/>
          <w:sz w:val="18"/>
          <w:szCs w:val="18"/>
        </w:rPr>
        <w:t xml:space="preserve"> of de handvatten uit </w:t>
      </w:r>
      <w:r w:rsidR="00796354">
        <w:rPr>
          <w:rFonts w:ascii="Verdana" w:hAnsi="Verdana"/>
          <w:sz w:val="18"/>
          <w:szCs w:val="18"/>
        </w:rPr>
        <w:t xml:space="preserve">dit beleidskader </w:t>
      </w:r>
      <w:r w:rsidR="00B65449">
        <w:rPr>
          <w:rFonts w:ascii="Verdana" w:hAnsi="Verdana"/>
          <w:sz w:val="18"/>
          <w:szCs w:val="18"/>
        </w:rPr>
        <w:t xml:space="preserve">ook in het geval van </w:t>
      </w:r>
      <w:r w:rsidR="001013D3">
        <w:rPr>
          <w:rFonts w:ascii="Verdana" w:hAnsi="Verdana"/>
          <w:sz w:val="18"/>
          <w:szCs w:val="18"/>
        </w:rPr>
        <w:t>gemeentelijke afschaling</w:t>
      </w:r>
      <w:r w:rsidR="00B65449">
        <w:rPr>
          <w:rFonts w:ascii="Verdana" w:hAnsi="Verdana"/>
          <w:sz w:val="18"/>
          <w:szCs w:val="18"/>
        </w:rPr>
        <w:t xml:space="preserve"> </w:t>
      </w:r>
      <w:r w:rsidR="00796354">
        <w:rPr>
          <w:rFonts w:ascii="Verdana" w:hAnsi="Verdana"/>
          <w:sz w:val="18"/>
          <w:szCs w:val="18"/>
        </w:rPr>
        <w:t>behulpzaam zijn voor de betrokken actoren om te kunnen beoordelen of de herindeling in kwestie wenselijk</w:t>
      </w:r>
      <w:r w:rsidR="00B65449">
        <w:rPr>
          <w:rFonts w:ascii="Verdana" w:hAnsi="Verdana"/>
          <w:sz w:val="18"/>
          <w:szCs w:val="18"/>
        </w:rPr>
        <w:t xml:space="preserve"> is. </w:t>
      </w:r>
      <w:r w:rsidR="00796354">
        <w:rPr>
          <w:rFonts w:ascii="Verdana" w:hAnsi="Verdana"/>
          <w:sz w:val="18"/>
          <w:szCs w:val="18"/>
        </w:rPr>
        <w:t>Tot slot wordt het Handboek gemeentelijke herindeling (2020) behandeld: zijn de procedures</w:t>
      </w:r>
      <w:r w:rsidR="00B65449">
        <w:rPr>
          <w:rFonts w:ascii="Verdana" w:hAnsi="Verdana"/>
          <w:sz w:val="18"/>
          <w:szCs w:val="18"/>
        </w:rPr>
        <w:t xml:space="preserve"> en handreikingen </w:t>
      </w:r>
      <w:r w:rsidR="00796354">
        <w:rPr>
          <w:rFonts w:ascii="Verdana" w:hAnsi="Verdana"/>
          <w:sz w:val="18"/>
          <w:szCs w:val="18"/>
        </w:rPr>
        <w:t xml:space="preserve">ook toepasbaar in het geval een gemeente in twee (of meerdere) gemeenten wordt gesplitst? </w:t>
      </w:r>
    </w:p>
    <w:p w:rsidRPr="00976FF9" w:rsidR="005D772E" w:rsidP="005D772E" w:rsidRDefault="005D772E" w14:paraId="1F427FBC" w14:textId="77777777">
      <w:pPr>
        <w:rPr>
          <w:rFonts w:ascii="Verdana" w:hAnsi="Verdana"/>
          <w:b/>
          <w:bCs/>
          <w:sz w:val="18"/>
          <w:szCs w:val="18"/>
        </w:rPr>
      </w:pPr>
      <w:r w:rsidRPr="005D772E">
        <w:rPr>
          <w:rFonts w:ascii="Verdana" w:hAnsi="Verdana"/>
          <w:b/>
          <w:bCs/>
          <w:sz w:val="18"/>
          <w:szCs w:val="18"/>
        </w:rPr>
        <w:t>1.</w:t>
      </w:r>
      <w:r>
        <w:rPr>
          <w:rFonts w:ascii="Verdana" w:hAnsi="Verdana"/>
          <w:b/>
          <w:bCs/>
          <w:sz w:val="18"/>
          <w:szCs w:val="18"/>
        </w:rPr>
        <w:t xml:space="preserve"> </w:t>
      </w:r>
      <w:r w:rsidRPr="00976FF9">
        <w:rPr>
          <w:rFonts w:ascii="Verdana" w:hAnsi="Verdana"/>
          <w:b/>
          <w:bCs/>
          <w:sz w:val="18"/>
          <w:szCs w:val="18"/>
        </w:rPr>
        <w:t xml:space="preserve">De Grondwet en gemeentelijke afschaling </w:t>
      </w:r>
    </w:p>
    <w:p w:rsidRPr="005D772E" w:rsidR="005D772E" w:rsidP="005D772E" w:rsidRDefault="007854D4" w14:paraId="552B0B3D" w14:textId="77777777">
      <w:pPr>
        <w:rPr>
          <w:rFonts w:ascii="Verdana" w:hAnsi="Verdana"/>
          <w:sz w:val="18"/>
          <w:szCs w:val="18"/>
        </w:rPr>
      </w:pPr>
      <w:r>
        <w:rPr>
          <w:rFonts w:ascii="Verdana" w:hAnsi="Verdana"/>
          <w:sz w:val="18"/>
          <w:szCs w:val="18"/>
        </w:rPr>
        <w:t>In artikel 123, eerste lid, van de Grondwet is bepaald dat provincies en gemeenten bij wet worden opgeheven en ingesteld. Deze bepaling is</w:t>
      </w:r>
      <w:r w:rsidR="00B06D56">
        <w:rPr>
          <w:rFonts w:ascii="Verdana" w:hAnsi="Verdana"/>
          <w:sz w:val="18"/>
          <w:szCs w:val="18"/>
        </w:rPr>
        <w:t xml:space="preserve"> </w:t>
      </w:r>
      <w:r w:rsidR="00471313">
        <w:rPr>
          <w:rFonts w:ascii="Verdana" w:hAnsi="Verdana"/>
          <w:sz w:val="18"/>
          <w:szCs w:val="18"/>
        </w:rPr>
        <w:t>ook</w:t>
      </w:r>
      <w:r>
        <w:rPr>
          <w:rFonts w:ascii="Verdana" w:hAnsi="Verdana"/>
          <w:sz w:val="18"/>
          <w:szCs w:val="18"/>
        </w:rPr>
        <w:t xml:space="preserve"> relevant in het geval van gemeentelijke afschaling, omdat in een dergelijk geval</w:t>
      </w:r>
      <w:r w:rsidR="00471313">
        <w:rPr>
          <w:rFonts w:ascii="Verdana" w:hAnsi="Verdana"/>
          <w:sz w:val="18"/>
          <w:szCs w:val="18"/>
        </w:rPr>
        <w:t xml:space="preserve"> tevens</w:t>
      </w:r>
      <w:r>
        <w:rPr>
          <w:rFonts w:ascii="Verdana" w:hAnsi="Verdana"/>
          <w:sz w:val="18"/>
          <w:szCs w:val="18"/>
        </w:rPr>
        <w:t xml:space="preserve"> sprake is van opheffing en instelling van gemeenten. Er wordt immers een bestaande gemeente opgeheven en twee – of meer-  nieuwe gemeenten ingesteld. Dit betekent dat een gemeentelijke afschaling bij wet dient te worden geregeld. </w:t>
      </w:r>
      <w:r w:rsidRPr="0039775C" w:rsidR="005D772E">
        <w:rPr>
          <w:rFonts w:ascii="Verdana" w:hAnsi="Verdana"/>
          <w:sz w:val="18"/>
          <w:szCs w:val="18"/>
        </w:rPr>
        <w:t>Inhoudelijke criteria ten aanzien van een gemeentelijke herindeling bevat de Grondwet niet.</w:t>
      </w:r>
      <w:r>
        <w:rPr>
          <w:rFonts w:ascii="Verdana" w:hAnsi="Verdana"/>
          <w:sz w:val="18"/>
          <w:szCs w:val="18"/>
        </w:rPr>
        <w:t xml:space="preserve"> Dat betekent dat uit de Grondwet enkel voortvloeit dat afschaling bij wet geregeld dient te worden. Wat precies in een dergelijke wet moet worden opgenomen, normeert de Grondwet niet. </w:t>
      </w:r>
    </w:p>
    <w:p w:rsidR="00B65449" w:rsidP="00B65449" w:rsidRDefault="00AB1D62" w14:paraId="6F5B08FC" w14:textId="77777777">
      <w:pPr>
        <w:rPr>
          <w:rFonts w:ascii="Verdana" w:hAnsi="Verdana"/>
          <w:sz w:val="18"/>
          <w:szCs w:val="18"/>
        </w:rPr>
      </w:pPr>
      <w:r>
        <w:rPr>
          <w:rFonts w:ascii="Verdana" w:hAnsi="Verdana"/>
          <w:b/>
          <w:bCs/>
          <w:sz w:val="18"/>
          <w:szCs w:val="18"/>
        </w:rPr>
        <w:t>2</w:t>
      </w:r>
      <w:r w:rsidR="00B65449">
        <w:rPr>
          <w:rFonts w:ascii="Verdana" w:hAnsi="Verdana"/>
          <w:b/>
          <w:bCs/>
          <w:sz w:val="18"/>
          <w:szCs w:val="18"/>
        </w:rPr>
        <w:t xml:space="preserve">. De Wet arhi en gemeentelijke </w:t>
      </w:r>
      <w:r w:rsidR="00B475C5">
        <w:rPr>
          <w:rFonts w:ascii="Verdana" w:hAnsi="Verdana"/>
          <w:b/>
          <w:bCs/>
          <w:sz w:val="18"/>
          <w:szCs w:val="18"/>
        </w:rPr>
        <w:t>afschaling</w:t>
      </w:r>
    </w:p>
    <w:p w:rsidRPr="00F07F37" w:rsidR="00B65449" w:rsidP="00B65449" w:rsidRDefault="00AB1D62" w14:paraId="1274A5FC" w14:textId="77777777">
      <w:pPr>
        <w:rPr>
          <w:rFonts w:ascii="Verdana" w:hAnsi="Verdana"/>
          <w:i/>
          <w:iCs/>
          <w:sz w:val="18"/>
          <w:szCs w:val="18"/>
        </w:rPr>
      </w:pPr>
      <w:r>
        <w:rPr>
          <w:rFonts w:ascii="Verdana" w:hAnsi="Verdana"/>
          <w:i/>
          <w:iCs/>
          <w:sz w:val="18"/>
          <w:szCs w:val="18"/>
        </w:rPr>
        <w:t>2</w:t>
      </w:r>
      <w:r w:rsidR="00905F76">
        <w:rPr>
          <w:rFonts w:ascii="Verdana" w:hAnsi="Verdana"/>
          <w:i/>
          <w:iCs/>
          <w:sz w:val="18"/>
          <w:szCs w:val="18"/>
        </w:rPr>
        <w:t xml:space="preserve">.1. Inleiding </w:t>
      </w:r>
      <w:r w:rsidR="00F07F37">
        <w:rPr>
          <w:rFonts w:ascii="Verdana" w:hAnsi="Verdana"/>
          <w:i/>
          <w:iCs/>
          <w:sz w:val="18"/>
          <w:szCs w:val="18"/>
        </w:rPr>
        <w:br/>
      </w:r>
      <w:r w:rsidR="00B65449">
        <w:rPr>
          <w:rFonts w:ascii="Verdana" w:hAnsi="Verdana"/>
          <w:sz w:val="18"/>
          <w:szCs w:val="18"/>
        </w:rPr>
        <w:t xml:space="preserve">Met de Wet algemene regels herindeling – in 1984 nog de ‘Wet algemene regelen in verband met wijziging van de gemeentelijke indeling’ (Wet argi) genoemd – zijn er uniforme regels ten aanzien van gemeentelijke herindelingen </w:t>
      </w:r>
      <w:r w:rsidR="002B1F69">
        <w:rPr>
          <w:rFonts w:ascii="Verdana" w:hAnsi="Verdana"/>
          <w:sz w:val="18"/>
          <w:szCs w:val="18"/>
        </w:rPr>
        <w:t>in de wet vastgelegd</w:t>
      </w:r>
      <w:r w:rsidR="00B65449">
        <w:rPr>
          <w:rFonts w:ascii="Verdana" w:hAnsi="Verdana"/>
          <w:sz w:val="18"/>
          <w:szCs w:val="18"/>
        </w:rPr>
        <w:t>. Tot dan toe werden de rechtsgevolgen van een herindeling (zoals de herindelingsdatum of</w:t>
      </w:r>
      <w:r w:rsidR="008714C2">
        <w:rPr>
          <w:rFonts w:ascii="Verdana" w:hAnsi="Verdana"/>
          <w:sz w:val="18"/>
          <w:szCs w:val="18"/>
        </w:rPr>
        <w:t xml:space="preserve"> de</w:t>
      </w:r>
      <w:r w:rsidR="00B65449">
        <w:rPr>
          <w:rFonts w:ascii="Verdana" w:hAnsi="Verdana"/>
          <w:sz w:val="18"/>
          <w:szCs w:val="18"/>
        </w:rPr>
        <w:t xml:space="preserve"> overgang van het personeel) nog geregeld in alle afzonderlijke herindelingswetten.</w:t>
      </w:r>
      <w:r w:rsidR="00B65449">
        <w:rPr>
          <w:rStyle w:val="Voetnootmarkering"/>
          <w:rFonts w:ascii="Verdana" w:hAnsi="Verdana"/>
          <w:sz w:val="18"/>
          <w:szCs w:val="18"/>
        </w:rPr>
        <w:footnoteReference w:id="3"/>
      </w:r>
      <w:r w:rsidR="00B65449">
        <w:rPr>
          <w:rFonts w:ascii="Verdana" w:hAnsi="Verdana"/>
          <w:sz w:val="18"/>
          <w:szCs w:val="18"/>
        </w:rPr>
        <w:t xml:space="preserve"> In de memorie van toelichting bij de Wet argi merkte de regering hierover het volgende op: </w:t>
      </w:r>
    </w:p>
    <w:p w:rsidR="00B65449" w:rsidP="00B65449" w:rsidRDefault="00B65449" w14:paraId="20106088" w14:textId="77777777">
      <w:pPr>
        <w:rPr>
          <w:rFonts w:ascii="Verdana" w:hAnsi="Verdana"/>
          <w:sz w:val="18"/>
          <w:szCs w:val="18"/>
        </w:rPr>
      </w:pPr>
      <w:r w:rsidRPr="00C15CC8">
        <w:rPr>
          <w:rFonts w:ascii="Verdana" w:hAnsi="Verdana"/>
          <w:i/>
          <w:iCs/>
          <w:sz w:val="18"/>
          <w:szCs w:val="18"/>
        </w:rPr>
        <w:t>“Aan een wet die de gevolgen van een beslissing tot wijziging van de gemeentelijke indeling in het algemeen regelt, bestaat reeds lange tijd behoefte. Uitgaande van het beginsel van de rechtsgelijkheid, is het duidelijk dat bedoelde gevolgen in het ene geval ten principale geen andere mogen zijn dan die in een ander geval, of het nu gaat om een simpele technische grenscorrectie dan wel een ingrijpende herindeling, of het gaat om wijziging van de indeling in Groningen dan wel in Zeeland.</w:t>
      </w:r>
      <w:r>
        <w:rPr>
          <w:rFonts w:ascii="Verdana" w:hAnsi="Verdana"/>
          <w:i/>
          <w:iCs/>
          <w:sz w:val="18"/>
          <w:szCs w:val="18"/>
        </w:rPr>
        <w:t>”</w:t>
      </w:r>
      <w:r>
        <w:rPr>
          <w:rStyle w:val="Voetnootmarkering"/>
          <w:rFonts w:ascii="Verdana" w:hAnsi="Verdana"/>
          <w:i/>
          <w:iCs/>
          <w:sz w:val="18"/>
          <w:szCs w:val="18"/>
        </w:rPr>
        <w:footnoteReference w:id="4"/>
      </w:r>
      <w:r>
        <w:rPr>
          <w:rFonts w:ascii="Verdana" w:hAnsi="Verdana"/>
          <w:i/>
          <w:iCs/>
          <w:sz w:val="18"/>
          <w:szCs w:val="18"/>
        </w:rPr>
        <w:br/>
      </w:r>
      <w:r>
        <w:rPr>
          <w:rFonts w:ascii="Verdana" w:hAnsi="Verdana"/>
          <w:i/>
          <w:iCs/>
          <w:sz w:val="18"/>
          <w:szCs w:val="18"/>
        </w:rPr>
        <w:br/>
      </w:r>
      <w:r>
        <w:rPr>
          <w:rFonts w:ascii="Verdana" w:hAnsi="Verdana"/>
          <w:sz w:val="18"/>
          <w:szCs w:val="18"/>
        </w:rPr>
        <w:t xml:space="preserve">Met de Wet argi werd dus vooral beoogd om de </w:t>
      </w:r>
      <w:r w:rsidRPr="001F15A3">
        <w:rPr>
          <w:rFonts w:ascii="Verdana" w:hAnsi="Verdana"/>
          <w:i/>
          <w:iCs/>
          <w:sz w:val="18"/>
          <w:szCs w:val="18"/>
        </w:rPr>
        <w:t>rechtsgevolgen</w:t>
      </w:r>
      <w:r>
        <w:rPr>
          <w:rFonts w:ascii="Verdana" w:hAnsi="Verdana"/>
          <w:sz w:val="18"/>
          <w:szCs w:val="18"/>
        </w:rPr>
        <w:t xml:space="preserve"> van gemeentelijke herindelingen te uniformeren. Hierbij kan onder meer worden gedacht aan bepalingen inzake de rechtskracht van voorschriften, de overgang van personeel en voorzieningen inzake de toepassing van enkele wetten.</w:t>
      </w:r>
      <w:r>
        <w:rPr>
          <w:rStyle w:val="Voetnootmarkering"/>
          <w:rFonts w:ascii="Verdana" w:hAnsi="Verdana"/>
          <w:sz w:val="18"/>
          <w:szCs w:val="18"/>
        </w:rPr>
        <w:footnoteReference w:id="5"/>
      </w:r>
      <w:r>
        <w:rPr>
          <w:rFonts w:ascii="Verdana" w:hAnsi="Verdana"/>
          <w:sz w:val="18"/>
          <w:szCs w:val="18"/>
        </w:rPr>
        <w:t xml:space="preserve"> Voorschriften inzake </w:t>
      </w:r>
      <w:r>
        <w:rPr>
          <w:rFonts w:ascii="Verdana" w:hAnsi="Verdana"/>
          <w:sz w:val="18"/>
          <w:szCs w:val="18"/>
        </w:rPr>
        <w:lastRenderedPageBreak/>
        <w:t xml:space="preserve">de </w:t>
      </w:r>
      <w:r>
        <w:rPr>
          <w:rFonts w:ascii="Verdana" w:hAnsi="Verdana"/>
          <w:i/>
          <w:iCs/>
          <w:sz w:val="18"/>
          <w:szCs w:val="18"/>
        </w:rPr>
        <w:t xml:space="preserve">procedure om tot een herindeling te komen </w:t>
      </w:r>
      <w:r>
        <w:rPr>
          <w:rFonts w:ascii="Verdana" w:hAnsi="Verdana"/>
          <w:sz w:val="18"/>
          <w:szCs w:val="18"/>
        </w:rPr>
        <w:t>(o.a. bepalingen inzake het open overleg en het opstellen van een herindelingsplan zoals dat toen nog heette) zijn later aan de wet toegevoegd.</w:t>
      </w:r>
      <w:r>
        <w:rPr>
          <w:rStyle w:val="Voetnootmarkering"/>
          <w:rFonts w:ascii="Verdana" w:hAnsi="Verdana"/>
          <w:sz w:val="18"/>
          <w:szCs w:val="18"/>
        </w:rPr>
        <w:footnoteReference w:id="6"/>
      </w:r>
      <w:r>
        <w:rPr>
          <w:rFonts w:ascii="Verdana" w:hAnsi="Verdana"/>
          <w:sz w:val="18"/>
          <w:szCs w:val="18"/>
        </w:rPr>
        <w:t xml:space="preserve"> De Wet arhi – zoals we die thans kennen- bevat </w:t>
      </w:r>
      <w:r w:rsidR="00F07F37">
        <w:rPr>
          <w:rFonts w:ascii="Verdana" w:hAnsi="Verdana"/>
          <w:sz w:val="18"/>
          <w:szCs w:val="18"/>
        </w:rPr>
        <w:t xml:space="preserve">vrijwel alleen </w:t>
      </w:r>
      <w:r>
        <w:rPr>
          <w:rFonts w:ascii="Verdana" w:hAnsi="Verdana"/>
          <w:i/>
          <w:iCs/>
          <w:sz w:val="18"/>
          <w:szCs w:val="18"/>
        </w:rPr>
        <w:t xml:space="preserve">procesmatige </w:t>
      </w:r>
      <w:r>
        <w:rPr>
          <w:rFonts w:ascii="Verdana" w:hAnsi="Verdana"/>
          <w:sz w:val="18"/>
          <w:szCs w:val="18"/>
        </w:rPr>
        <w:t>voorschriften en geen inhoudelijke criteria waaraan een concrete herindeling wordt beoordeeld.</w:t>
      </w:r>
      <w:r>
        <w:rPr>
          <w:rStyle w:val="Voetnootmarkering"/>
          <w:rFonts w:ascii="Verdana" w:hAnsi="Verdana"/>
          <w:sz w:val="18"/>
          <w:szCs w:val="18"/>
        </w:rPr>
        <w:footnoteReference w:id="7"/>
      </w:r>
      <w:r>
        <w:rPr>
          <w:rFonts w:ascii="Verdana" w:hAnsi="Verdana"/>
          <w:sz w:val="18"/>
          <w:szCs w:val="18"/>
        </w:rPr>
        <w:t xml:space="preserve"> Voor dergelijke inhoudelijke criteria is met name het Beleidskader gemeentelijke herindeling relevant</w:t>
      </w:r>
      <w:r w:rsidR="002B1F69">
        <w:rPr>
          <w:rFonts w:ascii="Verdana" w:hAnsi="Verdana"/>
          <w:sz w:val="18"/>
          <w:szCs w:val="18"/>
        </w:rPr>
        <w:t xml:space="preserve"> (zie ook de volgende paragraaf)</w:t>
      </w:r>
      <w:r>
        <w:rPr>
          <w:rFonts w:ascii="Verdana" w:hAnsi="Verdana"/>
          <w:sz w:val="18"/>
          <w:szCs w:val="18"/>
        </w:rPr>
        <w:t xml:space="preserve">. </w:t>
      </w:r>
    </w:p>
    <w:p w:rsidR="00B65449" w:rsidP="00B65449" w:rsidRDefault="00EB6C4A" w14:paraId="2F540CC9" w14:textId="77777777">
      <w:pPr>
        <w:rPr>
          <w:rFonts w:ascii="Verdana" w:hAnsi="Verdana"/>
          <w:sz w:val="18"/>
          <w:szCs w:val="18"/>
        </w:rPr>
      </w:pPr>
      <w:r>
        <w:rPr>
          <w:rFonts w:ascii="Verdana" w:hAnsi="Verdana"/>
          <w:sz w:val="18"/>
          <w:szCs w:val="18"/>
        </w:rPr>
        <w:t>B</w:t>
      </w:r>
      <w:r w:rsidR="00B65449">
        <w:rPr>
          <w:rFonts w:ascii="Verdana" w:hAnsi="Verdana"/>
          <w:sz w:val="18"/>
          <w:szCs w:val="18"/>
        </w:rPr>
        <w:t xml:space="preserve">ij de totstandkoming van de Wet argi in 1984 werd in de memorie van toelichting al onderkend dat </w:t>
      </w:r>
      <w:r w:rsidR="001013D3">
        <w:rPr>
          <w:rFonts w:ascii="Verdana" w:hAnsi="Verdana"/>
          <w:sz w:val="18"/>
          <w:szCs w:val="18"/>
        </w:rPr>
        <w:t xml:space="preserve">een </w:t>
      </w:r>
      <w:r w:rsidR="00B65449">
        <w:rPr>
          <w:rFonts w:ascii="Verdana" w:hAnsi="Verdana"/>
          <w:sz w:val="18"/>
          <w:szCs w:val="18"/>
        </w:rPr>
        <w:t xml:space="preserve">gemeentelijke herindeling in de praktijk </w:t>
      </w:r>
      <w:r w:rsidR="001013D3">
        <w:rPr>
          <w:rFonts w:ascii="Verdana" w:hAnsi="Verdana"/>
          <w:sz w:val="18"/>
          <w:szCs w:val="18"/>
        </w:rPr>
        <w:t xml:space="preserve">vrijwel altijd </w:t>
      </w:r>
      <w:r w:rsidR="00B65449">
        <w:rPr>
          <w:rFonts w:ascii="Verdana" w:hAnsi="Verdana"/>
          <w:sz w:val="18"/>
          <w:szCs w:val="18"/>
        </w:rPr>
        <w:t>samenvoeging inhoudt</w:t>
      </w:r>
      <w:r w:rsidR="007854D4">
        <w:rPr>
          <w:rFonts w:ascii="Verdana" w:hAnsi="Verdana"/>
          <w:sz w:val="18"/>
          <w:szCs w:val="18"/>
        </w:rPr>
        <w:t>.</w:t>
      </w:r>
      <w:r w:rsidR="00813D8E">
        <w:rPr>
          <w:rFonts w:ascii="Verdana" w:hAnsi="Verdana"/>
          <w:sz w:val="18"/>
          <w:szCs w:val="18"/>
        </w:rPr>
        <w:t xml:space="preserve"> De regering onderkende wel dat eerder al een afschaling had plaatsgevonden (de splitsing van de gemeente Ermelo in de nieuwe gemeenten Ermelo en Nunspeet</w:t>
      </w:r>
      <w:r w:rsidR="0064068E">
        <w:rPr>
          <w:rFonts w:ascii="Verdana" w:hAnsi="Verdana"/>
          <w:sz w:val="18"/>
          <w:szCs w:val="18"/>
        </w:rPr>
        <w:t xml:space="preserve"> in 1972</w:t>
      </w:r>
      <w:r w:rsidR="00813D8E">
        <w:rPr>
          <w:rStyle w:val="Voetnootmarkering"/>
          <w:rFonts w:ascii="Verdana" w:hAnsi="Verdana"/>
          <w:sz w:val="18"/>
          <w:szCs w:val="18"/>
        </w:rPr>
        <w:footnoteReference w:id="8"/>
      </w:r>
      <w:r w:rsidR="00813D8E">
        <w:rPr>
          <w:rFonts w:ascii="Verdana" w:hAnsi="Verdana"/>
          <w:sz w:val="18"/>
          <w:szCs w:val="18"/>
        </w:rPr>
        <w:t xml:space="preserve">), maar stelde dat die herindeling een dusdanig uitzonderlijk karakter had dat hieruit </w:t>
      </w:r>
      <w:r w:rsidR="0064068E">
        <w:rPr>
          <w:rFonts w:ascii="Verdana" w:hAnsi="Verdana"/>
          <w:sz w:val="18"/>
          <w:szCs w:val="18"/>
        </w:rPr>
        <w:t xml:space="preserve">moeilijk </w:t>
      </w:r>
      <w:r w:rsidR="00813D8E">
        <w:rPr>
          <w:rFonts w:ascii="Verdana" w:hAnsi="Verdana"/>
          <w:sz w:val="18"/>
          <w:szCs w:val="18"/>
        </w:rPr>
        <w:t xml:space="preserve">algemene regels kunnen worden afgeleid: </w:t>
      </w:r>
      <w:r w:rsidR="007854D4">
        <w:rPr>
          <w:rFonts w:ascii="Verdana" w:hAnsi="Verdana"/>
          <w:sz w:val="18"/>
          <w:szCs w:val="18"/>
        </w:rPr>
        <w:t xml:space="preserve"> </w:t>
      </w:r>
    </w:p>
    <w:p w:rsidRPr="00873D4A" w:rsidR="00B65449" w:rsidP="00B65449" w:rsidRDefault="00B65449" w14:paraId="467B4A85" w14:textId="77777777">
      <w:pPr>
        <w:rPr>
          <w:rFonts w:ascii="Verdana" w:hAnsi="Verdana"/>
          <w:i/>
          <w:iCs/>
          <w:sz w:val="18"/>
          <w:szCs w:val="18"/>
        </w:rPr>
      </w:pPr>
      <w:r w:rsidRPr="00873D4A">
        <w:rPr>
          <w:rFonts w:ascii="Verdana" w:hAnsi="Verdana"/>
          <w:i/>
          <w:iCs/>
          <w:sz w:val="18"/>
          <w:szCs w:val="18"/>
        </w:rPr>
        <w:t>“Ten slotte wil ik er voor alle duidelijkheid nog wel op wijzen dat gemeentelijke herindeling, afgezien van de mogelijkheid van grenswijziging zonder meer, in de praktijk altijd de samenvoeging van bestaande gemeenten inhoudt. In elk geval is het op die situatie dat met name de in dit wetsvoorstel voor de overgang van het personeel gegeven regelingen zijn toegeschreven. Het spreekt vanzelf dat in geval van splitsing aan een geheel andere benadering van de overgangsproblematiek moet worden gedacht, zoals bij de splitsing van Ermelo in feite ook is geschied. Noch in dit uitzonderlijke geval noch in de eventuele splitsing van andersoortige bestuurlijke eenheden is dan ook enige analogie te vinden die het bepleiten van in deze kaders aangedragen oplossingen voor gemeentelijke samenvoeging voldoende grond zouden kunnen geven.”</w:t>
      </w:r>
      <w:r>
        <w:rPr>
          <w:rStyle w:val="Voetnootmarkering"/>
          <w:rFonts w:ascii="Verdana" w:hAnsi="Verdana"/>
          <w:i/>
          <w:iCs/>
          <w:sz w:val="18"/>
          <w:szCs w:val="18"/>
        </w:rPr>
        <w:footnoteReference w:id="9"/>
      </w:r>
      <w:r w:rsidRPr="00873D4A">
        <w:rPr>
          <w:rFonts w:ascii="Verdana" w:hAnsi="Verdana"/>
          <w:i/>
          <w:iCs/>
          <w:sz w:val="18"/>
          <w:szCs w:val="18"/>
        </w:rPr>
        <w:t xml:space="preserve"> </w:t>
      </w:r>
    </w:p>
    <w:p w:rsidR="00B65449" w:rsidP="00B65449" w:rsidRDefault="00AB1D62" w14:paraId="02E69F72" w14:textId="77777777">
      <w:pPr>
        <w:rPr>
          <w:rFonts w:ascii="Verdana" w:hAnsi="Verdana"/>
          <w:sz w:val="18"/>
          <w:szCs w:val="18"/>
        </w:rPr>
      </w:pPr>
      <w:r>
        <w:rPr>
          <w:rFonts w:ascii="Verdana" w:hAnsi="Verdana"/>
          <w:i/>
          <w:iCs/>
          <w:sz w:val="18"/>
          <w:szCs w:val="18"/>
        </w:rPr>
        <w:t>2</w:t>
      </w:r>
      <w:r w:rsidR="00905F76">
        <w:rPr>
          <w:rFonts w:ascii="Verdana" w:hAnsi="Verdana"/>
          <w:i/>
          <w:iCs/>
          <w:sz w:val="18"/>
          <w:szCs w:val="18"/>
        </w:rPr>
        <w:t xml:space="preserve">.2: </w:t>
      </w:r>
      <w:r w:rsidR="00FC4B7E">
        <w:rPr>
          <w:rFonts w:ascii="Verdana" w:hAnsi="Verdana"/>
          <w:i/>
          <w:iCs/>
          <w:sz w:val="18"/>
          <w:szCs w:val="18"/>
        </w:rPr>
        <w:t>Veel</w:t>
      </w:r>
      <w:r w:rsidR="00A84E6B">
        <w:rPr>
          <w:rFonts w:ascii="Verdana" w:hAnsi="Verdana"/>
          <w:i/>
          <w:iCs/>
          <w:sz w:val="18"/>
          <w:szCs w:val="18"/>
        </w:rPr>
        <w:t xml:space="preserve"> bepalingen van de Wet arhi zijn toepasbaar bij gemeentelijke </w:t>
      </w:r>
      <w:r w:rsidR="008714C2">
        <w:rPr>
          <w:rFonts w:ascii="Verdana" w:hAnsi="Verdana"/>
          <w:i/>
          <w:iCs/>
          <w:sz w:val="18"/>
          <w:szCs w:val="18"/>
        </w:rPr>
        <w:t>afschaling</w:t>
      </w:r>
      <w:r w:rsidR="00905F76">
        <w:rPr>
          <w:rFonts w:ascii="Verdana" w:hAnsi="Verdana"/>
          <w:sz w:val="18"/>
          <w:szCs w:val="18"/>
        </w:rPr>
        <w:br/>
      </w:r>
      <w:r w:rsidR="00813D8E">
        <w:rPr>
          <w:rFonts w:ascii="Verdana" w:hAnsi="Verdana"/>
          <w:sz w:val="18"/>
          <w:szCs w:val="18"/>
        </w:rPr>
        <w:t xml:space="preserve">Hoewel </w:t>
      </w:r>
      <w:r w:rsidR="0064068E">
        <w:rPr>
          <w:rFonts w:ascii="Verdana" w:hAnsi="Verdana"/>
          <w:sz w:val="18"/>
          <w:szCs w:val="18"/>
        </w:rPr>
        <w:t xml:space="preserve">bij de totstandkoming van de Wet arhi duidelijk werd onderstreept dat de wet betrekking heeft op </w:t>
      </w:r>
      <w:r w:rsidR="008714C2">
        <w:rPr>
          <w:rFonts w:ascii="Verdana" w:hAnsi="Verdana"/>
          <w:sz w:val="18"/>
          <w:szCs w:val="18"/>
        </w:rPr>
        <w:t xml:space="preserve">herindelingen </w:t>
      </w:r>
      <w:r w:rsidR="00B65449">
        <w:rPr>
          <w:rFonts w:ascii="Verdana" w:hAnsi="Verdana"/>
          <w:sz w:val="18"/>
          <w:szCs w:val="18"/>
        </w:rPr>
        <w:t xml:space="preserve">waarbij het aantal gemeenten </w:t>
      </w:r>
      <w:r w:rsidRPr="00190383" w:rsidR="00B65449">
        <w:rPr>
          <w:rFonts w:ascii="Verdana" w:hAnsi="Verdana"/>
          <w:sz w:val="18"/>
          <w:szCs w:val="18"/>
        </w:rPr>
        <w:t xml:space="preserve">vermindert, </w:t>
      </w:r>
      <w:r w:rsidR="0064068E">
        <w:rPr>
          <w:rFonts w:ascii="Verdana" w:hAnsi="Verdana"/>
          <w:sz w:val="18"/>
          <w:szCs w:val="18"/>
        </w:rPr>
        <w:t xml:space="preserve">hoeft dit mijns inziens echter niet te betekenen </w:t>
      </w:r>
      <w:r w:rsidRPr="00190383" w:rsidR="00B65449">
        <w:rPr>
          <w:rFonts w:ascii="Verdana" w:hAnsi="Verdana"/>
          <w:sz w:val="18"/>
          <w:szCs w:val="18"/>
        </w:rPr>
        <w:t xml:space="preserve">dat de Wet arhi </w:t>
      </w:r>
      <w:r w:rsidR="008714C2">
        <w:rPr>
          <w:rFonts w:ascii="Verdana" w:hAnsi="Verdana"/>
          <w:sz w:val="18"/>
          <w:szCs w:val="18"/>
        </w:rPr>
        <w:t>on</w:t>
      </w:r>
      <w:r w:rsidRPr="00190383" w:rsidR="00B65449">
        <w:rPr>
          <w:rFonts w:ascii="Verdana" w:hAnsi="Verdana"/>
          <w:sz w:val="18"/>
          <w:szCs w:val="18"/>
        </w:rPr>
        <w:t>bruikbaar is voor de situatie waarbij het aantal gemeenten juist toeneemt.</w:t>
      </w:r>
      <w:r w:rsidRPr="00873D4A" w:rsidR="00B65449">
        <w:rPr>
          <w:rFonts w:ascii="Verdana" w:hAnsi="Verdana"/>
          <w:i/>
          <w:iCs/>
          <w:sz w:val="18"/>
          <w:szCs w:val="18"/>
        </w:rPr>
        <w:t xml:space="preserve"> </w:t>
      </w:r>
      <w:r w:rsidR="0064068E">
        <w:rPr>
          <w:rFonts w:ascii="Verdana" w:hAnsi="Verdana"/>
          <w:sz w:val="18"/>
          <w:szCs w:val="18"/>
        </w:rPr>
        <w:t xml:space="preserve">Uit artikel 1 van de </w:t>
      </w:r>
      <w:r w:rsidR="00B65449">
        <w:rPr>
          <w:rFonts w:ascii="Verdana" w:hAnsi="Verdana"/>
          <w:sz w:val="18"/>
          <w:szCs w:val="18"/>
        </w:rPr>
        <w:t xml:space="preserve"> Wet arhi</w:t>
      </w:r>
      <w:r w:rsidR="0064068E">
        <w:rPr>
          <w:rFonts w:ascii="Verdana" w:hAnsi="Verdana"/>
          <w:sz w:val="18"/>
          <w:szCs w:val="18"/>
        </w:rPr>
        <w:t xml:space="preserve"> volgt namelijk niet dat de wet enkel van toepassing is</w:t>
      </w:r>
      <w:r w:rsidR="00B06D56">
        <w:rPr>
          <w:rFonts w:ascii="Verdana" w:hAnsi="Verdana"/>
          <w:sz w:val="18"/>
          <w:szCs w:val="18"/>
        </w:rPr>
        <w:t xml:space="preserve"> </w:t>
      </w:r>
      <w:r w:rsidR="00B65449">
        <w:rPr>
          <w:rFonts w:ascii="Verdana" w:hAnsi="Verdana"/>
          <w:sz w:val="18"/>
          <w:szCs w:val="18"/>
        </w:rPr>
        <w:t xml:space="preserve">gemeentelijke samenvoegingen, maar op </w:t>
      </w:r>
      <w:r w:rsidRPr="00976FF9" w:rsidR="00B65449">
        <w:rPr>
          <w:rFonts w:ascii="Verdana" w:hAnsi="Verdana"/>
          <w:i/>
          <w:iCs/>
          <w:sz w:val="18"/>
          <w:szCs w:val="18"/>
        </w:rPr>
        <w:t>wijzigingen van de gemeentelijke indeling</w:t>
      </w:r>
      <w:r w:rsidR="00B65449">
        <w:rPr>
          <w:rFonts w:ascii="Verdana" w:hAnsi="Verdana"/>
          <w:sz w:val="18"/>
          <w:szCs w:val="18"/>
        </w:rPr>
        <w:t xml:space="preserve">. Ingevolge artikel 1, eerste lid, onderdeel b, wordt hieronder verstaan “de instelling en opheffing van gemeenten alsmede wijziging van gemeentegrenzen die naar verwachting het inwonertal van ten minste één van de betrokken gemeenten met 10% of meer zal doen toe- of afnemen”. Ook de situatie dat één gemeente in meerdere gemeenten wordt gesplitst kan onder deze definitie vallen. In een dergelijk geval wordt de oude gemeente immers opgeheven en worden er (meerdere) nieuwe gemeenten ingesteld. </w:t>
      </w:r>
    </w:p>
    <w:p w:rsidR="00B65449" w:rsidP="00B65449" w:rsidRDefault="00B65449" w14:paraId="647F84B2" w14:textId="77777777">
      <w:pPr>
        <w:rPr>
          <w:rFonts w:ascii="Verdana" w:hAnsi="Verdana"/>
          <w:sz w:val="18"/>
          <w:szCs w:val="18"/>
        </w:rPr>
      </w:pPr>
      <w:r>
        <w:rPr>
          <w:rFonts w:ascii="Verdana" w:hAnsi="Verdana"/>
          <w:sz w:val="18"/>
          <w:szCs w:val="18"/>
        </w:rPr>
        <w:lastRenderedPageBreak/>
        <w:t xml:space="preserve">Het feit dat </w:t>
      </w:r>
      <w:r w:rsidR="00D1769B">
        <w:rPr>
          <w:rFonts w:ascii="Verdana" w:hAnsi="Verdana"/>
          <w:sz w:val="18"/>
          <w:szCs w:val="18"/>
        </w:rPr>
        <w:t xml:space="preserve">een </w:t>
      </w:r>
      <w:r>
        <w:rPr>
          <w:rFonts w:ascii="Verdana" w:hAnsi="Verdana"/>
          <w:sz w:val="18"/>
          <w:szCs w:val="18"/>
        </w:rPr>
        <w:t xml:space="preserve">gemeentelijke </w:t>
      </w:r>
      <w:r w:rsidR="008714C2">
        <w:rPr>
          <w:rFonts w:ascii="Verdana" w:hAnsi="Verdana"/>
          <w:sz w:val="18"/>
          <w:szCs w:val="18"/>
        </w:rPr>
        <w:t xml:space="preserve">afschaling </w:t>
      </w:r>
      <w:r>
        <w:rPr>
          <w:rFonts w:ascii="Verdana" w:hAnsi="Verdana"/>
          <w:sz w:val="18"/>
          <w:szCs w:val="18"/>
        </w:rPr>
        <w:t>ook onder de definitie van een wijziging van de gemeentelijke indeling val</w:t>
      </w:r>
      <w:r w:rsidR="00D1769B">
        <w:rPr>
          <w:rFonts w:ascii="Verdana" w:hAnsi="Verdana"/>
          <w:sz w:val="18"/>
          <w:szCs w:val="18"/>
        </w:rPr>
        <w:t>t</w:t>
      </w:r>
      <w:r>
        <w:rPr>
          <w:rFonts w:ascii="Verdana" w:hAnsi="Verdana"/>
          <w:sz w:val="18"/>
          <w:szCs w:val="18"/>
        </w:rPr>
        <w:t xml:space="preserve">, maakt dat </w:t>
      </w:r>
      <w:r w:rsidR="00974B62">
        <w:rPr>
          <w:rFonts w:ascii="Verdana" w:hAnsi="Verdana"/>
          <w:sz w:val="18"/>
          <w:szCs w:val="18"/>
        </w:rPr>
        <w:t xml:space="preserve">veel </w:t>
      </w:r>
      <w:r>
        <w:rPr>
          <w:rFonts w:ascii="Verdana" w:hAnsi="Verdana"/>
          <w:sz w:val="18"/>
          <w:szCs w:val="18"/>
        </w:rPr>
        <w:t>bepalingen van de Wet arhi goed toepasbaar zijn bij de afschaling van een gemeente. Zo kan bijvoorbeeld artikel 2 van de Wet arhi ook prima toe worden gepast</w:t>
      </w:r>
      <w:r w:rsidR="008714C2">
        <w:rPr>
          <w:rFonts w:ascii="Verdana" w:hAnsi="Verdana"/>
          <w:sz w:val="18"/>
          <w:szCs w:val="18"/>
        </w:rPr>
        <w:t xml:space="preserve"> in het geval van afschaling</w:t>
      </w:r>
      <w:r>
        <w:rPr>
          <w:rFonts w:ascii="Verdana" w:hAnsi="Verdana"/>
          <w:sz w:val="18"/>
          <w:szCs w:val="18"/>
        </w:rPr>
        <w:t xml:space="preserve">. Artikel 2, eerste lid, van de Wet arhi bepaalt dat bij een herindelingsontwerp, een herindelingsadvies of een herindelingsregeling één of meer kaarten zijn gevoegd waarop de wijzigingen van de provincie- of gemeentegrenzen zijn aangegeven. Artikel 2, tweede lid, bepaalt dat gedeputeerde staten binnen twee maanden na de vaststelling van de herindelingsregeling een (gedetailleerde) grensbeschrijving vast dienen te stellen. Het derde lid bepaalt tot slot dat de inwerkingtreding van de herindelingsregeling wordt bepaald op een tijdstip dat is gelegen na de vaststelling van de </w:t>
      </w:r>
      <w:r w:rsidR="00894678">
        <w:rPr>
          <w:rFonts w:ascii="Verdana" w:hAnsi="Verdana"/>
          <w:sz w:val="18"/>
          <w:szCs w:val="18"/>
        </w:rPr>
        <w:t>grensbeschrijving</w:t>
      </w:r>
      <w:r>
        <w:rPr>
          <w:rFonts w:ascii="Verdana" w:hAnsi="Verdana"/>
          <w:sz w:val="18"/>
          <w:szCs w:val="18"/>
        </w:rPr>
        <w:t xml:space="preserve">. Bij deze voorschriften is het niet van belang of de herindeling nu een samenvoeging of een afschaling betreft: </w:t>
      </w:r>
      <w:r w:rsidR="00974B62">
        <w:rPr>
          <w:rFonts w:ascii="Verdana" w:hAnsi="Verdana"/>
          <w:sz w:val="18"/>
          <w:szCs w:val="18"/>
        </w:rPr>
        <w:t>in beide</w:t>
      </w:r>
      <w:r w:rsidR="00CB4A79">
        <w:rPr>
          <w:rFonts w:ascii="Verdana" w:hAnsi="Verdana"/>
          <w:sz w:val="18"/>
          <w:szCs w:val="18"/>
        </w:rPr>
        <w:t xml:space="preserve"> </w:t>
      </w:r>
      <w:r>
        <w:rPr>
          <w:rFonts w:ascii="Verdana" w:hAnsi="Verdana"/>
          <w:sz w:val="18"/>
          <w:szCs w:val="18"/>
        </w:rPr>
        <w:t xml:space="preserve">gevallen moet de herindelingsregeling een kaart bevatten en moeten gedeputeerde staten een grensbeschrijving vaststellen. </w:t>
      </w:r>
    </w:p>
    <w:p w:rsidR="00952F40" w:rsidP="00B65449" w:rsidRDefault="008714C2" w14:paraId="0B1287EC" w14:textId="77777777">
      <w:pPr>
        <w:rPr>
          <w:rFonts w:ascii="Verdana" w:hAnsi="Verdana"/>
          <w:sz w:val="18"/>
          <w:szCs w:val="18"/>
        </w:rPr>
      </w:pPr>
      <w:r w:rsidRPr="00FC21D5">
        <w:rPr>
          <w:rFonts w:ascii="Verdana" w:hAnsi="Verdana"/>
          <w:sz w:val="18"/>
          <w:szCs w:val="18"/>
        </w:rPr>
        <w:t xml:space="preserve">Een </w:t>
      </w:r>
      <w:r w:rsidR="0064068E">
        <w:rPr>
          <w:rFonts w:ascii="Verdana" w:hAnsi="Verdana"/>
          <w:sz w:val="18"/>
          <w:szCs w:val="18"/>
        </w:rPr>
        <w:t>ander</w:t>
      </w:r>
      <w:r w:rsidRPr="00FC21D5" w:rsidR="0064068E">
        <w:rPr>
          <w:rFonts w:ascii="Verdana" w:hAnsi="Verdana"/>
          <w:sz w:val="18"/>
          <w:szCs w:val="18"/>
        </w:rPr>
        <w:t xml:space="preserve"> </w:t>
      </w:r>
      <w:r w:rsidRPr="00FC21D5">
        <w:rPr>
          <w:rFonts w:ascii="Verdana" w:hAnsi="Verdana"/>
          <w:sz w:val="18"/>
          <w:szCs w:val="18"/>
        </w:rPr>
        <w:t xml:space="preserve">voorbeeld </w:t>
      </w:r>
      <w:r w:rsidRPr="00FC21D5" w:rsidR="004C3D07">
        <w:rPr>
          <w:rFonts w:ascii="Verdana" w:hAnsi="Verdana"/>
          <w:sz w:val="18"/>
          <w:szCs w:val="18"/>
        </w:rPr>
        <w:t>is</w:t>
      </w:r>
      <w:r w:rsidRPr="00FC21D5">
        <w:rPr>
          <w:rFonts w:ascii="Verdana" w:hAnsi="Verdana"/>
          <w:sz w:val="18"/>
          <w:szCs w:val="18"/>
        </w:rPr>
        <w:t xml:space="preserve"> artikel 44 van de Wet arhi, dat de overgang van rechten en verplichtingen </w:t>
      </w:r>
      <w:r w:rsidRPr="00FC21D5" w:rsidR="004C3D07">
        <w:rPr>
          <w:rFonts w:ascii="Verdana" w:hAnsi="Verdana"/>
          <w:sz w:val="18"/>
          <w:szCs w:val="18"/>
        </w:rPr>
        <w:t xml:space="preserve">van op te heffen gemeenten </w:t>
      </w:r>
      <w:r w:rsidRPr="00FC21D5">
        <w:rPr>
          <w:rFonts w:ascii="Verdana" w:hAnsi="Verdana"/>
          <w:sz w:val="18"/>
          <w:szCs w:val="18"/>
        </w:rPr>
        <w:t xml:space="preserve">regelt. Uitgangspunt is </w:t>
      </w:r>
      <w:r w:rsidRPr="00FC21D5" w:rsidR="001E381C">
        <w:rPr>
          <w:rFonts w:ascii="Verdana" w:hAnsi="Verdana"/>
          <w:sz w:val="18"/>
          <w:szCs w:val="18"/>
        </w:rPr>
        <w:t>dat de rechten en verplichtingen van een op te heffen gemeente overgaan op de gemeente waaraan haar gebied wordt toegevoegd (art. 44, eerste lid). In de situatie dat de gemeenten A en B samengaan tot de nieuwe gemeente C, gaan de rechten en verplichtingen</w:t>
      </w:r>
      <w:r w:rsidR="005D5BC5">
        <w:rPr>
          <w:rFonts w:ascii="Verdana" w:hAnsi="Verdana"/>
          <w:sz w:val="18"/>
          <w:szCs w:val="18"/>
        </w:rPr>
        <w:t xml:space="preserve"> van de opgeheven gemeenten A en B</w:t>
      </w:r>
      <w:r w:rsidRPr="00FC21D5" w:rsidR="001E381C">
        <w:rPr>
          <w:rFonts w:ascii="Verdana" w:hAnsi="Verdana"/>
          <w:sz w:val="18"/>
          <w:szCs w:val="18"/>
        </w:rPr>
        <w:t xml:space="preserve"> dus over op de nieuwe gemeente C. Dit is echter anders indien het grondgebied van een gemeente over meerdere gemeenten wordt verdeeld. </w:t>
      </w:r>
      <w:r w:rsidRPr="00FC21D5" w:rsidR="004A570F">
        <w:rPr>
          <w:rFonts w:ascii="Verdana" w:hAnsi="Verdana"/>
          <w:sz w:val="18"/>
          <w:szCs w:val="18"/>
        </w:rPr>
        <w:t>In een dergelijk geval gaan de rechten en verplichtingen die niet duidelijk betrekking hebben op overgaand gebied (zoals de algemene reserve) over op een in de herindelingswet aan te wijzen gemeente. Op deze wijze wordt voorkomen dat bij een herindeling allerlei problemen ontstaan</w:t>
      </w:r>
      <w:r w:rsidRPr="00FC21D5" w:rsidR="004C3D07">
        <w:rPr>
          <w:rFonts w:ascii="Verdana" w:hAnsi="Verdana"/>
          <w:sz w:val="18"/>
          <w:szCs w:val="18"/>
        </w:rPr>
        <w:t xml:space="preserve"> omtrent de toedeling van rechten en verplichtingen die niet duidelijk territoriaal</w:t>
      </w:r>
      <w:r w:rsidRPr="00FC21D5" w:rsidR="004A570F">
        <w:rPr>
          <w:rFonts w:ascii="Verdana" w:hAnsi="Verdana"/>
          <w:sz w:val="18"/>
          <w:szCs w:val="18"/>
        </w:rPr>
        <w:t xml:space="preserve"> gebonden zijn. Eventuele onbillijke </w:t>
      </w:r>
      <w:r w:rsidRPr="00FC21D5" w:rsidR="004C3D07">
        <w:rPr>
          <w:rFonts w:ascii="Verdana" w:hAnsi="Verdana"/>
          <w:sz w:val="18"/>
          <w:szCs w:val="18"/>
        </w:rPr>
        <w:t>gevolgen van deze verdeling kunnen via een verrekening tussen gemeenten worden ondervangen (art. 50 Wet arhi).</w:t>
      </w:r>
      <w:r w:rsidRPr="00FC21D5" w:rsidR="004C3D07">
        <w:rPr>
          <w:rStyle w:val="Voetnootmarkering"/>
          <w:rFonts w:ascii="Verdana" w:hAnsi="Verdana"/>
          <w:sz w:val="18"/>
          <w:szCs w:val="18"/>
        </w:rPr>
        <w:footnoteReference w:id="10"/>
      </w:r>
      <w:r w:rsidRPr="00FC21D5" w:rsidR="004C3D07">
        <w:rPr>
          <w:rFonts w:ascii="Verdana" w:hAnsi="Verdana"/>
          <w:sz w:val="18"/>
          <w:szCs w:val="18"/>
        </w:rPr>
        <w:t xml:space="preserve"> Rechten en verplichtingen die wel duidelijk betrekking hebben op overgaand gebied</w:t>
      </w:r>
      <w:r w:rsidR="005D5BC5">
        <w:rPr>
          <w:rFonts w:ascii="Verdana" w:hAnsi="Verdana"/>
          <w:sz w:val="18"/>
          <w:szCs w:val="18"/>
        </w:rPr>
        <w:t xml:space="preserve"> (bijvoorbeeld eigendomsrechten)</w:t>
      </w:r>
      <w:r w:rsidRPr="00FC21D5" w:rsidR="004C3D07">
        <w:rPr>
          <w:rFonts w:ascii="Verdana" w:hAnsi="Verdana"/>
          <w:sz w:val="18"/>
          <w:szCs w:val="18"/>
        </w:rPr>
        <w:t xml:space="preserve">, gaan ingevolge art. 44, tweede lid, Wet arhi over op de gemeente waaraan het gebied wordt toegevoegd. </w:t>
      </w:r>
      <w:r w:rsidRPr="00FC21D5" w:rsidR="00FC21D5">
        <w:rPr>
          <w:rFonts w:ascii="Verdana" w:hAnsi="Verdana"/>
          <w:sz w:val="18"/>
          <w:szCs w:val="18"/>
        </w:rPr>
        <w:t>In het verleden is het enkele keren voorgekomen dat het grondgebied van een op te heffen gemeente over meerdere</w:t>
      </w:r>
      <w:r w:rsidR="00FC21D5">
        <w:rPr>
          <w:rFonts w:ascii="Verdana" w:hAnsi="Verdana"/>
          <w:sz w:val="18"/>
          <w:szCs w:val="18"/>
        </w:rPr>
        <w:t xml:space="preserve"> (bestaande)</w:t>
      </w:r>
      <w:r w:rsidRPr="00FC21D5" w:rsidR="00FC21D5">
        <w:rPr>
          <w:rFonts w:ascii="Verdana" w:hAnsi="Verdana"/>
          <w:sz w:val="18"/>
          <w:szCs w:val="18"/>
        </w:rPr>
        <w:t xml:space="preserve"> gemeenten is verdeeld. Een voorbeeld is de splitsing van de gemeente Littenseradiel</w:t>
      </w:r>
      <w:r w:rsidR="00952F40">
        <w:rPr>
          <w:rFonts w:ascii="Verdana" w:hAnsi="Verdana"/>
          <w:sz w:val="18"/>
          <w:szCs w:val="18"/>
        </w:rPr>
        <w:t>:</w:t>
      </w:r>
      <w:r w:rsidRPr="00FC21D5" w:rsidR="00FC21D5">
        <w:rPr>
          <w:rFonts w:ascii="Verdana" w:hAnsi="Verdana"/>
          <w:sz w:val="18"/>
          <w:szCs w:val="18"/>
        </w:rPr>
        <w:t xml:space="preserve"> </w:t>
      </w:r>
      <w:r w:rsidR="00952F40">
        <w:rPr>
          <w:rFonts w:ascii="Verdana" w:hAnsi="Verdana"/>
          <w:sz w:val="18"/>
          <w:szCs w:val="18"/>
        </w:rPr>
        <w:t>bij deze herindeling</w:t>
      </w:r>
      <w:r w:rsidR="00894678">
        <w:rPr>
          <w:rFonts w:ascii="Verdana" w:hAnsi="Verdana"/>
          <w:sz w:val="18"/>
          <w:szCs w:val="18"/>
        </w:rPr>
        <w:t xml:space="preserve"> is</w:t>
      </w:r>
      <w:r w:rsidRPr="00FC21D5" w:rsidR="00FC21D5">
        <w:rPr>
          <w:rFonts w:ascii="Verdana" w:hAnsi="Verdana"/>
          <w:sz w:val="18"/>
          <w:szCs w:val="18"/>
        </w:rPr>
        <w:t xml:space="preserve"> de gemeente </w:t>
      </w:r>
      <w:r w:rsidRPr="001F15A3" w:rsidR="00FC21D5">
        <w:rPr>
          <w:rFonts w:ascii="Verdana" w:hAnsi="Verdana"/>
          <w:sz w:val="18"/>
          <w:szCs w:val="18"/>
        </w:rPr>
        <w:t>Súdwest-Fryslân</w:t>
      </w:r>
      <w:r w:rsidR="00FC21D5">
        <w:rPr>
          <w:rFonts w:ascii="Verdana" w:hAnsi="Verdana"/>
          <w:sz w:val="18"/>
          <w:szCs w:val="18"/>
        </w:rPr>
        <w:t xml:space="preserve"> </w:t>
      </w:r>
      <w:r w:rsidR="00952F40">
        <w:rPr>
          <w:rFonts w:ascii="Verdana" w:hAnsi="Verdana"/>
          <w:sz w:val="18"/>
          <w:szCs w:val="18"/>
        </w:rPr>
        <w:t xml:space="preserve">in de herindelingswet </w:t>
      </w:r>
      <w:r w:rsidR="00FC21D5">
        <w:rPr>
          <w:rFonts w:ascii="Verdana" w:hAnsi="Verdana"/>
          <w:sz w:val="18"/>
          <w:szCs w:val="18"/>
        </w:rPr>
        <w:t>aangewezen als rechtsopvolger van de gemeente Littenseradiel voor wat betreft de rechten en verplichtingen, bedoeld in art. 44, eerste lid, Wet arhi.</w:t>
      </w:r>
      <w:r w:rsidR="00FC21D5">
        <w:rPr>
          <w:rStyle w:val="Voetnootmarkering"/>
          <w:rFonts w:ascii="Verdana" w:hAnsi="Verdana"/>
          <w:sz w:val="18"/>
          <w:szCs w:val="18"/>
        </w:rPr>
        <w:footnoteReference w:id="11"/>
      </w:r>
      <w:r w:rsidR="00FC21D5">
        <w:rPr>
          <w:rFonts w:ascii="Verdana" w:hAnsi="Verdana"/>
          <w:sz w:val="18"/>
          <w:szCs w:val="18"/>
        </w:rPr>
        <w:t xml:space="preserve"> Een ander voorbeeld betrof de splitsing van de gemeente Haaren (NB); in dit geval werd de gemeente Oisterwijk</w:t>
      </w:r>
      <w:r w:rsidR="00952F40">
        <w:rPr>
          <w:rFonts w:ascii="Verdana" w:hAnsi="Verdana"/>
          <w:sz w:val="18"/>
          <w:szCs w:val="18"/>
        </w:rPr>
        <w:t xml:space="preserve"> als rechtsopvolger</w:t>
      </w:r>
      <w:r w:rsidR="00FC21D5">
        <w:rPr>
          <w:rFonts w:ascii="Verdana" w:hAnsi="Verdana"/>
          <w:sz w:val="18"/>
          <w:szCs w:val="18"/>
        </w:rPr>
        <w:t xml:space="preserve"> aangewezen.</w:t>
      </w:r>
      <w:r w:rsidR="00FC21D5">
        <w:rPr>
          <w:rStyle w:val="Voetnootmarkering"/>
          <w:rFonts w:ascii="Verdana" w:hAnsi="Verdana"/>
          <w:sz w:val="18"/>
          <w:szCs w:val="18"/>
        </w:rPr>
        <w:footnoteReference w:id="12"/>
      </w:r>
    </w:p>
    <w:p w:rsidR="001B1ECD" w:rsidP="00B65449" w:rsidRDefault="00FC21D5" w14:paraId="60F51863" w14:textId="77777777">
      <w:pPr>
        <w:rPr>
          <w:rFonts w:ascii="Verdana" w:hAnsi="Verdana"/>
          <w:sz w:val="18"/>
          <w:szCs w:val="18"/>
        </w:rPr>
      </w:pPr>
      <w:r>
        <w:rPr>
          <w:rFonts w:ascii="Verdana" w:hAnsi="Verdana"/>
          <w:sz w:val="18"/>
          <w:szCs w:val="18"/>
        </w:rPr>
        <w:t xml:space="preserve">Mijns inziens kan </w:t>
      </w:r>
      <w:r w:rsidR="00952F40">
        <w:rPr>
          <w:rFonts w:ascii="Verdana" w:hAnsi="Verdana"/>
          <w:sz w:val="18"/>
          <w:szCs w:val="18"/>
        </w:rPr>
        <w:t xml:space="preserve">art. 44, eerste en tweede lid, Wet arhi </w:t>
      </w:r>
      <w:r>
        <w:rPr>
          <w:rFonts w:ascii="Verdana" w:hAnsi="Verdana"/>
          <w:sz w:val="18"/>
          <w:szCs w:val="18"/>
        </w:rPr>
        <w:t xml:space="preserve">ook worden toegepast bij gemeentelijke afschaling. Ook dan kan één van de nieuw te vormen gemeenten </w:t>
      </w:r>
      <w:r w:rsidR="00FC4B7E">
        <w:rPr>
          <w:rFonts w:ascii="Verdana" w:hAnsi="Verdana"/>
          <w:sz w:val="18"/>
          <w:szCs w:val="18"/>
        </w:rPr>
        <w:t xml:space="preserve">in de herindelingswet </w:t>
      </w:r>
      <w:r>
        <w:rPr>
          <w:rFonts w:ascii="Verdana" w:hAnsi="Verdana"/>
          <w:sz w:val="18"/>
          <w:szCs w:val="18"/>
        </w:rPr>
        <w:t xml:space="preserve">worden aangewezen als rechtsopvolger voor rechten en </w:t>
      </w:r>
      <w:r>
        <w:rPr>
          <w:rFonts w:ascii="Verdana" w:hAnsi="Verdana"/>
          <w:sz w:val="18"/>
          <w:szCs w:val="18"/>
        </w:rPr>
        <w:lastRenderedPageBreak/>
        <w:t xml:space="preserve">verplichtingen die niet duidelijk territoriaal gebonden zijn. </w:t>
      </w:r>
      <w:r w:rsidR="00685539">
        <w:rPr>
          <w:rFonts w:ascii="Verdana" w:hAnsi="Verdana"/>
          <w:sz w:val="18"/>
          <w:szCs w:val="18"/>
        </w:rPr>
        <w:t>Eventuele onbillijke gevolgen kunnen worden ondervangen via verrekening.</w:t>
      </w:r>
      <w:r w:rsidR="009B1EE5">
        <w:rPr>
          <w:rStyle w:val="Voetnootmarkering"/>
          <w:rFonts w:ascii="Verdana" w:hAnsi="Verdana"/>
          <w:sz w:val="18"/>
          <w:szCs w:val="18"/>
        </w:rPr>
        <w:footnoteReference w:id="13"/>
      </w:r>
    </w:p>
    <w:p w:rsidRPr="001F15A3" w:rsidR="001B1ECD" w:rsidP="001B1ECD" w:rsidRDefault="00AB1D62" w14:paraId="35B57BE3" w14:textId="77777777">
      <w:pPr>
        <w:rPr>
          <w:rFonts w:ascii="Verdana" w:hAnsi="Verdana"/>
          <w:i/>
          <w:iCs/>
          <w:sz w:val="18"/>
          <w:szCs w:val="18"/>
        </w:rPr>
      </w:pPr>
      <w:r>
        <w:rPr>
          <w:rFonts w:ascii="Verdana" w:hAnsi="Verdana"/>
          <w:i/>
          <w:iCs/>
          <w:sz w:val="18"/>
          <w:szCs w:val="18"/>
        </w:rPr>
        <w:t>2</w:t>
      </w:r>
      <w:r w:rsidR="001B1ECD">
        <w:rPr>
          <w:rFonts w:ascii="Verdana" w:hAnsi="Verdana"/>
          <w:i/>
          <w:iCs/>
          <w:sz w:val="18"/>
          <w:szCs w:val="18"/>
        </w:rPr>
        <w:t>.3. Verschillende bepalingen van de Wet arhi gaan uit van opschaling, maar zijn ook toe te passen bij afschaling</w:t>
      </w:r>
    </w:p>
    <w:p w:rsidR="00B65449" w:rsidP="00B65449" w:rsidRDefault="001B1ECD" w14:paraId="0E5E78DA" w14:textId="77777777">
      <w:pPr>
        <w:rPr>
          <w:rFonts w:ascii="Verdana" w:hAnsi="Verdana"/>
          <w:sz w:val="18"/>
          <w:szCs w:val="18"/>
        </w:rPr>
      </w:pPr>
      <w:r>
        <w:rPr>
          <w:rFonts w:ascii="Verdana" w:hAnsi="Verdana"/>
          <w:sz w:val="18"/>
          <w:szCs w:val="18"/>
        </w:rPr>
        <w:t xml:space="preserve">Bovenstaande voorbeelden tonen aan dat de Wet arhi verschillende bepalingen bevat die één op één toe te passen zijn bij een gemeentelijke afschaling. De Wet arhi bevat echter </w:t>
      </w:r>
      <w:r w:rsidR="00B65449">
        <w:rPr>
          <w:rFonts w:ascii="Verdana" w:hAnsi="Verdana"/>
          <w:sz w:val="18"/>
          <w:szCs w:val="18"/>
        </w:rPr>
        <w:t>ook bepalingen die</w:t>
      </w:r>
      <w:r w:rsidR="005D5BC5">
        <w:rPr>
          <w:rFonts w:ascii="Verdana" w:hAnsi="Verdana"/>
          <w:sz w:val="18"/>
          <w:szCs w:val="18"/>
        </w:rPr>
        <w:t xml:space="preserve"> expliciet</w:t>
      </w:r>
      <w:r w:rsidR="00B65449">
        <w:rPr>
          <w:rFonts w:ascii="Verdana" w:hAnsi="Verdana"/>
          <w:sz w:val="18"/>
          <w:szCs w:val="18"/>
        </w:rPr>
        <w:t xml:space="preserve"> uitgaan van de situatie waarbij gemeenten worden samengevoegd. Een voorbeeld van een dergelijke bepaling is artikel 4, tweede lid. Op grond van deze bepaling kan een herindelingsadvies met betrekking tot een wijziging van de gemeentelijke indeling worden vastgesteld door de raden van de betrokken gemeenten. De bepaling is duidelijk in meervoudsvorm opgeschreven: ‘raden van de betrokken gemeenten.’ Hierbij </w:t>
      </w:r>
      <w:r w:rsidR="005415C7">
        <w:rPr>
          <w:rFonts w:ascii="Verdana" w:hAnsi="Verdana"/>
          <w:sz w:val="18"/>
          <w:szCs w:val="18"/>
        </w:rPr>
        <w:t>wordt dus</w:t>
      </w:r>
      <w:r w:rsidR="00724307">
        <w:rPr>
          <w:rFonts w:ascii="Verdana" w:hAnsi="Verdana"/>
          <w:sz w:val="18"/>
          <w:szCs w:val="18"/>
        </w:rPr>
        <w:t xml:space="preserve"> </w:t>
      </w:r>
      <w:r w:rsidR="00B65449">
        <w:rPr>
          <w:rFonts w:ascii="Verdana" w:hAnsi="Verdana"/>
          <w:sz w:val="18"/>
          <w:szCs w:val="18"/>
        </w:rPr>
        <w:t>uitgegaan van een situatie waarbij</w:t>
      </w:r>
      <w:r>
        <w:rPr>
          <w:rFonts w:ascii="Verdana" w:hAnsi="Verdana"/>
          <w:sz w:val="18"/>
          <w:szCs w:val="18"/>
        </w:rPr>
        <w:t xml:space="preserve"> vóór de herindeling sprake is van meerdere gemeenten. Bij een afschaling is juist sprake van het omgekeerde: vóór de herindeling is slechts sprake van één gemeente.</w:t>
      </w:r>
      <w:r w:rsidR="00B65449">
        <w:rPr>
          <w:rFonts w:ascii="Verdana" w:hAnsi="Verdana"/>
          <w:sz w:val="18"/>
          <w:szCs w:val="18"/>
        </w:rPr>
        <w:t xml:space="preserve"> </w:t>
      </w:r>
      <w:r>
        <w:rPr>
          <w:rFonts w:ascii="Verdana" w:hAnsi="Verdana"/>
          <w:sz w:val="18"/>
          <w:szCs w:val="18"/>
        </w:rPr>
        <w:t>Ook in de artikelen 5 en 8 wordt gesproken van</w:t>
      </w:r>
      <w:r w:rsidR="00B65449">
        <w:rPr>
          <w:rFonts w:ascii="Verdana" w:hAnsi="Verdana"/>
          <w:sz w:val="18"/>
          <w:szCs w:val="18"/>
        </w:rPr>
        <w:t xml:space="preserve"> ‘de betrokken gemeenten’ (meervoud).</w:t>
      </w:r>
    </w:p>
    <w:p w:rsidRPr="001F15A3" w:rsidR="00B65449" w:rsidP="00B65449" w:rsidRDefault="00B65449" w14:paraId="594EFE50" w14:textId="77777777">
      <w:pPr>
        <w:rPr>
          <w:rFonts w:ascii="Verdana" w:hAnsi="Verdana"/>
          <w:sz w:val="18"/>
          <w:szCs w:val="18"/>
        </w:rPr>
      </w:pPr>
      <w:r>
        <w:rPr>
          <w:rFonts w:ascii="Verdana" w:hAnsi="Verdana"/>
          <w:sz w:val="18"/>
          <w:szCs w:val="18"/>
        </w:rPr>
        <w:t>Toch zijn d</w:t>
      </w:r>
      <w:r w:rsidR="00A84E6B">
        <w:rPr>
          <w:rFonts w:ascii="Verdana" w:hAnsi="Verdana"/>
          <w:sz w:val="18"/>
          <w:szCs w:val="18"/>
        </w:rPr>
        <w:t>i</w:t>
      </w:r>
      <w:r>
        <w:rPr>
          <w:rFonts w:ascii="Verdana" w:hAnsi="Verdana"/>
          <w:sz w:val="18"/>
          <w:szCs w:val="18"/>
        </w:rPr>
        <w:t>e artikelen ook toe te passen in het geval van een gemeentelijke afschaling.</w:t>
      </w:r>
      <w:r w:rsidDel="00DE3CD4" w:rsidR="00DE3CD4">
        <w:rPr>
          <w:rFonts w:ascii="Verdana" w:hAnsi="Verdana"/>
          <w:sz w:val="18"/>
          <w:szCs w:val="18"/>
        </w:rPr>
        <w:t xml:space="preserve"> </w:t>
      </w:r>
      <w:r>
        <w:rPr>
          <w:rFonts w:ascii="Verdana" w:hAnsi="Verdana"/>
          <w:sz w:val="18"/>
          <w:szCs w:val="18"/>
        </w:rPr>
        <w:t xml:space="preserve">Indien de raad van </w:t>
      </w:r>
      <w:r w:rsidR="001B1ECD">
        <w:rPr>
          <w:rFonts w:ascii="Verdana" w:hAnsi="Verdana"/>
          <w:sz w:val="18"/>
          <w:szCs w:val="18"/>
        </w:rPr>
        <w:t>één enkele gemeente</w:t>
      </w:r>
      <w:r w:rsidR="00DE3CD4">
        <w:rPr>
          <w:rFonts w:ascii="Verdana" w:hAnsi="Verdana"/>
          <w:sz w:val="18"/>
          <w:szCs w:val="18"/>
        </w:rPr>
        <w:t xml:space="preserve"> </w:t>
      </w:r>
      <w:r>
        <w:rPr>
          <w:rFonts w:ascii="Verdana" w:hAnsi="Verdana"/>
          <w:sz w:val="18"/>
          <w:szCs w:val="18"/>
        </w:rPr>
        <w:t xml:space="preserve">tot de conclusie zou komen dat het beter is </w:t>
      </w:r>
      <w:r w:rsidR="001B1ECD">
        <w:rPr>
          <w:rFonts w:ascii="Verdana" w:hAnsi="Verdana"/>
          <w:sz w:val="18"/>
          <w:szCs w:val="18"/>
        </w:rPr>
        <w:t xml:space="preserve">dat </w:t>
      </w:r>
      <w:r w:rsidR="00894678">
        <w:rPr>
          <w:rFonts w:ascii="Verdana" w:hAnsi="Verdana"/>
          <w:sz w:val="18"/>
          <w:szCs w:val="18"/>
        </w:rPr>
        <w:t>de gemeente</w:t>
      </w:r>
      <w:r w:rsidR="001B1ECD">
        <w:rPr>
          <w:rFonts w:ascii="Verdana" w:hAnsi="Verdana"/>
          <w:sz w:val="18"/>
          <w:szCs w:val="18"/>
        </w:rPr>
        <w:t xml:space="preserve"> in meerdere nieuwe gemeenten</w:t>
      </w:r>
      <w:r>
        <w:rPr>
          <w:rFonts w:ascii="Verdana" w:hAnsi="Verdana"/>
          <w:sz w:val="18"/>
          <w:szCs w:val="18"/>
        </w:rPr>
        <w:t xml:space="preserve"> splitst, staat mijns inziens artikel 4, tweede lid, van de Wet arhi, er dan ook niet aan in de weg dat de raad van gemeente A een herindelingsadvies opstelt. Hetzelfde geldt bijvoorbeeld voor artikel 8, eerste lid van de Wet arhi: het feit dat gedeputeerde staten open overleg kunnen voeren met de betrokken </w:t>
      </w:r>
      <w:r>
        <w:rPr>
          <w:rFonts w:ascii="Verdana" w:hAnsi="Verdana"/>
          <w:i/>
          <w:iCs/>
          <w:sz w:val="18"/>
          <w:szCs w:val="18"/>
        </w:rPr>
        <w:t>gemeenten</w:t>
      </w:r>
      <w:r>
        <w:rPr>
          <w:rFonts w:ascii="Verdana" w:hAnsi="Verdana"/>
          <w:sz w:val="18"/>
          <w:szCs w:val="18"/>
        </w:rPr>
        <w:t xml:space="preserve"> sluit </w:t>
      </w:r>
      <w:r w:rsidR="002B1F69">
        <w:rPr>
          <w:rFonts w:ascii="Verdana" w:hAnsi="Verdana"/>
          <w:sz w:val="18"/>
          <w:szCs w:val="18"/>
        </w:rPr>
        <w:t xml:space="preserve">niet </w:t>
      </w:r>
      <w:r>
        <w:rPr>
          <w:rFonts w:ascii="Verdana" w:hAnsi="Verdana"/>
          <w:sz w:val="18"/>
          <w:szCs w:val="18"/>
        </w:rPr>
        <w:t>uit dat gedeputeerde staten ook overleg met slechts één gemeente k</w:t>
      </w:r>
      <w:r w:rsidR="00DE3CD4">
        <w:rPr>
          <w:rFonts w:ascii="Verdana" w:hAnsi="Verdana"/>
          <w:sz w:val="18"/>
          <w:szCs w:val="18"/>
        </w:rPr>
        <w:t>unnen</w:t>
      </w:r>
      <w:r>
        <w:rPr>
          <w:rFonts w:ascii="Verdana" w:hAnsi="Verdana"/>
          <w:sz w:val="18"/>
          <w:szCs w:val="18"/>
        </w:rPr>
        <w:t xml:space="preserve"> voeren indien de </w:t>
      </w:r>
      <w:r w:rsidR="00BD28BC">
        <w:rPr>
          <w:rFonts w:ascii="Verdana" w:hAnsi="Verdana"/>
          <w:sz w:val="18"/>
          <w:szCs w:val="18"/>
        </w:rPr>
        <w:t>afschaling</w:t>
      </w:r>
      <w:r>
        <w:rPr>
          <w:rFonts w:ascii="Verdana" w:hAnsi="Verdana"/>
          <w:sz w:val="18"/>
          <w:szCs w:val="18"/>
        </w:rPr>
        <w:t xml:space="preserve"> van een gemeente overwogen wordt.</w:t>
      </w:r>
      <w:r>
        <w:rPr>
          <w:rFonts w:ascii="Verdana" w:hAnsi="Verdana"/>
          <w:i/>
          <w:iCs/>
          <w:sz w:val="18"/>
          <w:szCs w:val="18"/>
        </w:rPr>
        <w:t xml:space="preserve"> </w:t>
      </w:r>
    </w:p>
    <w:p w:rsidR="00A84E6B" w:rsidP="00B65449" w:rsidRDefault="00AB1D62" w14:paraId="467F28F7" w14:textId="77777777">
      <w:pPr>
        <w:rPr>
          <w:rFonts w:ascii="Verdana" w:hAnsi="Verdana"/>
          <w:i/>
          <w:iCs/>
          <w:sz w:val="18"/>
          <w:szCs w:val="18"/>
        </w:rPr>
      </w:pPr>
      <w:r>
        <w:rPr>
          <w:rFonts w:ascii="Verdana" w:hAnsi="Verdana"/>
          <w:i/>
          <w:iCs/>
          <w:sz w:val="18"/>
          <w:szCs w:val="18"/>
        </w:rPr>
        <w:t>2</w:t>
      </w:r>
      <w:r w:rsidR="00A84E6B">
        <w:rPr>
          <w:rFonts w:ascii="Verdana" w:hAnsi="Verdana"/>
          <w:i/>
          <w:iCs/>
          <w:sz w:val="18"/>
          <w:szCs w:val="18"/>
        </w:rPr>
        <w:t>.</w:t>
      </w:r>
      <w:r w:rsidR="00DE3CD4">
        <w:rPr>
          <w:rFonts w:ascii="Verdana" w:hAnsi="Verdana"/>
          <w:i/>
          <w:iCs/>
          <w:sz w:val="18"/>
          <w:szCs w:val="18"/>
        </w:rPr>
        <w:t>4</w:t>
      </w:r>
      <w:r w:rsidR="00A84E6B">
        <w:rPr>
          <w:rFonts w:ascii="Verdana" w:hAnsi="Verdana"/>
          <w:i/>
          <w:iCs/>
          <w:sz w:val="18"/>
          <w:szCs w:val="18"/>
        </w:rPr>
        <w:t xml:space="preserve">: Enkele bepalingen van de Wet arhi zijn niet goed toepasbaar bij </w:t>
      </w:r>
      <w:r w:rsidRPr="00BD28BC" w:rsidR="00BD28BC">
        <w:rPr>
          <w:rFonts w:ascii="Verdana" w:hAnsi="Verdana"/>
          <w:i/>
          <w:iCs/>
          <w:sz w:val="18"/>
          <w:szCs w:val="18"/>
        </w:rPr>
        <w:t>afschaling</w:t>
      </w:r>
      <w:r w:rsidR="00A84E6B">
        <w:rPr>
          <w:rFonts w:ascii="Verdana" w:hAnsi="Verdana"/>
          <w:i/>
          <w:iCs/>
          <w:sz w:val="18"/>
          <w:szCs w:val="18"/>
        </w:rPr>
        <w:t>: afwijkende regels in de herindelingswet zijn noodzakelijk</w:t>
      </w:r>
    </w:p>
    <w:p w:rsidR="00C70411" w:rsidP="00B65449" w:rsidRDefault="00A84E6B" w14:paraId="175366C5" w14:textId="77777777">
      <w:pPr>
        <w:rPr>
          <w:rFonts w:ascii="Verdana" w:hAnsi="Verdana"/>
          <w:sz w:val="18"/>
          <w:szCs w:val="18"/>
        </w:rPr>
      </w:pPr>
      <w:bookmarkStart w:name="_Hlk178068148" w:id="0"/>
      <w:r>
        <w:rPr>
          <w:rFonts w:ascii="Verdana" w:hAnsi="Verdana"/>
          <w:sz w:val="18"/>
          <w:szCs w:val="18"/>
        </w:rPr>
        <w:t xml:space="preserve">Hoewel de meeste bepalingen van de Wet arhi goed toepasbaar zijn in de situatie van gemeentelijke </w:t>
      </w:r>
      <w:r w:rsidR="00BD28BC">
        <w:rPr>
          <w:rFonts w:ascii="Verdana" w:hAnsi="Verdana"/>
          <w:sz w:val="18"/>
          <w:szCs w:val="18"/>
        </w:rPr>
        <w:t>afschaling</w:t>
      </w:r>
      <w:r>
        <w:rPr>
          <w:rFonts w:ascii="Verdana" w:hAnsi="Verdana"/>
          <w:sz w:val="18"/>
          <w:szCs w:val="18"/>
        </w:rPr>
        <w:t xml:space="preserve">, zijn er ook bepalingen in de Wet arhi opgenomen die </w:t>
      </w:r>
      <w:r>
        <w:rPr>
          <w:rFonts w:ascii="Verdana" w:hAnsi="Verdana"/>
          <w:i/>
          <w:iCs/>
          <w:sz w:val="18"/>
          <w:szCs w:val="18"/>
        </w:rPr>
        <w:t>niet</w:t>
      </w:r>
      <w:r w:rsidR="00DE3CD4">
        <w:rPr>
          <w:rFonts w:ascii="Verdana" w:hAnsi="Verdana"/>
          <w:i/>
          <w:iCs/>
          <w:sz w:val="18"/>
          <w:szCs w:val="18"/>
        </w:rPr>
        <w:t xml:space="preserve"> </w:t>
      </w:r>
      <w:r w:rsidR="00DE3CD4">
        <w:rPr>
          <w:rFonts w:ascii="Verdana" w:hAnsi="Verdana"/>
          <w:sz w:val="18"/>
          <w:szCs w:val="18"/>
        </w:rPr>
        <w:t>(onverkort)</w:t>
      </w:r>
      <w:r>
        <w:rPr>
          <w:rFonts w:ascii="Verdana" w:hAnsi="Verdana"/>
          <w:i/>
          <w:iCs/>
          <w:sz w:val="18"/>
          <w:szCs w:val="18"/>
        </w:rPr>
        <w:t xml:space="preserve"> </w:t>
      </w:r>
      <w:r>
        <w:rPr>
          <w:rFonts w:ascii="Verdana" w:hAnsi="Verdana"/>
          <w:iCs/>
          <w:sz w:val="18"/>
          <w:szCs w:val="18"/>
        </w:rPr>
        <w:t xml:space="preserve">bij </w:t>
      </w:r>
      <w:r w:rsidR="00BD28BC">
        <w:rPr>
          <w:rFonts w:ascii="Verdana" w:hAnsi="Verdana"/>
          <w:sz w:val="18"/>
          <w:szCs w:val="18"/>
        </w:rPr>
        <w:t xml:space="preserve">afschaling </w:t>
      </w:r>
      <w:r>
        <w:rPr>
          <w:rFonts w:ascii="Verdana" w:hAnsi="Verdana"/>
          <w:sz w:val="18"/>
          <w:szCs w:val="18"/>
        </w:rPr>
        <w:t xml:space="preserve">kunnen worden toegepast. </w:t>
      </w:r>
      <w:r w:rsidR="00724307">
        <w:rPr>
          <w:rFonts w:ascii="Verdana" w:hAnsi="Verdana"/>
          <w:sz w:val="18"/>
          <w:szCs w:val="18"/>
        </w:rPr>
        <w:t>Veel v</w:t>
      </w:r>
      <w:r w:rsidR="00DE3CD4">
        <w:rPr>
          <w:rFonts w:ascii="Verdana" w:hAnsi="Verdana"/>
          <w:sz w:val="18"/>
          <w:szCs w:val="18"/>
        </w:rPr>
        <w:t xml:space="preserve">an deze bepalingen houden verband </w:t>
      </w:r>
      <w:r>
        <w:rPr>
          <w:rFonts w:ascii="Verdana" w:hAnsi="Verdana"/>
          <w:sz w:val="18"/>
          <w:szCs w:val="18"/>
        </w:rPr>
        <w:t xml:space="preserve">met de </w:t>
      </w:r>
      <w:r w:rsidR="00790224">
        <w:rPr>
          <w:rFonts w:ascii="Verdana" w:hAnsi="Verdana"/>
          <w:sz w:val="18"/>
          <w:szCs w:val="18"/>
        </w:rPr>
        <w:t>tussentijdse raadsverkiezing bij herindeling (</w:t>
      </w:r>
      <w:r>
        <w:rPr>
          <w:rFonts w:ascii="Verdana" w:hAnsi="Verdana"/>
          <w:sz w:val="18"/>
          <w:szCs w:val="18"/>
        </w:rPr>
        <w:t>herindelingsverkiezingen</w:t>
      </w:r>
      <w:r w:rsidR="00790224">
        <w:rPr>
          <w:rFonts w:ascii="Verdana" w:hAnsi="Verdana"/>
          <w:sz w:val="18"/>
          <w:szCs w:val="18"/>
        </w:rPr>
        <w:t>)</w:t>
      </w:r>
      <w:r>
        <w:rPr>
          <w:rFonts w:ascii="Verdana" w:hAnsi="Verdana"/>
          <w:sz w:val="18"/>
          <w:szCs w:val="18"/>
        </w:rPr>
        <w:t>. Artikel 52</w:t>
      </w:r>
      <w:r w:rsidR="00801325">
        <w:rPr>
          <w:rFonts w:ascii="Verdana" w:hAnsi="Verdana"/>
          <w:sz w:val="18"/>
          <w:szCs w:val="18"/>
        </w:rPr>
        <w:t>, eerste volzin,</w:t>
      </w:r>
      <w:r>
        <w:rPr>
          <w:rFonts w:ascii="Verdana" w:hAnsi="Verdana"/>
          <w:sz w:val="18"/>
          <w:szCs w:val="18"/>
        </w:rPr>
        <w:t xml:space="preserve"> van de Wet arhi bepaalt dat bij een wijziging van de gemeentelijke indeling</w:t>
      </w:r>
      <w:r w:rsidR="00C70411">
        <w:rPr>
          <w:rFonts w:ascii="Verdana" w:hAnsi="Verdana"/>
          <w:sz w:val="18"/>
          <w:szCs w:val="18"/>
        </w:rPr>
        <w:t xml:space="preserve"> een</w:t>
      </w:r>
      <w:r>
        <w:rPr>
          <w:rFonts w:ascii="Verdana" w:hAnsi="Verdana"/>
          <w:sz w:val="18"/>
          <w:szCs w:val="18"/>
        </w:rPr>
        <w:t xml:space="preserve"> tussentijdse raadsverkiezing</w:t>
      </w:r>
      <w:r w:rsidR="00CA45E9">
        <w:rPr>
          <w:rFonts w:ascii="Verdana" w:hAnsi="Verdana"/>
          <w:sz w:val="18"/>
          <w:szCs w:val="18"/>
        </w:rPr>
        <w:t xml:space="preserve"> </w:t>
      </w:r>
      <w:r>
        <w:rPr>
          <w:rFonts w:ascii="Verdana" w:hAnsi="Verdana"/>
          <w:sz w:val="18"/>
          <w:szCs w:val="18"/>
        </w:rPr>
        <w:t xml:space="preserve"> plaatsvind</w:t>
      </w:r>
      <w:r w:rsidR="005415C7">
        <w:rPr>
          <w:rFonts w:ascii="Verdana" w:hAnsi="Verdana"/>
          <w:sz w:val="18"/>
          <w:szCs w:val="18"/>
        </w:rPr>
        <w:t>t</w:t>
      </w:r>
      <w:r>
        <w:rPr>
          <w:rFonts w:ascii="Verdana" w:hAnsi="Verdana"/>
          <w:sz w:val="18"/>
          <w:szCs w:val="18"/>
        </w:rPr>
        <w:t xml:space="preserve">. </w:t>
      </w:r>
      <w:r w:rsidR="00CA45E9">
        <w:rPr>
          <w:rFonts w:ascii="Verdana" w:hAnsi="Verdana"/>
          <w:sz w:val="18"/>
          <w:szCs w:val="18"/>
        </w:rPr>
        <w:t xml:space="preserve">De tweede volzin van artikel 52 bepaalt vervolgens dat de grootste gemeente die opgaat in de nieuwe gemeente met de voorbereiding van de herindelingsverkiezing belast is. Deze volzin is bij een gemeentelijke </w:t>
      </w:r>
      <w:r w:rsidR="00BD28BC">
        <w:rPr>
          <w:rFonts w:ascii="Verdana" w:hAnsi="Verdana"/>
          <w:sz w:val="18"/>
          <w:szCs w:val="18"/>
        </w:rPr>
        <w:t>afschaling</w:t>
      </w:r>
      <w:r w:rsidR="00CA45E9">
        <w:rPr>
          <w:rFonts w:ascii="Verdana" w:hAnsi="Verdana"/>
          <w:sz w:val="18"/>
          <w:szCs w:val="18"/>
        </w:rPr>
        <w:t xml:space="preserve"> niet toe te passen, omdat er geen sprake is van een gemeente die opgaat in een grotere gemeente</w:t>
      </w:r>
      <w:r w:rsidR="000B0788">
        <w:rPr>
          <w:rFonts w:ascii="Verdana" w:hAnsi="Verdana"/>
          <w:sz w:val="18"/>
          <w:szCs w:val="18"/>
        </w:rPr>
        <w:t>. D</w:t>
      </w:r>
      <w:r w:rsidR="00CA45E9">
        <w:rPr>
          <w:rFonts w:ascii="Verdana" w:hAnsi="Verdana"/>
          <w:sz w:val="18"/>
          <w:szCs w:val="18"/>
        </w:rPr>
        <w:t>e gemeente in kwestie wordt juist gesplitst in meerdere gemeenten. Het is dan ook noodzakelijk dat de herindelingswet die</w:t>
      </w:r>
      <w:r w:rsidR="00801325">
        <w:rPr>
          <w:rFonts w:ascii="Verdana" w:hAnsi="Verdana"/>
          <w:sz w:val="18"/>
          <w:szCs w:val="18"/>
        </w:rPr>
        <w:t xml:space="preserve"> de gemeentelijke</w:t>
      </w:r>
      <w:r w:rsidR="00CA45E9">
        <w:rPr>
          <w:rFonts w:ascii="Verdana" w:hAnsi="Verdana"/>
          <w:sz w:val="18"/>
          <w:szCs w:val="18"/>
        </w:rPr>
        <w:t xml:space="preserve"> </w:t>
      </w:r>
      <w:r w:rsidR="00BD28BC">
        <w:rPr>
          <w:rFonts w:ascii="Verdana" w:hAnsi="Verdana"/>
          <w:sz w:val="18"/>
          <w:szCs w:val="18"/>
        </w:rPr>
        <w:t>afschaling</w:t>
      </w:r>
      <w:r w:rsidR="00CA45E9">
        <w:rPr>
          <w:rFonts w:ascii="Verdana" w:hAnsi="Verdana"/>
          <w:sz w:val="18"/>
          <w:szCs w:val="18"/>
        </w:rPr>
        <w:t xml:space="preserve"> regelt, de gemeente aanwijst die belast is met de voorbereiding van de herindelingsverkiezing</w:t>
      </w:r>
      <w:r w:rsidR="00801325">
        <w:rPr>
          <w:rFonts w:ascii="Verdana" w:hAnsi="Verdana"/>
          <w:sz w:val="18"/>
          <w:szCs w:val="18"/>
        </w:rPr>
        <w:t xml:space="preserve">. Dit zal uiteraard de gemeente zijn </w:t>
      </w:r>
      <w:r w:rsidR="00801325">
        <w:rPr>
          <w:rFonts w:ascii="Verdana" w:hAnsi="Verdana"/>
          <w:sz w:val="18"/>
          <w:szCs w:val="18"/>
        </w:rPr>
        <w:lastRenderedPageBreak/>
        <w:t>die gesplitst wordt (de ‘nieuwe’ gemeenten bestaan op dat moment immers nog niet).</w:t>
      </w:r>
      <w:r w:rsidR="00801325">
        <w:rPr>
          <w:rStyle w:val="Voetnootmarkering"/>
          <w:rFonts w:ascii="Verdana" w:hAnsi="Verdana"/>
          <w:sz w:val="18"/>
          <w:szCs w:val="18"/>
        </w:rPr>
        <w:footnoteReference w:id="14"/>
      </w:r>
    </w:p>
    <w:p w:rsidR="005B0BE3" w:rsidP="00B65449" w:rsidRDefault="00C70411" w14:paraId="759A61A4" w14:textId="77777777">
      <w:pPr>
        <w:rPr>
          <w:rFonts w:ascii="Verdana" w:hAnsi="Verdana"/>
          <w:sz w:val="18"/>
          <w:szCs w:val="18"/>
        </w:rPr>
      </w:pPr>
      <w:r>
        <w:rPr>
          <w:rFonts w:ascii="Verdana" w:hAnsi="Verdana"/>
          <w:sz w:val="18"/>
          <w:szCs w:val="18"/>
        </w:rPr>
        <w:t>Een andere bepaling waarbij het de vraag is of deze goed toepasbaar is bij gemeentelijke afschaling, is artikel 53, tweede lid. Deze bepaling heeft betrekking op de situatie dat onverhoopt op de datum van herindeling van meer dan de helft van de raadsleden</w:t>
      </w:r>
      <w:r w:rsidR="008F47C8">
        <w:rPr>
          <w:rFonts w:ascii="Verdana" w:hAnsi="Verdana"/>
          <w:sz w:val="18"/>
          <w:szCs w:val="18"/>
        </w:rPr>
        <w:t xml:space="preserve"> van een nieuwe gemeente</w:t>
      </w:r>
      <w:r>
        <w:rPr>
          <w:rFonts w:ascii="Verdana" w:hAnsi="Verdana"/>
          <w:sz w:val="18"/>
          <w:szCs w:val="18"/>
        </w:rPr>
        <w:t xml:space="preserve"> de geloofsbrieven nog niet onherroepelijk zijn goedgekeurd. Gedurende die periode hebben de raadsleden en de wethouders van de gemeente met de voorbereiding van de herindelingsverkiezing is belast</w:t>
      </w:r>
      <w:r w:rsidR="008438B4">
        <w:rPr>
          <w:rStyle w:val="Voetnootmarkering"/>
          <w:rFonts w:ascii="Verdana" w:hAnsi="Verdana"/>
          <w:sz w:val="18"/>
          <w:szCs w:val="18"/>
        </w:rPr>
        <w:footnoteReference w:id="15"/>
      </w:r>
      <w:r>
        <w:rPr>
          <w:rFonts w:ascii="Verdana" w:hAnsi="Verdana"/>
          <w:sz w:val="18"/>
          <w:szCs w:val="18"/>
        </w:rPr>
        <w:t xml:space="preserve">, zitting als raadsleden/wethouders van de nieuwe gemeente. In het geval van gemeentelijke afschaling zou deze bepaling ertoe kunnen leiden dat </w:t>
      </w:r>
      <w:r w:rsidR="008F47C8">
        <w:rPr>
          <w:rFonts w:ascii="Verdana" w:hAnsi="Verdana"/>
          <w:sz w:val="18"/>
          <w:szCs w:val="18"/>
        </w:rPr>
        <w:t>dezelfde persoon</w:t>
      </w:r>
      <w:r w:rsidR="00ED7876">
        <w:rPr>
          <w:rFonts w:ascii="Verdana" w:hAnsi="Verdana"/>
          <w:sz w:val="18"/>
          <w:szCs w:val="18"/>
        </w:rPr>
        <w:t xml:space="preserve"> tijdelijk raadslid</w:t>
      </w:r>
      <w:r w:rsidR="008A6A84">
        <w:rPr>
          <w:rFonts w:ascii="Verdana" w:hAnsi="Verdana"/>
          <w:sz w:val="18"/>
          <w:szCs w:val="18"/>
        </w:rPr>
        <w:t xml:space="preserve"> of wethouder</w:t>
      </w:r>
      <w:r w:rsidR="00ED7876">
        <w:rPr>
          <w:rFonts w:ascii="Verdana" w:hAnsi="Verdana"/>
          <w:sz w:val="18"/>
          <w:szCs w:val="18"/>
        </w:rPr>
        <w:t xml:space="preserve"> van meer</w:t>
      </w:r>
      <w:r w:rsidR="001C47D9">
        <w:rPr>
          <w:rFonts w:ascii="Verdana" w:hAnsi="Verdana"/>
          <w:sz w:val="18"/>
          <w:szCs w:val="18"/>
        </w:rPr>
        <w:t>dere</w:t>
      </w:r>
      <w:r w:rsidR="00ED7876">
        <w:rPr>
          <w:rFonts w:ascii="Verdana" w:hAnsi="Verdana"/>
          <w:sz w:val="18"/>
          <w:szCs w:val="18"/>
        </w:rPr>
        <w:t xml:space="preserve"> gemeenten </w:t>
      </w:r>
      <w:r w:rsidR="008F47C8">
        <w:rPr>
          <w:rFonts w:ascii="Verdana" w:hAnsi="Verdana"/>
          <w:sz w:val="18"/>
          <w:szCs w:val="18"/>
        </w:rPr>
        <w:t>is.</w:t>
      </w:r>
      <w:r w:rsidR="00ED7876">
        <w:rPr>
          <w:rFonts w:ascii="Verdana" w:hAnsi="Verdana"/>
          <w:sz w:val="18"/>
          <w:szCs w:val="18"/>
        </w:rPr>
        <w:t xml:space="preserve"> Het is namelijk niet uitgesloten dat een raadslid </w:t>
      </w:r>
      <w:r w:rsidR="005415C7">
        <w:rPr>
          <w:rFonts w:ascii="Verdana" w:hAnsi="Verdana"/>
          <w:sz w:val="18"/>
          <w:szCs w:val="18"/>
        </w:rPr>
        <w:t xml:space="preserve">of wethouder </w:t>
      </w:r>
      <w:r w:rsidR="00ED7876">
        <w:rPr>
          <w:rFonts w:ascii="Verdana" w:hAnsi="Verdana"/>
          <w:sz w:val="18"/>
          <w:szCs w:val="18"/>
        </w:rPr>
        <w:t xml:space="preserve">van de op te heffen gemeente A </w:t>
      </w:r>
      <w:r w:rsidR="00F03D82">
        <w:rPr>
          <w:rFonts w:ascii="Verdana" w:hAnsi="Verdana"/>
          <w:sz w:val="18"/>
          <w:szCs w:val="18"/>
        </w:rPr>
        <w:t>na</w:t>
      </w:r>
      <w:r w:rsidR="001C47D9">
        <w:rPr>
          <w:rFonts w:ascii="Verdana" w:hAnsi="Verdana"/>
          <w:sz w:val="18"/>
          <w:szCs w:val="18"/>
        </w:rPr>
        <w:t xml:space="preserve"> de herindelingsverkiezing </w:t>
      </w:r>
      <w:r w:rsidR="00ED7876">
        <w:rPr>
          <w:rFonts w:ascii="Verdana" w:hAnsi="Verdana"/>
          <w:sz w:val="18"/>
          <w:szCs w:val="18"/>
        </w:rPr>
        <w:t xml:space="preserve">opnieuw </w:t>
      </w:r>
      <w:r w:rsidR="005415C7">
        <w:rPr>
          <w:rFonts w:ascii="Verdana" w:hAnsi="Verdana"/>
          <w:sz w:val="18"/>
          <w:szCs w:val="18"/>
        </w:rPr>
        <w:t>benoemd</w:t>
      </w:r>
      <w:r w:rsidR="008F47C8">
        <w:rPr>
          <w:rFonts w:ascii="Verdana" w:hAnsi="Verdana"/>
          <w:sz w:val="18"/>
          <w:szCs w:val="18"/>
        </w:rPr>
        <w:t xml:space="preserve"> wordt</w:t>
      </w:r>
      <w:r w:rsidR="00ED7876">
        <w:rPr>
          <w:rFonts w:ascii="Verdana" w:hAnsi="Verdana"/>
          <w:sz w:val="18"/>
          <w:szCs w:val="18"/>
        </w:rPr>
        <w:t xml:space="preserve"> </w:t>
      </w:r>
      <w:r w:rsidR="008F47C8">
        <w:rPr>
          <w:rFonts w:ascii="Verdana" w:hAnsi="Verdana"/>
          <w:sz w:val="18"/>
          <w:szCs w:val="18"/>
        </w:rPr>
        <w:t xml:space="preserve">als </w:t>
      </w:r>
      <w:r w:rsidR="00ED7876">
        <w:rPr>
          <w:rFonts w:ascii="Verdana" w:hAnsi="Verdana"/>
          <w:sz w:val="18"/>
          <w:szCs w:val="18"/>
        </w:rPr>
        <w:t>raad</w:t>
      </w:r>
      <w:r w:rsidR="008F47C8">
        <w:rPr>
          <w:rFonts w:ascii="Verdana" w:hAnsi="Verdana"/>
          <w:sz w:val="18"/>
          <w:szCs w:val="18"/>
        </w:rPr>
        <w:t>slid</w:t>
      </w:r>
      <w:r w:rsidR="00ED7876">
        <w:rPr>
          <w:rFonts w:ascii="Verdana" w:hAnsi="Verdana"/>
          <w:sz w:val="18"/>
          <w:szCs w:val="18"/>
        </w:rPr>
        <w:t xml:space="preserve"> </w:t>
      </w:r>
      <w:r w:rsidR="008A6A84">
        <w:rPr>
          <w:rFonts w:ascii="Verdana" w:hAnsi="Verdana"/>
          <w:sz w:val="18"/>
          <w:szCs w:val="18"/>
        </w:rPr>
        <w:t xml:space="preserve">of wethouder </w:t>
      </w:r>
      <w:r w:rsidR="00ED7876">
        <w:rPr>
          <w:rFonts w:ascii="Verdana" w:hAnsi="Verdana"/>
          <w:sz w:val="18"/>
          <w:szCs w:val="18"/>
        </w:rPr>
        <w:t>van de nieuw in te stellen gemeente B. Indien vervolgens zou blijken dat i</w:t>
      </w:r>
      <w:r w:rsidR="008F47C8">
        <w:rPr>
          <w:rFonts w:ascii="Verdana" w:hAnsi="Verdana"/>
          <w:sz w:val="18"/>
          <w:szCs w:val="18"/>
        </w:rPr>
        <w:t xml:space="preserve">n de </w:t>
      </w:r>
      <w:r w:rsidR="001C47D9">
        <w:rPr>
          <w:rFonts w:ascii="Verdana" w:hAnsi="Verdana"/>
          <w:sz w:val="18"/>
          <w:szCs w:val="18"/>
        </w:rPr>
        <w:t xml:space="preserve">eveneens </w:t>
      </w:r>
      <w:r w:rsidR="008F47C8">
        <w:rPr>
          <w:rFonts w:ascii="Verdana" w:hAnsi="Verdana"/>
          <w:sz w:val="18"/>
          <w:szCs w:val="18"/>
        </w:rPr>
        <w:t>nieuw te vormen gemeent</w:t>
      </w:r>
      <w:r w:rsidR="00ED7876">
        <w:rPr>
          <w:rFonts w:ascii="Verdana" w:hAnsi="Verdana"/>
          <w:sz w:val="18"/>
          <w:szCs w:val="18"/>
        </w:rPr>
        <w:t>e</w:t>
      </w:r>
      <w:r w:rsidR="008F47C8">
        <w:rPr>
          <w:rFonts w:ascii="Verdana" w:hAnsi="Verdana"/>
          <w:sz w:val="18"/>
          <w:szCs w:val="18"/>
        </w:rPr>
        <w:t xml:space="preserve"> C</w:t>
      </w:r>
      <w:r w:rsidR="00ED7876">
        <w:rPr>
          <w:rFonts w:ascii="Verdana" w:hAnsi="Verdana"/>
          <w:sz w:val="18"/>
          <w:szCs w:val="18"/>
        </w:rPr>
        <w:t xml:space="preserve"> nog niet de helft van de geloofsbrieven onherroepelijk zijn goedgekeurd, is het betreffende raadslid</w:t>
      </w:r>
      <w:r w:rsidR="005415C7">
        <w:rPr>
          <w:rFonts w:ascii="Verdana" w:hAnsi="Verdana"/>
          <w:sz w:val="18"/>
          <w:szCs w:val="18"/>
        </w:rPr>
        <w:t xml:space="preserve"> of</w:t>
      </w:r>
      <w:r w:rsidR="00B475C5">
        <w:rPr>
          <w:rFonts w:ascii="Verdana" w:hAnsi="Verdana"/>
          <w:sz w:val="18"/>
          <w:szCs w:val="18"/>
        </w:rPr>
        <w:t xml:space="preserve"> de betreffende </w:t>
      </w:r>
      <w:r w:rsidR="008A6A84">
        <w:rPr>
          <w:rFonts w:ascii="Verdana" w:hAnsi="Verdana"/>
          <w:sz w:val="18"/>
          <w:szCs w:val="18"/>
        </w:rPr>
        <w:t xml:space="preserve">wethouder </w:t>
      </w:r>
      <w:r w:rsidR="00ED7876">
        <w:rPr>
          <w:rFonts w:ascii="Verdana" w:hAnsi="Verdana"/>
          <w:sz w:val="18"/>
          <w:szCs w:val="18"/>
        </w:rPr>
        <w:t xml:space="preserve">op grond van artikel 53, tweede lid, </w:t>
      </w:r>
      <w:r w:rsidR="008F47C8">
        <w:rPr>
          <w:rFonts w:ascii="Verdana" w:hAnsi="Verdana"/>
          <w:sz w:val="18"/>
          <w:szCs w:val="18"/>
        </w:rPr>
        <w:t xml:space="preserve">Wet arhi </w:t>
      </w:r>
      <w:r w:rsidR="00ED7876">
        <w:rPr>
          <w:rFonts w:ascii="Verdana" w:hAnsi="Verdana"/>
          <w:sz w:val="18"/>
          <w:szCs w:val="18"/>
        </w:rPr>
        <w:t>ook tijdelijk raadslid</w:t>
      </w:r>
      <w:r w:rsidR="005415C7">
        <w:rPr>
          <w:rFonts w:ascii="Verdana" w:hAnsi="Verdana"/>
          <w:sz w:val="18"/>
          <w:szCs w:val="18"/>
        </w:rPr>
        <w:t>/wethouder</w:t>
      </w:r>
      <w:r w:rsidR="00ED7876">
        <w:rPr>
          <w:rFonts w:ascii="Verdana" w:hAnsi="Verdana"/>
          <w:sz w:val="18"/>
          <w:szCs w:val="18"/>
        </w:rPr>
        <w:t xml:space="preserve"> van de nieuwe gemeente C. </w:t>
      </w:r>
      <w:r w:rsidR="008F47C8">
        <w:rPr>
          <w:rFonts w:ascii="Verdana" w:hAnsi="Verdana"/>
          <w:sz w:val="18"/>
          <w:szCs w:val="18"/>
        </w:rPr>
        <w:t>In een dergelijk geval zou de persoon</w:t>
      </w:r>
      <w:r w:rsidR="00724307">
        <w:rPr>
          <w:rFonts w:ascii="Verdana" w:hAnsi="Verdana"/>
          <w:sz w:val="18"/>
          <w:szCs w:val="18"/>
        </w:rPr>
        <w:t xml:space="preserve"> in kwestie</w:t>
      </w:r>
      <w:r w:rsidR="00B475C5">
        <w:rPr>
          <w:rFonts w:ascii="Verdana" w:hAnsi="Verdana"/>
          <w:sz w:val="18"/>
          <w:szCs w:val="18"/>
        </w:rPr>
        <w:t xml:space="preserve"> dus</w:t>
      </w:r>
      <w:r w:rsidR="008F47C8">
        <w:rPr>
          <w:rFonts w:ascii="Verdana" w:hAnsi="Verdana"/>
          <w:sz w:val="18"/>
          <w:szCs w:val="18"/>
        </w:rPr>
        <w:t xml:space="preserve"> </w:t>
      </w:r>
      <w:r w:rsidR="008A6A84">
        <w:rPr>
          <w:rFonts w:ascii="Verdana" w:hAnsi="Verdana"/>
          <w:sz w:val="18"/>
          <w:szCs w:val="18"/>
        </w:rPr>
        <w:t>(</w:t>
      </w:r>
      <w:r w:rsidR="005415C7">
        <w:rPr>
          <w:rFonts w:ascii="Verdana" w:hAnsi="Verdana"/>
          <w:sz w:val="18"/>
          <w:szCs w:val="18"/>
        </w:rPr>
        <w:t>tijdelijk</w:t>
      </w:r>
      <w:r w:rsidR="008A6A84">
        <w:rPr>
          <w:rFonts w:ascii="Verdana" w:hAnsi="Verdana"/>
          <w:sz w:val="18"/>
          <w:szCs w:val="18"/>
        </w:rPr>
        <w:t>)</w:t>
      </w:r>
      <w:r w:rsidR="008F47C8">
        <w:rPr>
          <w:rFonts w:ascii="Verdana" w:hAnsi="Verdana"/>
          <w:sz w:val="18"/>
          <w:szCs w:val="18"/>
        </w:rPr>
        <w:t xml:space="preserve"> raadslid</w:t>
      </w:r>
      <w:r w:rsidR="005415C7">
        <w:rPr>
          <w:rFonts w:ascii="Verdana" w:hAnsi="Verdana"/>
          <w:sz w:val="18"/>
          <w:szCs w:val="18"/>
        </w:rPr>
        <w:t xml:space="preserve"> of wethouder in twee gemeenten </w:t>
      </w:r>
      <w:r w:rsidR="008A6A84">
        <w:rPr>
          <w:rFonts w:ascii="Verdana" w:hAnsi="Verdana"/>
          <w:sz w:val="18"/>
          <w:szCs w:val="18"/>
        </w:rPr>
        <w:t xml:space="preserve">tegelijk </w:t>
      </w:r>
      <w:r w:rsidR="005415C7">
        <w:rPr>
          <w:rFonts w:ascii="Verdana" w:hAnsi="Verdana"/>
          <w:sz w:val="18"/>
          <w:szCs w:val="18"/>
        </w:rPr>
        <w:t xml:space="preserve">zijn (gemeenten B en C). Dit is geen wenselijke situatie. </w:t>
      </w:r>
      <w:r w:rsidR="008F47C8">
        <w:rPr>
          <w:rFonts w:ascii="Verdana" w:hAnsi="Verdana"/>
          <w:sz w:val="18"/>
          <w:szCs w:val="18"/>
        </w:rPr>
        <w:t>Tegelijk kan de vraag worden gesteld of er een</w:t>
      </w:r>
      <w:r w:rsidR="00DF7C87">
        <w:rPr>
          <w:rFonts w:ascii="Verdana" w:hAnsi="Verdana"/>
          <w:sz w:val="18"/>
          <w:szCs w:val="18"/>
        </w:rPr>
        <w:t xml:space="preserve"> andere, betere oplossing voor deze situatie denkbaar is. Immers, indien voorzien moet worden in tijdelijke raadsleden of wethouders, ligt het toch het meest voor de hand dat de raadsleden en wethouders van de </w:t>
      </w:r>
      <w:r w:rsidR="008A6A84">
        <w:rPr>
          <w:rFonts w:ascii="Verdana" w:hAnsi="Verdana"/>
          <w:sz w:val="18"/>
          <w:szCs w:val="18"/>
        </w:rPr>
        <w:t xml:space="preserve">opgeheven </w:t>
      </w:r>
      <w:r w:rsidR="00DF7C87">
        <w:rPr>
          <w:rFonts w:ascii="Verdana" w:hAnsi="Verdana"/>
          <w:sz w:val="18"/>
          <w:szCs w:val="18"/>
        </w:rPr>
        <w:t xml:space="preserve">gemeente waarnemen. </w:t>
      </w:r>
      <w:r w:rsidR="001C47D9">
        <w:rPr>
          <w:rFonts w:ascii="Verdana" w:hAnsi="Verdana"/>
          <w:sz w:val="18"/>
          <w:szCs w:val="18"/>
        </w:rPr>
        <w:t xml:space="preserve">In ieder geval dient bij een afschaling rekening te worden gehouden met de situatie, beschreven in art. 53, tweede lid en waar nodig een maatwerkvoorziening in de herindelingswet te worden getroffen. </w:t>
      </w:r>
      <w:r w:rsidR="001B73D7">
        <w:rPr>
          <w:rFonts w:ascii="Verdana" w:hAnsi="Verdana"/>
          <w:sz w:val="18"/>
          <w:szCs w:val="18"/>
        </w:rPr>
        <w:t>Dit betreft overigens in de eerste plaats een theoretisch vraagstuk</w:t>
      </w:r>
      <w:r w:rsidR="003D4D5B">
        <w:rPr>
          <w:rFonts w:ascii="Verdana" w:hAnsi="Verdana"/>
          <w:sz w:val="18"/>
          <w:szCs w:val="18"/>
        </w:rPr>
        <w:t xml:space="preserve">. Bij eerdere herindelingen is dit althans, voor zover bekend, niet voorgekomen. </w:t>
      </w:r>
      <w:r w:rsidR="0097773C">
        <w:rPr>
          <w:rFonts w:ascii="Verdana" w:hAnsi="Verdana"/>
          <w:sz w:val="18"/>
          <w:szCs w:val="18"/>
        </w:rPr>
        <w:br/>
      </w:r>
      <w:r w:rsidR="00801325">
        <w:rPr>
          <w:rFonts w:ascii="Verdana" w:hAnsi="Verdana"/>
          <w:sz w:val="18"/>
          <w:szCs w:val="18"/>
        </w:rPr>
        <w:t>Verder is in artikel 54 van de Wet arhi geregeld dat het college van een gemeente</w:t>
      </w:r>
      <w:r w:rsidR="00DF7C87">
        <w:rPr>
          <w:rFonts w:ascii="Verdana" w:hAnsi="Verdana"/>
          <w:sz w:val="18"/>
          <w:szCs w:val="18"/>
        </w:rPr>
        <w:t xml:space="preserve"> die betrokken is bij een herindeling</w:t>
      </w:r>
      <w:r w:rsidR="00801325">
        <w:rPr>
          <w:rFonts w:ascii="Verdana" w:hAnsi="Verdana"/>
          <w:sz w:val="18"/>
          <w:szCs w:val="18"/>
        </w:rPr>
        <w:t xml:space="preserve"> </w:t>
      </w:r>
      <w:r w:rsidR="005F6B18">
        <w:rPr>
          <w:rFonts w:ascii="Verdana" w:hAnsi="Verdana"/>
          <w:sz w:val="18"/>
          <w:szCs w:val="18"/>
        </w:rPr>
        <w:t>waar</w:t>
      </w:r>
      <w:r w:rsidR="00082F76">
        <w:rPr>
          <w:rFonts w:ascii="Verdana" w:hAnsi="Verdana"/>
          <w:sz w:val="18"/>
          <w:szCs w:val="18"/>
        </w:rPr>
        <w:t xml:space="preserve">bij </w:t>
      </w:r>
      <w:r w:rsidR="005F6B18">
        <w:rPr>
          <w:rFonts w:ascii="Verdana" w:hAnsi="Verdana"/>
          <w:sz w:val="18"/>
          <w:szCs w:val="18"/>
        </w:rPr>
        <w:t>een herindelingsverkiezing wordt gehouden, een</w:t>
      </w:r>
      <w:r w:rsidR="00A06E75">
        <w:rPr>
          <w:rFonts w:ascii="Verdana" w:hAnsi="Verdana"/>
          <w:sz w:val="18"/>
          <w:szCs w:val="18"/>
        </w:rPr>
        <w:t xml:space="preserve"> opgave van in overgaand gebied woonachtige kiesgerechtigde personen</w:t>
      </w:r>
      <w:r w:rsidR="005F6B18">
        <w:rPr>
          <w:rFonts w:ascii="Verdana" w:hAnsi="Verdana"/>
          <w:sz w:val="18"/>
          <w:szCs w:val="18"/>
        </w:rPr>
        <w:t xml:space="preserve"> </w:t>
      </w:r>
      <w:r w:rsidR="00A06E75">
        <w:rPr>
          <w:rFonts w:ascii="Verdana" w:hAnsi="Verdana"/>
          <w:sz w:val="18"/>
          <w:szCs w:val="18"/>
        </w:rPr>
        <w:t xml:space="preserve">moet zenden </w:t>
      </w:r>
      <w:r w:rsidR="005F6B18">
        <w:rPr>
          <w:rFonts w:ascii="Verdana" w:hAnsi="Verdana"/>
          <w:sz w:val="18"/>
          <w:szCs w:val="18"/>
        </w:rPr>
        <w:t xml:space="preserve">naar de gemeente die deze herindelingsverkiezing voorbereidt. </w:t>
      </w:r>
      <w:r w:rsidR="007E252B">
        <w:rPr>
          <w:rFonts w:ascii="Verdana" w:hAnsi="Verdana"/>
          <w:sz w:val="18"/>
          <w:szCs w:val="18"/>
        </w:rPr>
        <w:t>Dit dient te geschieden op een door gedeputeerde staten te bepalen datum.</w:t>
      </w:r>
      <w:r w:rsidR="000A1935">
        <w:rPr>
          <w:rFonts w:ascii="Verdana" w:hAnsi="Verdana"/>
          <w:sz w:val="18"/>
          <w:szCs w:val="18"/>
        </w:rPr>
        <w:t xml:space="preserve"> Bij een gemeentelijke </w:t>
      </w:r>
      <w:r w:rsidR="00A06E75">
        <w:rPr>
          <w:rFonts w:ascii="Verdana" w:hAnsi="Verdana"/>
          <w:sz w:val="18"/>
          <w:szCs w:val="18"/>
        </w:rPr>
        <w:t xml:space="preserve">afschaling </w:t>
      </w:r>
      <w:r w:rsidR="000A1935">
        <w:rPr>
          <w:rFonts w:ascii="Verdana" w:hAnsi="Verdana"/>
          <w:sz w:val="18"/>
          <w:szCs w:val="18"/>
        </w:rPr>
        <w:t xml:space="preserve">heeft een dergelijke bepaling </w:t>
      </w:r>
      <w:r w:rsidR="007E252B">
        <w:rPr>
          <w:rFonts w:ascii="Verdana" w:hAnsi="Verdana"/>
          <w:sz w:val="18"/>
          <w:szCs w:val="18"/>
        </w:rPr>
        <w:t>weinig</w:t>
      </w:r>
      <w:r w:rsidR="000A1935">
        <w:rPr>
          <w:rFonts w:ascii="Verdana" w:hAnsi="Verdana"/>
          <w:sz w:val="18"/>
          <w:szCs w:val="18"/>
        </w:rPr>
        <w:t xml:space="preserve"> zin, </w:t>
      </w:r>
      <w:r w:rsidR="000A1935">
        <w:rPr>
          <w:rFonts w:ascii="Verdana" w:hAnsi="Verdana"/>
          <w:sz w:val="18"/>
          <w:szCs w:val="18"/>
        </w:rPr>
        <w:lastRenderedPageBreak/>
        <w:t>omdat dit zou betekenen dat de gemeente</w:t>
      </w:r>
      <w:r w:rsidR="00724307">
        <w:rPr>
          <w:rFonts w:ascii="Verdana" w:hAnsi="Verdana"/>
          <w:sz w:val="18"/>
          <w:szCs w:val="18"/>
        </w:rPr>
        <w:t xml:space="preserve"> die wordt afgeschaald</w:t>
      </w:r>
      <w:r w:rsidR="000A1935">
        <w:rPr>
          <w:rFonts w:ascii="Verdana" w:hAnsi="Verdana"/>
          <w:sz w:val="18"/>
          <w:szCs w:val="18"/>
        </w:rPr>
        <w:t xml:space="preserve"> een lijst van kiesgerechtigde personen naar zichzelf zou moeten sturen.</w:t>
      </w:r>
      <w:r w:rsidR="005B0BE3">
        <w:rPr>
          <w:rFonts w:ascii="Verdana" w:hAnsi="Verdana"/>
          <w:sz w:val="18"/>
          <w:szCs w:val="18"/>
        </w:rPr>
        <w:t xml:space="preserve"> In artikel 54, tweede lid, is </w:t>
      </w:r>
      <w:r w:rsidR="005E039E">
        <w:rPr>
          <w:rFonts w:ascii="Verdana" w:hAnsi="Verdana"/>
          <w:sz w:val="18"/>
          <w:szCs w:val="18"/>
        </w:rPr>
        <w:t xml:space="preserve">vervolgens </w:t>
      </w:r>
      <w:r w:rsidR="005B0BE3">
        <w:rPr>
          <w:rFonts w:ascii="Verdana" w:hAnsi="Verdana"/>
          <w:sz w:val="18"/>
          <w:szCs w:val="18"/>
        </w:rPr>
        <w:t xml:space="preserve">geregeld dat als tussen </w:t>
      </w:r>
      <w:r w:rsidR="005E039E">
        <w:rPr>
          <w:rFonts w:ascii="Verdana" w:hAnsi="Verdana"/>
          <w:sz w:val="18"/>
          <w:szCs w:val="18"/>
        </w:rPr>
        <w:t xml:space="preserve">de </w:t>
      </w:r>
      <w:r w:rsidR="005B0BE3">
        <w:rPr>
          <w:rFonts w:ascii="Verdana" w:hAnsi="Verdana"/>
          <w:sz w:val="18"/>
          <w:szCs w:val="18"/>
        </w:rPr>
        <w:t xml:space="preserve">datum waarop de kiezersopgave wordt verstuurd en de dag van kandidaatstelling een verandering optreedt in de lijst van kiesgerechtigde personen, deze verandering onverwijld ter kennis worden gebracht van het college van de gemeente aan wie de opgave is verzonden. Dit college brengt vervolgens veranderingen in de opgave aan. Ook deze bepaling zou bij gemeentelijke </w:t>
      </w:r>
      <w:r w:rsidR="00A06E75">
        <w:rPr>
          <w:rFonts w:ascii="Verdana" w:hAnsi="Verdana"/>
          <w:sz w:val="18"/>
          <w:szCs w:val="18"/>
        </w:rPr>
        <w:t>afschaling</w:t>
      </w:r>
      <w:r w:rsidR="005B0BE3">
        <w:rPr>
          <w:rFonts w:ascii="Verdana" w:hAnsi="Verdana"/>
          <w:sz w:val="18"/>
          <w:szCs w:val="18"/>
        </w:rPr>
        <w:t xml:space="preserve"> neerkomen op de situatie dat het college </w:t>
      </w:r>
      <w:r w:rsidR="005E039E">
        <w:rPr>
          <w:rFonts w:ascii="Verdana" w:hAnsi="Verdana"/>
          <w:sz w:val="18"/>
          <w:szCs w:val="18"/>
        </w:rPr>
        <w:t xml:space="preserve">een wijziging in de kiezersopgave naar zichzelf zou moeten sturen. </w:t>
      </w:r>
    </w:p>
    <w:p w:rsidR="00082F76" w:rsidP="00B65449" w:rsidRDefault="005E039E" w14:paraId="3EA0B4C2" w14:textId="77777777">
      <w:pPr>
        <w:rPr>
          <w:rFonts w:ascii="Verdana" w:hAnsi="Verdana"/>
          <w:sz w:val="18"/>
          <w:szCs w:val="18"/>
        </w:rPr>
      </w:pPr>
      <w:r>
        <w:rPr>
          <w:rFonts w:ascii="Verdana" w:hAnsi="Verdana"/>
          <w:sz w:val="18"/>
          <w:szCs w:val="18"/>
        </w:rPr>
        <w:t xml:space="preserve">In artikel 55, vijfde lid, van de Wet arhi is geregeld </w:t>
      </w:r>
      <w:r w:rsidR="005D715F">
        <w:rPr>
          <w:rFonts w:ascii="Verdana" w:hAnsi="Verdana"/>
          <w:sz w:val="18"/>
          <w:szCs w:val="18"/>
        </w:rPr>
        <w:t>wie uiteindelijk kiesgerechtigde personen zijn van de raad van de nieuw in te stellen gemeente. Kiesgerechtigd zijn degenen die als zodanig zijn geregistreerd in de gemeente die met de voorbereiding van de herindelingsverkiezingen is belast, aangevuld met degenen di</w:t>
      </w:r>
      <w:r w:rsidR="00757171">
        <w:rPr>
          <w:rFonts w:ascii="Verdana" w:hAnsi="Verdana"/>
          <w:sz w:val="18"/>
          <w:szCs w:val="18"/>
        </w:rPr>
        <w:t xml:space="preserve">e voorkomen op de ontvangen opgaven als bedoeld in artikel 54. Ook deze bepaling is bij gemeentelijke </w:t>
      </w:r>
      <w:r w:rsidR="00082F76">
        <w:rPr>
          <w:rFonts w:ascii="Verdana" w:hAnsi="Verdana"/>
          <w:sz w:val="18"/>
          <w:szCs w:val="18"/>
        </w:rPr>
        <w:t>afschaling</w:t>
      </w:r>
      <w:r w:rsidR="00724307">
        <w:rPr>
          <w:rFonts w:ascii="Verdana" w:hAnsi="Verdana"/>
          <w:sz w:val="18"/>
          <w:szCs w:val="18"/>
        </w:rPr>
        <w:t xml:space="preserve"> </w:t>
      </w:r>
      <w:r w:rsidR="00757171">
        <w:rPr>
          <w:rFonts w:ascii="Verdana" w:hAnsi="Verdana"/>
          <w:sz w:val="18"/>
          <w:szCs w:val="18"/>
        </w:rPr>
        <w:t xml:space="preserve">niet toepasbaar. Bij </w:t>
      </w:r>
      <w:r w:rsidR="00082F76">
        <w:rPr>
          <w:rFonts w:ascii="Verdana" w:hAnsi="Verdana"/>
          <w:sz w:val="18"/>
          <w:szCs w:val="18"/>
        </w:rPr>
        <w:t>afschalin</w:t>
      </w:r>
      <w:r w:rsidR="00FA30D4">
        <w:rPr>
          <w:rFonts w:ascii="Verdana" w:hAnsi="Verdana"/>
          <w:sz w:val="18"/>
          <w:szCs w:val="18"/>
        </w:rPr>
        <w:t>g</w:t>
      </w:r>
      <w:r w:rsidR="00757171">
        <w:rPr>
          <w:rFonts w:ascii="Verdana" w:hAnsi="Verdana"/>
          <w:sz w:val="18"/>
          <w:szCs w:val="18"/>
        </w:rPr>
        <w:t xml:space="preserve"> dienen namelijk twee afzonderlijke lijsten van kiesgerechtigde personen te worden opgesteld: één voor de raad van de nieuwe gemeente B en één voor de nieuwe gemeente C. Daarom dient in de herindelingswet die de </w:t>
      </w:r>
      <w:r w:rsidR="00BD28BC">
        <w:rPr>
          <w:rFonts w:ascii="Verdana" w:hAnsi="Verdana"/>
          <w:sz w:val="18"/>
          <w:szCs w:val="18"/>
        </w:rPr>
        <w:t xml:space="preserve">afschaling </w:t>
      </w:r>
      <w:r w:rsidR="00757171">
        <w:rPr>
          <w:rFonts w:ascii="Verdana" w:hAnsi="Verdana"/>
          <w:sz w:val="18"/>
          <w:szCs w:val="18"/>
        </w:rPr>
        <w:t xml:space="preserve">regelt, te worden voorzien in een bepaling die regelt dat dat </w:t>
      </w:r>
      <w:r w:rsidR="008522AA">
        <w:rPr>
          <w:rFonts w:ascii="Verdana" w:hAnsi="Verdana"/>
          <w:sz w:val="18"/>
          <w:szCs w:val="18"/>
        </w:rPr>
        <w:t xml:space="preserve">de gemeente die </w:t>
      </w:r>
      <w:r w:rsidR="00082F76">
        <w:rPr>
          <w:rFonts w:ascii="Verdana" w:hAnsi="Verdana"/>
          <w:sz w:val="18"/>
          <w:szCs w:val="18"/>
        </w:rPr>
        <w:t xml:space="preserve">afgeschaald wordt </w:t>
      </w:r>
      <w:r w:rsidR="008522AA">
        <w:rPr>
          <w:rFonts w:ascii="Verdana" w:hAnsi="Verdana"/>
          <w:sz w:val="18"/>
          <w:szCs w:val="18"/>
        </w:rPr>
        <w:t xml:space="preserve">(gemeente A) twee </w:t>
      </w:r>
      <w:r w:rsidR="008522AA">
        <w:rPr>
          <w:rFonts w:ascii="Verdana" w:hAnsi="Verdana"/>
          <w:i/>
          <w:iCs/>
          <w:sz w:val="18"/>
          <w:szCs w:val="18"/>
        </w:rPr>
        <w:t xml:space="preserve">afzonderlijke </w:t>
      </w:r>
      <w:r w:rsidR="008522AA">
        <w:rPr>
          <w:rFonts w:ascii="Verdana" w:hAnsi="Verdana"/>
          <w:sz w:val="18"/>
          <w:szCs w:val="18"/>
        </w:rPr>
        <w:t xml:space="preserve">kieslijsten opstelt: één </w:t>
      </w:r>
      <w:r w:rsidR="004B19D7">
        <w:rPr>
          <w:rFonts w:ascii="Verdana" w:hAnsi="Verdana"/>
          <w:sz w:val="18"/>
          <w:szCs w:val="18"/>
        </w:rPr>
        <w:t>ten aanzien van</w:t>
      </w:r>
      <w:r w:rsidR="008522AA">
        <w:rPr>
          <w:rFonts w:ascii="Verdana" w:hAnsi="Verdana"/>
          <w:sz w:val="18"/>
          <w:szCs w:val="18"/>
        </w:rPr>
        <w:t xml:space="preserve"> de inwoners die tot de nieuwe gemeente B gaan behoren en één </w:t>
      </w:r>
      <w:r w:rsidR="004B19D7">
        <w:rPr>
          <w:rFonts w:ascii="Verdana" w:hAnsi="Verdana"/>
          <w:sz w:val="18"/>
          <w:szCs w:val="18"/>
        </w:rPr>
        <w:t>ten aanzien van</w:t>
      </w:r>
      <w:r w:rsidR="008522AA">
        <w:rPr>
          <w:rFonts w:ascii="Verdana" w:hAnsi="Verdana"/>
          <w:sz w:val="18"/>
          <w:szCs w:val="18"/>
        </w:rPr>
        <w:t xml:space="preserve"> de inwoners die tot de nieuwe gemeente C gaan </w:t>
      </w:r>
      <w:r w:rsidR="00154D2E">
        <w:rPr>
          <w:rFonts w:ascii="Verdana" w:hAnsi="Verdana"/>
          <w:sz w:val="18"/>
          <w:szCs w:val="18"/>
        </w:rPr>
        <w:t>h</w:t>
      </w:r>
      <w:r w:rsidR="008522AA">
        <w:rPr>
          <w:rFonts w:ascii="Verdana" w:hAnsi="Verdana"/>
          <w:sz w:val="18"/>
          <w:szCs w:val="18"/>
        </w:rPr>
        <w:t>oren.</w:t>
      </w:r>
      <w:r w:rsidR="008522AA">
        <w:rPr>
          <w:rStyle w:val="Voetnootmarkering"/>
          <w:rFonts w:ascii="Verdana" w:hAnsi="Verdana"/>
          <w:sz w:val="18"/>
          <w:szCs w:val="18"/>
        </w:rPr>
        <w:footnoteReference w:id="16"/>
      </w:r>
      <w:r w:rsidR="008522AA">
        <w:rPr>
          <w:rFonts w:ascii="Verdana" w:hAnsi="Verdana"/>
          <w:sz w:val="18"/>
          <w:szCs w:val="18"/>
        </w:rPr>
        <w:t xml:space="preserve"> </w:t>
      </w:r>
    </w:p>
    <w:p w:rsidR="00612B8A" w:rsidP="00612B8A" w:rsidRDefault="00082F76" w14:paraId="36434AC6" w14:textId="77777777">
      <w:pPr>
        <w:rPr>
          <w:rFonts w:ascii="Verdana" w:hAnsi="Verdana"/>
          <w:sz w:val="18"/>
          <w:szCs w:val="18"/>
        </w:rPr>
      </w:pPr>
      <w:bookmarkStart w:name="_Hlk177479741" w:id="1"/>
      <w:bookmarkEnd w:id="0"/>
      <w:r>
        <w:rPr>
          <w:rFonts w:ascii="Verdana" w:hAnsi="Verdana"/>
          <w:sz w:val="18"/>
          <w:szCs w:val="18"/>
        </w:rPr>
        <w:t xml:space="preserve">Naast de bepalingen die verband houden met de herindelingsverkiezingen zijn er ook andere bepalingen in de Wet arhi </w:t>
      </w:r>
      <w:r w:rsidR="00612B8A">
        <w:rPr>
          <w:rFonts w:ascii="Verdana" w:hAnsi="Verdana"/>
          <w:sz w:val="18"/>
          <w:szCs w:val="18"/>
        </w:rPr>
        <w:t xml:space="preserve">waarbij het de vraag is of het wenselijk is deze onverkort toe te passen. Een voorbeeld hiervan is artikel 57, eerste lid, van de Wet arhi, dat betrekking heeft op de overgang van personeel. </w:t>
      </w:r>
      <w:r w:rsidR="00E866F3">
        <w:rPr>
          <w:rFonts w:ascii="Verdana" w:hAnsi="Verdana"/>
          <w:sz w:val="18"/>
          <w:szCs w:val="18"/>
        </w:rPr>
        <w:t>Artikel 57, eerste lid,</w:t>
      </w:r>
      <w:r w:rsidR="00724307">
        <w:rPr>
          <w:rFonts w:ascii="Verdana" w:hAnsi="Verdana"/>
          <w:sz w:val="18"/>
          <w:szCs w:val="18"/>
        </w:rPr>
        <w:t xml:space="preserve"> van de Wet arhi</w:t>
      </w:r>
      <w:r w:rsidR="00E866F3">
        <w:rPr>
          <w:rFonts w:ascii="Verdana" w:hAnsi="Verdana"/>
          <w:sz w:val="18"/>
          <w:szCs w:val="18"/>
        </w:rPr>
        <w:t xml:space="preserve"> bepaalt dat </w:t>
      </w:r>
      <w:r w:rsidR="00C04632">
        <w:rPr>
          <w:rFonts w:ascii="Verdana" w:hAnsi="Verdana"/>
          <w:sz w:val="18"/>
          <w:szCs w:val="18"/>
        </w:rPr>
        <w:t>de gemeente die op grond van artikel 44, eerste of tweede lid, rechtsopvolger is van een op te heffen gemeente</w:t>
      </w:r>
      <w:r w:rsidR="006700A4">
        <w:rPr>
          <w:rFonts w:ascii="Verdana" w:hAnsi="Verdana"/>
          <w:sz w:val="18"/>
          <w:szCs w:val="18"/>
        </w:rPr>
        <w:t>,</w:t>
      </w:r>
      <w:r w:rsidR="00C04632">
        <w:rPr>
          <w:rFonts w:ascii="Verdana" w:hAnsi="Verdana"/>
          <w:sz w:val="18"/>
          <w:szCs w:val="18"/>
        </w:rPr>
        <w:t xml:space="preserve"> ook de verkrijger is van het personeel van d</w:t>
      </w:r>
      <w:r w:rsidR="006700A4">
        <w:rPr>
          <w:rFonts w:ascii="Verdana" w:hAnsi="Verdana"/>
          <w:sz w:val="18"/>
          <w:szCs w:val="18"/>
        </w:rPr>
        <w:t>ie gemeente</w:t>
      </w:r>
      <w:r w:rsidR="00C04632">
        <w:rPr>
          <w:rFonts w:ascii="Verdana" w:hAnsi="Verdana"/>
          <w:sz w:val="18"/>
          <w:szCs w:val="18"/>
        </w:rPr>
        <w:t xml:space="preserve">. Zoals in paragraaf 1.2 reeds beschreven, </w:t>
      </w:r>
      <w:r w:rsidR="000B6A11">
        <w:rPr>
          <w:rFonts w:ascii="Verdana" w:hAnsi="Verdana"/>
          <w:sz w:val="18"/>
          <w:szCs w:val="18"/>
        </w:rPr>
        <w:t xml:space="preserve">kan bij een gemeentelijke afschaling één van de nieuw te vormen gemeenten worden aangewezen als rechtsopvolger voor rechten en verplichtingen die niet duidelijk territoriaal gebonden zijn. Indien bijvoorbeeld gemeente A in de nieuwe gemeente B en C splitst, kan de nieuwe gemeente B in de herindelingswet als rechtsopvolger worden aangewezen voor de verplichtingen die niet duidelijk territoriaal gebonden zijn. Dit zou betekenen dat het personeel van de opgeheven gemeente A bij de nieuwe gemeente B in dienst treedt. Dit lijkt een onwenselijke situatie, omdat dit zou betekenen dat er geen personeel naar de nieuwe gemeente C overgaat. Het </w:t>
      </w:r>
      <w:r w:rsidR="006700A4">
        <w:rPr>
          <w:rFonts w:ascii="Verdana" w:hAnsi="Verdana"/>
          <w:sz w:val="18"/>
          <w:szCs w:val="18"/>
        </w:rPr>
        <w:t>ligt dan ook in de rede dat de herindelingswet een van art. 57 Wet arhi afwijkende voorziening treft voor deze situatie.</w:t>
      </w:r>
      <w:r w:rsidR="000B6A11">
        <w:rPr>
          <w:rFonts w:ascii="Verdana" w:hAnsi="Verdana"/>
          <w:sz w:val="18"/>
          <w:szCs w:val="18"/>
        </w:rPr>
        <w:t xml:space="preserve"> Hoe deze voorziening er precies uit moet komen te zien, is afhankelijk van het concrete geval. Indien een gemeente splitst in twee gemeenten van een min of meer gelijk inwoneraantal, zal de voorziening mogelijk anders zijn dan in een situatie waarbij een gemeente splitst in een kleinere en grote </w:t>
      </w:r>
      <w:r w:rsidR="00724307">
        <w:rPr>
          <w:rFonts w:ascii="Verdana" w:hAnsi="Verdana"/>
          <w:sz w:val="18"/>
          <w:szCs w:val="18"/>
        </w:rPr>
        <w:t xml:space="preserve">nieuwe </w:t>
      </w:r>
      <w:r w:rsidR="000B6A11">
        <w:rPr>
          <w:rFonts w:ascii="Verdana" w:hAnsi="Verdana"/>
          <w:sz w:val="18"/>
          <w:szCs w:val="18"/>
        </w:rPr>
        <w:t xml:space="preserve">gemeente. </w:t>
      </w:r>
    </w:p>
    <w:p w:rsidR="004B19D7" w:rsidP="00B65449" w:rsidRDefault="00AB1D62" w14:paraId="4E984EAB" w14:textId="77777777">
      <w:pPr>
        <w:rPr>
          <w:rFonts w:ascii="Verdana" w:hAnsi="Verdana"/>
          <w:sz w:val="18"/>
          <w:szCs w:val="18"/>
        </w:rPr>
      </w:pPr>
      <w:r>
        <w:rPr>
          <w:rFonts w:ascii="Verdana" w:hAnsi="Verdana"/>
          <w:i/>
          <w:iCs/>
          <w:sz w:val="18"/>
          <w:szCs w:val="18"/>
        </w:rPr>
        <w:t>2</w:t>
      </w:r>
      <w:r w:rsidR="00DA43CA">
        <w:rPr>
          <w:rFonts w:ascii="Verdana" w:hAnsi="Verdana"/>
          <w:i/>
          <w:iCs/>
          <w:sz w:val="18"/>
          <w:szCs w:val="18"/>
        </w:rPr>
        <w:t>.5: Conclusie bruikbaarheid Wet arhi bij gemeentelijke afschaling</w:t>
      </w:r>
      <w:r w:rsidR="00907439">
        <w:rPr>
          <w:rFonts w:ascii="Verdana" w:hAnsi="Verdana"/>
          <w:i/>
          <w:iCs/>
          <w:sz w:val="18"/>
          <w:szCs w:val="18"/>
        </w:rPr>
        <w:br/>
      </w:r>
      <w:bookmarkEnd w:id="1"/>
      <w:r w:rsidR="00DA43CA">
        <w:rPr>
          <w:rFonts w:ascii="Verdana" w:hAnsi="Verdana"/>
          <w:sz w:val="18"/>
          <w:szCs w:val="18"/>
        </w:rPr>
        <w:t xml:space="preserve">Uit het bovenstaande kan de conclusie worden getrokken dat </w:t>
      </w:r>
      <w:r w:rsidR="00471313">
        <w:rPr>
          <w:rFonts w:ascii="Verdana" w:hAnsi="Verdana"/>
          <w:sz w:val="18"/>
          <w:szCs w:val="18"/>
        </w:rPr>
        <w:t xml:space="preserve">verschillende bepalingen van </w:t>
      </w:r>
      <w:r w:rsidR="00DA43CA">
        <w:rPr>
          <w:rFonts w:ascii="Verdana" w:hAnsi="Verdana"/>
          <w:sz w:val="18"/>
          <w:szCs w:val="18"/>
        </w:rPr>
        <w:t xml:space="preserve">Wet arhi goed toepasbaar </w:t>
      </w:r>
      <w:r w:rsidR="00471313">
        <w:rPr>
          <w:rFonts w:ascii="Verdana" w:hAnsi="Verdana"/>
          <w:sz w:val="18"/>
          <w:szCs w:val="18"/>
        </w:rPr>
        <w:t xml:space="preserve">zijn </w:t>
      </w:r>
      <w:r w:rsidR="00DA43CA">
        <w:rPr>
          <w:rFonts w:ascii="Verdana" w:hAnsi="Verdana"/>
          <w:sz w:val="18"/>
          <w:szCs w:val="18"/>
        </w:rPr>
        <w:t xml:space="preserve">in het geval van gemeentelijke </w:t>
      </w:r>
      <w:r w:rsidR="00DA43CA">
        <w:rPr>
          <w:rFonts w:ascii="Verdana" w:hAnsi="Verdana"/>
          <w:sz w:val="18"/>
          <w:szCs w:val="18"/>
        </w:rPr>
        <w:lastRenderedPageBreak/>
        <w:t xml:space="preserve">afschaling (bijv. </w:t>
      </w:r>
      <w:r w:rsidR="00976FF9">
        <w:rPr>
          <w:rFonts w:ascii="Verdana" w:hAnsi="Verdana"/>
          <w:sz w:val="18"/>
          <w:szCs w:val="18"/>
        </w:rPr>
        <w:t>a</w:t>
      </w:r>
      <w:r w:rsidR="00DA43CA">
        <w:rPr>
          <w:rFonts w:ascii="Verdana" w:hAnsi="Verdana"/>
          <w:sz w:val="18"/>
          <w:szCs w:val="18"/>
        </w:rPr>
        <w:t xml:space="preserve">rt. 44). De Wet arhi bevat echter ook verscheidene bepalingen die niet goed toepasbaar zijn bij </w:t>
      </w:r>
      <w:r w:rsidR="00724307">
        <w:rPr>
          <w:rFonts w:ascii="Verdana" w:hAnsi="Verdana"/>
          <w:sz w:val="18"/>
          <w:szCs w:val="18"/>
        </w:rPr>
        <w:t>gemeentelijke</w:t>
      </w:r>
      <w:r w:rsidR="00DA43CA">
        <w:rPr>
          <w:rFonts w:ascii="Verdana" w:hAnsi="Verdana"/>
          <w:sz w:val="18"/>
          <w:szCs w:val="18"/>
        </w:rPr>
        <w:t xml:space="preserve"> afschaling (bijv. bepalingen bij herindelingsverkiezingen en de overgang van personeel). </w:t>
      </w:r>
      <w:r w:rsidR="00471313">
        <w:rPr>
          <w:rFonts w:ascii="Verdana" w:hAnsi="Verdana"/>
          <w:sz w:val="18"/>
          <w:szCs w:val="18"/>
        </w:rPr>
        <w:t xml:space="preserve">Het betreffen hier met name bepalingen die betrekking hebben op de rechtsgevolgen van een herindeling. </w:t>
      </w:r>
      <w:r w:rsidR="00DA43CA">
        <w:rPr>
          <w:rFonts w:ascii="Verdana" w:hAnsi="Verdana"/>
          <w:sz w:val="18"/>
          <w:szCs w:val="18"/>
        </w:rPr>
        <w:t xml:space="preserve">In dergelijke gevallen </w:t>
      </w:r>
      <w:r w:rsidR="004B19D7">
        <w:rPr>
          <w:rFonts w:ascii="Verdana" w:hAnsi="Verdana"/>
          <w:sz w:val="18"/>
          <w:szCs w:val="18"/>
        </w:rPr>
        <w:t xml:space="preserve">is het echter mogelijk om in de herindelingswet die de </w:t>
      </w:r>
      <w:r w:rsidR="00DA43CA">
        <w:rPr>
          <w:rFonts w:ascii="Verdana" w:hAnsi="Verdana"/>
          <w:sz w:val="18"/>
          <w:szCs w:val="18"/>
        </w:rPr>
        <w:t>afschaling</w:t>
      </w:r>
      <w:r w:rsidR="004B19D7">
        <w:rPr>
          <w:rFonts w:ascii="Verdana" w:hAnsi="Verdana"/>
          <w:sz w:val="18"/>
          <w:szCs w:val="18"/>
        </w:rPr>
        <w:t xml:space="preserve"> regelt, te voorzien in maatwerkbepalingen. </w:t>
      </w:r>
      <w:r w:rsidR="00840230">
        <w:rPr>
          <w:rFonts w:ascii="Verdana" w:hAnsi="Verdana"/>
          <w:sz w:val="18"/>
          <w:szCs w:val="18"/>
        </w:rPr>
        <w:t>H</w:t>
      </w:r>
      <w:r w:rsidR="004B19D7">
        <w:rPr>
          <w:rFonts w:ascii="Verdana" w:hAnsi="Verdana"/>
          <w:sz w:val="18"/>
          <w:szCs w:val="18"/>
        </w:rPr>
        <w:t xml:space="preserve">et </w:t>
      </w:r>
      <w:r w:rsidR="00840230">
        <w:rPr>
          <w:rFonts w:ascii="Verdana" w:hAnsi="Verdana"/>
          <w:sz w:val="18"/>
          <w:szCs w:val="18"/>
        </w:rPr>
        <w:t xml:space="preserve">is </w:t>
      </w:r>
      <w:r w:rsidR="004B19D7">
        <w:rPr>
          <w:rFonts w:ascii="Verdana" w:hAnsi="Verdana"/>
          <w:sz w:val="18"/>
          <w:szCs w:val="18"/>
        </w:rPr>
        <w:t>niet bezwaarlijk om dergelijke maatwerkbepalingen in de herindelingswet op te nemen.</w:t>
      </w:r>
      <w:r w:rsidR="00840230">
        <w:rPr>
          <w:rFonts w:ascii="Verdana" w:hAnsi="Verdana"/>
          <w:sz w:val="18"/>
          <w:szCs w:val="18"/>
        </w:rPr>
        <w:t xml:space="preserve"> De Wet </w:t>
      </w:r>
      <w:r w:rsidR="00361FBB">
        <w:rPr>
          <w:rFonts w:ascii="Verdana" w:hAnsi="Verdana"/>
          <w:sz w:val="18"/>
          <w:szCs w:val="18"/>
        </w:rPr>
        <w:t>a</w:t>
      </w:r>
      <w:r w:rsidR="00840230">
        <w:rPr>
          <w:rFonts w:ascii="Verdana" w:hAnsi="Verdana"/>
          <w:sz w:val="18"/>
          <w:szCs w:val="18"/>
        </w:rPr>
        <w:t xml:space="preserve">rhi blijft dan de functie behouden die </w:t>
      </w:r>
      <w:r w:rsidR="00361FBB">
        <w:rPr>
          <w:rFonts w:ascii="Verdana" w:hAnsi="Verdana"/>
          <w:sz w:val="18"/>
          <w:szCs w:val="18"/>
        </w:rPr>
        <w:t>zij</w:t>
      </w:r>
      <w:r w:rsidR="00840230">
        <w:rPr>
          <w:rFonts w:ascii="Verdana" w:hAnsi="Verdana"/>
          <w:sz w:val="18"/>
          <w:szCs w:val="18"/>
        </w:rPr>
        <w:t xml:space="preserve"> heeft; het regelen van algemene zaken en procedures zonder de wetgever in de mogelijkheid te beperken om in bijzondere gevallen speciaal op de situatie toegespitste voorzieningen te treffen.</w:t>
      </w:r>
    </w:p>
    <w:p w:rsidR="004B19D7" w:rsidP="00B65449" w:rsidRDefault="00AB1D62" w14:paraId="440ECD90" w14:textId="77777777">
      <w:pPr>
        <w:rPr>
          <w:rFonts w:ascii="Verdana" w:hAnsi="Verdana"/>
          <w:b/>
          <w:bCs/>
          <w:sz w:val="18"/>
          <w:szCs w:val="18"/>
        </w:rPr>
      </w:pPr>
      <w:r>
        <w:rPr>
          <w:rFonts w:ascii="Verdana" w:hAnsi="Verdana"/>
          <w:b/>
          <w:bCs/>
          <w:sz w:val="18"/>
          <w:szCs w:val="18"/>
        </w:rPr>
        <w:t>3</w:t>
      </w:r>
      <w:r w:rsidR="00530CDD">
        <w:rPr>
          <w:rFonts w:ascii="Verdana" w:hAnsi="Verdana"/>
          <w:b/>
          <w:bCs/>
          <w:sz w:val="18"/>
          <w:szCs w:val="18"/>
        </w:rPr>
        <w:t>. Beleidskader gemeentelijke herindeling</w:t>
      </w:r>
    </w:p>
    <w:p w:rsidR="00530CDD" w:rsidP="00B65449" w:rsidRDefault="00530CDD" w14:paraId="06F0E62E" w14:textId="77777777">
      <w:pPr>
        <w:rPr>
          <w:rFonts w:ascii="Verdana" w:hAnsi="Verdana"/>
          <w:sz w:val="18"/>
          <w:szCs w:val="18"/>
        </w:rPr>
      </w:pPr>
      <w:r>
        <w:rPr>
          <w:rFonts w:ascii="Verdana" w:hAnsi="Verdana"/>
          <w:sz w:val="18"/>
          <w:szCs w:val="18"/>
        </w:rPr>
        <w:t xml:space="preserve">Waar de Wet arhi vooral de procedures en rechtsgevolgen in verband met een gemeentelijke herindeling regelt, bevat het Beleidskader gemeentelijke herindeling (2018) </w:t>
      </w:r>
      <w:r>
        <w:rPr>
          <w:rFonts w:ascii="Verdana" w:hAnsi="Verdana"/>
          <w:i/>
          <w:iCs/>
          <w:sz w:val="18"/>
          <w:szCs w:val="18"/>
        </w:rPr>
        <w:t xml:space="preserve">inhoudelijke </w:t>
      </w:r>
      <w:r>
        <w:rPr>
          <w:rFonts w:ascii="Verdana" w:hAnsi="Verdana"/>
          <w:sz w:val="18"/>
          <w:szCs w:val="18"/>
        </w:rPr>
        <w:t>criteria voor een herindeling. In het Beleidskader gemeentelijke herindeling geeft het kabinet namelijk aan hoe voorstellen voor gemeentelijke herindeling door de Minister van BZK worden beoordeeld en getoetst.</w:t>
      </w:r>
      <w:r w:rsidR="00976FF9">
        <w:rPr>
          <w:rFonts w:ascii="Verdana" w:hAnsi="Verdana"/>
          <w:sz w:val="18"/>
          <w:szCs w:val="18"/>
        </w:rPr>
        <w:t xml:space="preserve"> Kabinetten kunnen in dit beleidskader eigen accenten leggen,</w:t>
      </w:r>
      <w:r w:rsidR="00181885">
        <w:rPr>
          <w:rFonts w:ascii="Verdana" w:hAnsi="Verdana"/>
          <w:sz w:val="18"/>
          <w:szCs w:val="18"/>
        </w:rPr>
        <w:t xml:space="preserve"> waardoor het beleidskader door de jaren heen aan verandering onderhevig is geweest en kan zijn.</w:t>
      </w:r>
      <w:r>
        <w:rPr>
          <w:rFonts w:ascii="Verdana" w:hAnsi="Verdana"/>
          <w:sz w:val="18"/>
          <w:szCs w:val="18"/>
        </w:rPr>
        <w:t xml:space="preserve"> </w:t>
      </w:r>
      <w:r w:rsidR="003869C5">
        <w:rPr>
          <w:rFonts w:ascii="Verdana" w:hAnsi="Verdana"/>
          <w:sz w:val="18"/>
          <w:szCs w:val="18"/>
        </w:rPr>
        <w:t xml:space="preserve">Hieronder wordt per onderdeel/paragraaf van het Beleidskader besproken in hoeverre dat onderdeel/die paragraaf toepasbaar is in het geval van gemeentelijke </w:t>
      </w:r>
      <w:r w:rsidR="00BD28BC">
        <w:rPr>
          <w:rFonts w:ascii="Verdana" w:hAnsi="Verdana"/>
          <w:sz w:val="18"/>
          <w:szCs w:val="18"/>
        </w:rPr>
        <w:t>afschaling</w:t>
      </w:r>
      <w:r w:rsidR="003869C5">
        <w:rPr>
          <w:rFonts w:ascii="Verdana" w:hAnsi="Verdana"/>
          <w:sz w:val="18"/>
          <w:szCs w:val="18"/>
        </w:rPr>
        <w:t>.</w:t>
      </w:r>
    </w:p>
    <w:p w:rsidR="00530CDD" w:rsidP="00B65449" w:rsidRDefault="00AB1D62" w14:paraId="62BB3685" w14:textId="77777777">
      <w:pPr>
        <w:rPr>
          <w:rFonts w:ascii="Verdana" w:hAnsi="Verdana"/>
          <w:sz w:val="18"/>
          <w:szCs w:val="18"/>
        </w:rPr>
      </w:pPr>
      <w:r>
        <w:rPr>
          <w:rFonts w:ascii="Verdana" w:hAnsi="Verdana"/>
          <w:i/>
          <w:iCs/>
          <w:sz w:val="18"/>
          <w:szCs w:val="18"/>
        </w:rPr>
        <w:t>3</w:t>
      </w:r>
      <w:r w:rsidR="003869C5">
        <w:rPr>
          <w:rFonts w:ascii="Verdana" w:hAnsi="Verdana"/>
          <w:i/>
          <w:iCs/>
          <w:sz w:val="18"/>
          <w:szCs w:val="18"/>
        </w:rPr>
        <w:t>.1: Eerste paragraaf Beleidskader (inleidende paragraaf):</w:t>
      </w:r>
      <w:r w:rsidR="003869C5">
        <w:rPr>
          <w:rFonts w:ascii="Verdana" w:hAnsi="Verdana"/>
          <w:sz w:val="18"/>
          <w:szCs w:val="18"/>
        </w:rPr>
        <w:br/>
        <w:t>I</w:t>
      </w:r>
      <w:r w:rsidR="00530CDD">
        <w:rPr>
          <w:rFonts w:ascii="Verdana" w:hAnsi="Verdana"/>
          <w:sz w:val="18"/>
          <w:szCs w:val="18"/>
        </w:rPr>
        <w:t xml:space="preserve">n de eerste paragraaf van het Beleidskader gemeentelijke herindeling </w:t>
      </w:r>
      <w:r w:rsidR="003869C5">
        <w:rPr>
          <w:rFonts w:ascii="Verdana" w:hAnsi="Verdana"/>
          <w:sz w:val="18"/>
          <w:szCs w:val="18"/>
        </w:rPr>
        <w:t xml:space="preserve">wordt aangegeven dat het kabinet de voorkeur heeft voor “herindelingen ‘van onderop’, dat wil zeggen op initiatief van de betrokken gemeenten”. Uit de hantering van de meervoudsvorm (gemeenten) wordt reeds duidelijk dat het kabinet bij het opstellen van het Beleidskader gemeentelijke herindeling de situatie van </w:t>
      </w:r>
      <w:r w:rsidR="003869C5">
        <w:rPr>
          <w:rFonts w:ascii="Verdana" w:hAnsi="Verdana"/>
          <w:i/>
          <w:iCs/>
          <w:sz w:val="18"/>
          <w:szCs w:val="18"/>
        </w:rPr>
        <w:t xml:space="preserve">samenvoeging </w:t>
      </w:r>
      <w:r w:rsidR="003869C5">
        <w:rPr>
          <w:rFonts w:ascii="Verdana" w:hAnsi="Verdana"/>
          <w:sz w:val="18"/>
          <w:szCs w:val="18"/>
        </w:rPr>
        <w:t xml:space="preserve">op het oog heeft gehad. Dat wil echter niet zeggen dat de voorkeur ‘herindelingen van onderop’ niet relevant zou kunnen zijn bij gemeentelijke </w:t>
      </w:r>
      <w:r w:rsidR="00974500">
        <w:rPr>
          <w:rFonts w:ascii="Verdana" w:hAnsi="Verdana"/>
          <w:sz w:val="18"/>
          <w:szCs w:val="18"/>
        </w:rPr>
        <w:t>afschaling</w:t>
      </w:r>
      <w:r w:rsidR="003869C5">
        <w:rPr>
          <w:rFonts w:ascii="Verdana" w:hAnsi="Verdana"/>
          <w:sz w:val="18"/>
          <w:szCs w:val="18"/>
        </w:rPr>
        <w:t xml:space="preserve">: ook bij gemeentelijke </w:t>
      </w:r>
      <w:r w:rsidR="00974500">
        <w:rPr>
          <w:rFonts w:ascii="Verdana" w:hAnsi="Verdana"/>
          <w:sz w:val="18"/>
          <w:szCs w:val="18"/>
        </w:rPr>
        <w:t xml:space="preserve">afschaling </w:t>
      </w:r>
      <w:r w:rsidR="003869C5">
        <w:rPr>
          <w:rFonts w:ascii="Verdana" w:hAnsi="Verdana"/>
          <w:sz w:val="18"/>
          <w:szCs w:val="18"/>
        </w:rPr>
        <w:t xml:space="preserve">heeft het de voorkeur dat het initiatief bij de betrokken gemeente zelf ligt. </w:t>
      </w:r>
    </w:p>
    <w:p w:rsidR="003869C5" w:rsidP="00B65449" w:rsidRDefault="00AB1D62" w14:paraId="432774EB" w14:textId="77777777">
      <w:pPr>
        <w:rPr>
          <w:rFonts w:ascii="Verdana" w:hAnsi="Verdana"/>
          <w:sz w:val="18"/>
          <w:szCs w:val="18"/>
        </w:rPr>
      </w:pPr>
      <w:r>
        <w:rPr>
          <w:rFonts w:ascii="Verdana" w:hAnsi="Verdana"/>
          <w:i/>
          <w:iCs/>
          <w:sz w:val="18"/>
          <w:szCs w:val="18"/>
        </w:rPr>
        <w:t>3</w:t>
      </w:r>
      <w:r w:rsidR="00266EA2">
        <w:rPr>
          <w:rFonts w:ascii="Verdana" w:hAnsi="Verdana"/>
          <w:i/>
          <w:iCs/>
          <w:sz w:val="18"/>
          <w:szCs w:val="18"/>
        </w:rPr>
        <w:t>.2.: Tweede paragraaf Beleidskader (wettelijk kader bij een herindeling)</w:t>
      </w:r>
      <w:r w:rsidR="00266EA2">
        <w:rPr>
          <w:rFonts w:ascii="Verdana" w:hAnsi="Verdana"/>
          <w:i/>
          <w:iCs/>
          <w:sz w:val="18"/>
          <w:szCs w:val="18"/>
        </w:rPr>
        <w:br/>
      </w:r>
      <w:r w:rsidR="00266EA2">
        <w:rPr>
          <w:rFonts w:ascii="Verdana" w:hAnsi="Verdana"/>
          <w:sz w:val="18"/>
          <w:szCs w:val="18"/>
        </w:rPr>
        <w:t xml:space="preserve">In de tweede paragraaf van het Beleidskader wordt het (Grond)wettelijk kader beschreven dat </w:t>
      </w:r>
      <w:r w:rsidR="00543A63">
        <w:rPr>
          <w:rFonts w:ascii="Verdana" w:hAnsi="Verdana"/>
          <w:sz w:val="18"/>
          <w:szCs w:val="18"/>
        </w:rPr>
        <w:t xml:space="preserve">relevant is bij een gemeentelijke herindeling. Allereerst wordt artikel 123 Grondwet genoemd. </w:t>
      </w:r>
      <w:r w:rsidR="005D772E">
        <w:rPr>
          <w:rFonts w:ascii="Verdana" w:hAnsi="Verdana"/>
          <w:sz w:val="18"/>
          <w:szCs w:val="18"/>
        </w:rPr>
        <w:t xml:space="preserve">Zoals al in paragraaf 1 naar voren is gekomen, dient een gemeentelijke afschaling op grond van artikel 123 bij wet te worden geregeld. </w:t>
      </w:r>
    </w:p>
    <w:p w:rsidR="00543A63" w:rsidP="00B65449" w:rsidRDefault="00543A63" w14:paraId="5BBD24B9" w14:textId="77777777">
      <w:pPr>
        <w:rPr>
          <w:rFonts w:ascii="Verdana" w:hAnsi="Verdana"/>
          <w:sz w:val="18"/>
          <w:szCs w:val="18"/>
        </w:rPr>
      </w:pPr>
      <w:r>
        <w:rPr>
          <w:rFonts w:ascii="Verdana" w:hAnsi="Verdana"/>
          <w:sz w:val="18"/>
          <w:szCs w:val="18"/>
        </w:rPr>
        <w:t>Vervolgens worden in de tweede paragraaf</w:t>
      </w:r>
      <w:r w:rsidR="00A6782F">
        <w:rPr>
          <w:rFonts w:ascii="Verdana" w:hAnsi="Verdana"/>
          <w:sz w:val="18"/>
          <w:szCs w:val="18"/>
        </w:rPr>
        <w:t xml:space="preserve"> van het Beleidskader</w:t>
      </w:r>
      <w:r>
        <w:rPr>
          <w:rFonts w:ascii="Verdana" w:hAnsi="Verdana"/>
          <w:sz w:val="18"/>
          <w:szCs w:val="18"/>
        </w:rPr>
        <w:t xml:space="preserve"> enkele herindelingsvarianten behandeld: de reguliere samenvoeging, de lichte samenvoeging en de grenswijziging. De variant waarbij een gemeente gesplitst wordt in twee of meerdere gemeenten, komt in deze paragraaf niet voor. Ook dit maakt duidelijk dat het Beleidskader geschreven is met het oog op </w:t>
      </w:r>
      <w:r w:rsidR="00A14359">
        <w:rPr>
          <w:rFonts w:ascii="Verdana" w:hAnsi="Verdana"/>
          <w:sz w:val="18"/>
          <w:szCs w:val="18"/>
        </w:rPr>
        <w:t>samenvoeging</w:t>
      </w:r>
      <w:r>
        <w:rPr>
          <w:rFonts w:ascii="Verdana" w:hAnsi="Verdana"/>
          <w:sz w:val="18"/>
          <w:szCs w:val="18"/>
        </w:rPr>
        <w:t xml:space="preserve"> (waarbij het aantal gemeenten vermindert).</w:t>
      </w:r>
    </w:p>
    <w:p w:rsidRPr="00345FD6" w:rsidR="00ED7BF3" w:rsidP="00B65449" w:rsidRDefault="00AB1D62" w14:paraId="0236C6BF" w14:textId="77777777">
      <w:pPr>
        <w:rPr>
          <w:rFonts w:ascii="Verdana" w:hAnsi="Verdana"/>
          <w:sz w:val="18"/>
          <w:szCs w:val="18"/>
        </w:rPr>
      </w:pPr>
      <w:r>
        <w:rPr>
          <w:rFonts w:ascii="Verdana" w:hAnsi="Verdana"/>
          <w:i/>
          <w:iCs/>
          <w:sz w:val="18"/>
          <w:szCs w:val="18"/>
        </w:rPr>
        <w:t>3</w:t>
      </w:r>
      <w:r w:rsidR="00543A63">
        <w:rPr>
          <w:rFonts w:ascii="Verdana" w:hAnsi="Verdana"/>
          <w:i/>
          <w:iCs/>
          <w:sz w:val="18"/>
          <w:szCs w:val="18"/>
        </w:rPr>
        <w:t>.3: Derde paragraaf Beleidskader (rol rijk, provincies en gemeenten)</w:t>
      </w:r>
      <w:r w:rsidR="00095874">
        <w:rPr>
          <w:rFonts w:ascii="Verdana" w:hAnsi="Verdana"/>
          <w:i/>
          <w:iCs/>
          <w:sz w:val="18"/>
          <w:szCs w:val="18"/>
        </w:rPr>
        <w:br/>
      </w:r>
      <w:r w:rsidRPr="00345FD6" w:rsidR="00095874">
        <w:rPr>
          <w:rFonts w:ascii="Verdana" w:hAnsi="Verdana"/>
          <w:sz w:val="18"/>
          <w:szCs w:val="18"/>
        </w:rPr>
        <w:t xml:space="preserve">In de derde paragraaf van het Beleidskader wordt – met een verwijzing naar de Wet arhi </w:t>
      </w:r>
      <w:r w:rsidRPr="00345FD6" w:rsidR="00A6782F">
        <w:rPr>
          <w:rFonts w:ascii="Verdana" w:hAnsi="Verdana"/>
          <w:sz w:val="18"/>
          <w:szCs w:val="18"/>
        </w:rPr>
        <w:t>–</w:t>
      </w:r>
      <w:r w:rsidRPr="00345FD6" w:rsidR="00A14359">
        <w:rPr>
          <w:rFonts w:ascii="Verdana" w:hAnsi="Verdana"/>
          <w:sz w:val="18"/>
          <w:szCs w:val="18"/>
        </w:rPr>
        <w:t xml:space="preserve"> beschreven</w:t>
      </w:r>
      <w:r w:rsidRPr="00345FD6" w:rsidR="00095874">
        <w:rPr>
          <w:rFonts w:ascii="Verdana" w:hAnsi="Verdana"/>
          <w:sz w:val="18"/>
          <w:szCs w:val="18"/>
        </w:rPr>
        <w:t xml:space="preserve"> wie het initiatief tot e</w:t>
      </w:r>
      <w:r w:rsidR="002A37CF">
        <w:rPr>
          <w:rFonts w:ascii="Verdana" w:hAnsi="Verdana"/>
          <w:sz w:val="18"/>
          <w:szCs w:val="18"/>
        </w:rPr>
        <w:t>e</w:t>
      </w:r>
      <w:r w:rsidRPr="00345FD6" w:rsidR="00095874">
        <w:rPr>
          <w:rFonts w:ascii="Verdana" w:hAnsi="Verdana"/>
          <w:sz w:val="18"/>
          <w:szCs w:val="18"/>
        </w:rPr>
        <w:t xml:space="preserve">n herindeling kunnen nemen en </w:t>
      </w:r>
      <w:r w:rsidRPr="00345FD6" w:rsidR="00095874">
        <w:rPr>
          <w:rFonts w:ascii="Verdana" w:hAnsi="Verdana"/>
          <w:sz w:val="18"/>
          <w:szCs w:val="18"/>
        </w:rPr>
        <w:lastRenderedPageBreak/>
        <w:t>welke procedurele vereisten daarbij gelden</w:t>
      </w:r>
      <w:r w:rsidRPr="00345FD6" w:rsidR="00A14359">
        <w:rPr>
          <w:rFonts w:ascii="Verdana" w:hAnsi="Verdana"/>
          <w:sz w:val="18"/>
          <w:szCs w:val="18"/>
        </w:rPr>
        <w:t>. Hierbij wordt benadrukt</w:t>
      </w:r>
      <w:r w:rsidRPr="00345FD6" w:rsidR="00095874">
        <w:rPr>
          <w:rFonts w:ascii="Verdana" w:hAnsi="Verdana"/>
          <w:sz w:val="18"/>
          <w:szCs w:val="18"/>
        </w:rPr>
        <w:t xml:space="preserve"> dat het initiatief door gemeenten </w:t>
      </w:r>
      <w:r w:rsidRPr="00345FD6" w:rsidR="00A14359">
        <w:rPr>
          <w:rFonts w:ascii="Verdana" w:hAnsi="Verdana"/>
          <w:sz w:val="18"/>
          <w:szCs w:val="18"/>
        </w:rPr>
        <w:t>als uitgangspunt geldt</w:t>
      </w:r>
      <w:r w:rsidRPr="00345FD6" w:rsidR="00095874">
        <w:rPr>
          <w:rFonts w:ascii="Verdana" w:hAnsi="Verdana"/>
          <w:sz w:val="18"/>
          <w:szCs w:val="18"/>
        </w:rPr>
        <w:t xml:space="preserve">. Wel kan de verantwoordelijkheid van provincies met zich meebrengen dat </w:t>
      </w:r>
      <w:r w:rsidRPr="00345FD6" w:rsidR="00ED7BF3">
        <w:rPr>
          <w:rFonts w:ascii="Verdana" w:hAnsi="Verdana"/>
          <w:sz w:val="18"/>
          <w:szCs w:val="18"/>
        </w:rPr>
        <w:t xml:space="preserve">zij gebruik maken van hun bevoegdheden in de Wet arhi om “sturing te geven aan de discussie en een modererende rol op te pakken die kan leiden tot een door provincie geïnitieerd herindelingsproces”. </w:t>
      </w:r>
      <w:r w:rsidRPr="00345FD6" w:rsidR="00A14359">
        <w:rPr>
          <w:rFonts w:ascii="Verdana" w:hAnsi="Verdana"/>
          <w:sz w:val="18"/>
          <w:szCs w:val="18"/>
        </w:rPr>
        <w:t xml:space="preserve">Dit kan op grond van het Beleidskader echter alleen als sprake is van evidente bestuurskrachtproblemen van gemeenten waarvoor zij zelf geen oplossing weten te bereiken. </w:t>
      </w:r>
      <w:r w:rsidRPr="00345FD6" w:rsidR="00ED7BF3">
        <w:rPr>
          <w:rFonts w:ascii="Verdana" w:hAnsi="Verdana"/>
          <w:sz w:val="18"/>
          <w:szCs w:val="18"/>
        </w:rPr>
        <w:t xml:space="preserve"> </w:t>
      </w:r>
    </w:p>
    <w:p w:rsidRPr="00345FD6" w:rsidR="00D63A30" w:rsidP="00B65449" w:rsidRDefault="00AC5F0D" w14:paraId="0A733254" w14:textId="77777777">
      <w:pPr>
        <w:rPr>
          <w:rFonts w:ascii="Verdana" w:hAnsi="Verdana"/>
          <w:sz w:val="18"/>
          <w:szCs w:val="18"/>
        </w:rPr>
      </w:pPr>
      <w:r w:rsidRPr="00345FD6">
        <w:rPr>
          <w:rFonts w:ascii="Verdana" w:hAnsi="Verdana"/>
          <w:sz w:val="18"/>
          <w:szCs w:val="18"/>
        </w:rPr>
        <w:t xml:space="preserve">De vraag is of </w:t>
      </w:r>
      <w:r w:rsidRPr="00345FD6" w:rsidR="00F60C81">
        <w:rPr>
          <w:rFonts w:ascii="Verdana" w:hAnsi="Verdana"/>
          <w:sz w:val="18"/>
          <w:szCs w:val="18"/>
        </w:rPr>
        <w:t xml:space="preserve">het bovenstaande uitgangspunt (initiatief door gemeenten) ook wenselijk is bij gemeentelijke </w:t>
      </w:r>
      <w:r w:rsidR="00974500">
        <w:rPr>
          <w:rFonts w:ascii="Verdana" w:hAnsi="Verdana"/>
          <w:sz w:val="18"/>
          <w:szCs w:val="18"/>
        </w:rPr>
        <w:t>afschaling</w:t>
      </w:r>
      <w:r w:rsidRPr="00345FD6" w:rsidR="00F60C81">
        <w:rPr>
          <w:rFonts w:ascii="Verdana" w:hAnsi="Verdana"/>
          <w:sz w:val="18"/>
          <w:szCs w:val="18"/>
        </w:rPr>
        <w:t xml:space="preserve">. </w:t>
      </w:r>
      <w:r w:rsidRPr="00345FD6" w:rsidR="00D308A9">
        <w:rPr>
          <w:rFonts w:ascii="Verdana" w:hAnsi="Verdana"/>
          <w:sz w:val="18"/>
          <w:szCs w:val="18"/>
        </w:rPr>
        <w:t xml:space="preserve">Voor een gemeentelijk initiatief is </w:t>
      </w:r>
      <w:r w:rsidRPr="00345FD6" w:rsidR="00EA7BA1">
        <w:rPr>
          <w:rFonts w:ascii="Verdana" w:hAnsi="Verdana"/>
          <w:sz w:val="18"/>
          <w:szCs w:val="18"/>
        </w:rPr>
        <w:t>immers</w:t>
      </w:r>
      <w:r w:rsidRPr="00345FD6" w:rsidR="00D308A9">
        <w:rPr>
          <w:rFonts w:ascii="Verdana" w:hAnsi="Verdana"/>
          <w:sz w:val="18"/>
          <w:szCs w:val="18"/>
        </w:rPr>
        <w:t xml:space="preserve"> vereist dat de gemeenteraad </w:t>
      </w:r>
      <w:r w:rsidR="00BD28BC">
        <w:rPr>
          <w:rFonts w:ascii="Verdana" w:hAnsi="Verdana"/>
          <w:sz w:val="18"/>
          <w:szCs w:val="18"/>
        </w:rPr>
        <w:t>een herindelingsadvies vaststelt.</w:t>
      </w:r>
      <w:r w:rsidRPr="00345FD6" w:rsidR="00D308A9">
        <w:rPr>
          <w:rFonts w:ascii="Verdana" w:hAnsi="Verdana"/>
          <w:sz w:val="18"/>
          <w:szCs w:val="18"/>
        </w:rPr>
        <w:t xml:space="preserve"> Bij </w:t>
      </w:r>
      <w:r w:rsidR="00974500">
        <w:rPr>
          <w:rFonts w:ascii="Verdana" w:hAnsi="Verdana"/>
          <w:sz w:val="18"/>
          <w:szCs w:val="18"/>
        </w:rPr>
        <w:t>afschaling</w:t>
      </w:r>
      <w:r w:rsidRPr="00345FD6" w:rsidR="00D308A9">
        <w:rPr>
          <w:rFonts w:ascii="Verdana" w:hAnsi="Verdana"/>
          <w:sz w:val="18"/>
          <w:szCs w:val="18"/>
        </w:rPr>
        <w:t xml:space="preserve"> is het echter niet ondenkbaar dat op het niveau </w:t>
      </w:r>
      <w:r w:rsidRPr="00345FD6" w:rsidR="00F60C81">
        <w:rPr>
          <w:rFonts w:ascii="Verdana" w:hAnsi="Verdana"/>
          <w:sz w:val="18"/>
          <w:szCs w:val="18"/>
        </w:rPr>
        <w:t xml:space="preserve">van bepaalde kernen of leefgemeenschappen de wens tot </w:t>
      </w:r>
      <w:r w:rsidR="00200B55">
        <w:rPr>
          <w:rFonts w:ascii="Verdana" w:hAnsi="Verdana"/>
          <w:sz w:val="18"/>
          <w:szCs w:val="18"/>
        </w:rPr>
        <w:t>(af)</w:t>
      </w:r>
      <w:r w:rsidRPr="00345FD6" w:rsidR="00F60C81">
        <w:rPr>
          <w:rFonts w:ascii="Verdana" w:hAnsi="Verdana"/>
          <w:sz w:val="18"/>
          <w:szCs w:val="18"/>
        </w:rPr>
        <w:t xml:space="preserve">splitsing bestaat, maar de gemeenteraad zich hiertegen verzet. </w:t>
      </w:r>
      <w:r w:rsidRPr="00345FD6" w:rsidR="00D308A9">
        <w:rPr>
          <w:rFonts w:ascii="Verdana" w:hAnsi="Verdana"/>
          <w:sz w:val="18"/>
          <w:szCs w:val="18"/>
        </w:rPr>
        <w:t xml:space="preserve">In een dergelijk geval zou er dus </w:t>
      </w:r>
      <w:r w:rsidRPr="00345FD6" w:rsidR="00EA7BA1">
        <w:rPr>
          <w:rFonts w:ascii="Verdana" w:hAnsi="Verdana"/>
          <w:sz w:val="18"/>
          <w:szCs w:val="18"/>
        </w:rPr>
        <w:t>geen</w:t>
      </w:r>
      <w:r w:rsidRPr="00345FD6" w:rsidR="00D308A9">
        <w:rPr>
          <w:rFonts w:ascii="Verdana" w:hAnsi="Verdana"/>
          <w:sz w:val="18"/>
          <w:szCs w:val="18"/>
        </w:rPr>
        <w:t xml:space="preserve"> initiatief tot</w:t>
      </w:r>
      <w:r w:rsidR="00200B55">
        <w:rPr>
          <w:rFonts w:ascii="Verdana" w:hAnsi="Verdana"/>
          <w:sz w:val="18"/>
          <w:szCs w:val="18"/>
        </w:rPr>
        <w:t xml:space="preserve"> </w:t>
      </w:r>
      <w:r w:rsidR="00974500">
        <w:rPr>
          <w:rFonts w:ascii="Verdana" w:hAnsi="Verdana"/>
          <w:sz w:val="18"/>
          <w:szCs w:val="18"/>
        </w:rPr>
        <w:t>afschaling</w:t>
      </w:r>
      <w:r w:rsidRPr="00345FD6" w:rsidR="00D308A9">
        <w:rPr>
          <w:rFonts w:ascii="Verdana" w:hAnsi="Verdana"/>
          <w:sz w:val="18"/>
          <w:szCs w:val="18"/>
        </w:rPr>
        <w:t xml:space="preserve"> worden genomen, ook al leeft </w:t>
      </w:r>
      <w:r w:rsidRPr="00345FD6" w:rsidR="00F60C81">
        <w:rPr>
          <w:rFonts w:ascii="Verdana" w:hAnsi="Verdana"/>
          <w:sz w:val="18"/>
          <w:szCs w:val="18"/>
        </w:rPr>
        <w:t xml:space="preserve">de wens tot splitsing in bepaalde kernen of leefgemeenschappen sterk. </w:t>
      </w:r>
      <w:bookmarkStart w:name="_Hlk193377019" w:id="2"/>
      <w:r w:rsidRPr="00345FD6" w:rsidR="009112F5">
        <w:rPr>
          <w:rFonts w:ascii="Verdana" w:hAnsi="Verdana"/>
          <w:sz w:val="18"/>
          <w:szCs w:val="18"/>
        </w:rPr>
        <w:t>Dit roept de vraag op</w:t>
      </w:r>
      <w:r w:rsidRPr="00345FD6" w:rsidR="00D308A9">
        <w:rPr>
          <w:rFonts w:ascii="Verdana" w:hAnsi="Verdana"/>
          <w:sz w:val="18"/>
          <w:szCs w:val="18"/>
        </w:rPr>
        <w:t xml:space="preserve"> of </w:t>
      </w:r>
      <w:r w:rsidRPr="00345FD6" w:rsidR="009112F5">
        <w:rPr>
          <w:rFonts w:ascii="Verdana" w:hAnsi="Verdana"/>
          <w:sz w:val="18"/>
          <w:szCs w:val="18"/>
        </w:rPr>
        <w:t xml:space="preserve">het dan niet wenselijk zou zijn dat kernen/leefgemeenschappen het initiatief tot een </w:t>
      </w:r>
      <w:r w:rsidR="00974500">
        <w:rPr>
          <w:rFonts w:ascii="Verdana" w:hAnsi="Verdana"/>
          <w:sz w:val="18"/>
          <w:szCs w:val="18"/>
        </w:rPr>
        <w:t>afschaling</w:t>
      </w:r>
      <w:r w:rsidR="00FA30D4">
        <w:rPr>
          <w:rFonts w:ascii="Verdana" w:hAnsi="Verdana"/>
          <w:sz w:val="18"/>
          <w:szCs w:val="18"/>
        </w:rPr>
        <w:t xml:space="preserve"> </w:t>
      </w:r>
      <w:r w:rsidRPr="00345FD6" w:rsidR="009112F5">
        <w:rPr>
          <w:rFonts w:ascii="Verdana" w:hAnsi="Verdana"/>
          <w:sz w:val="18"/>
          <w:szCs w:val="18"/>
        </w:rPr>
        <w:t xml:space="preserve">zouden kunnen nemen. </w:t>
      </w:r>
      <w:r w:rsidRPr="00345FD6" w:rsidR="00D308A9">
        <w:rPr>
          <w:rFonts w:ascii="Verdana" w:hAnsi="Verdana"/>
          <w:sz w:val="18"/>
          <w:szCs w:val="18"/>
        </w:rPr>
        <w:t>Wat mij betreft is het antwoord op die vraag ontkennend</w:t>
      </w:r>
      <w:r w:rsidRPr="00345FD6" w:rsidR="009112F5">
        <w:rPr>
          <w:rFonts w:ascii="Verdana" w:hAnsi="Verdana"/>
          <w:sz w:val="18"/>
          <w:szCs w:val="18"/>
        </w:rPr>
        <w:t xml:space="preserve">. De gemeenteraad is als democratisch gekozen orgaan immers het orgaan bij uitstek om </w:t>
      </w:r>
      <w:r w:rsidR="002A37CF">
        <w:rPr>
          <w:rFonts w:ascii="Verdana" w:hAnsi="Verdana"/>
          <w:sz w:val="18"/>
          <w:szCs w:val="18"/>
        </w:rPr>
        <w:t xml:space="preserve">zich uit te spreken over </w:t>
      </w:r>
      <w:r w:rsidRPr="00345FD6" w:rsidR="009112F5">
        <w:rPr>
          <w:rFonts w:ascii="Verdana" w:hAnsi="Verdana"/>
          <w:sz w:val="18"/>
          <w:szCs w:val="18"/>
        </w:rPr>
        <w:t xml:space="preserve">de toekomst van de gemeente. </w:t>
      </w:r>
      <w:bookmarkEnd w:id="2"/>
      <w:r w:rsidR="00863BB3">
        <w:rPr>
          <w:rFonts w:ascii="Verdana" w:hAnsi="Verdana"/>
          <w:sz w:val="18"/>
          <w:szCs w:val="18"/>
        </w:rPr>
        <w:br/>
      </w:r>
      <w:r w:rsidRPr="00345FD6" w:rsidR="003F502F">
        <w:rPr>
          <w:rFonts w:ascii="Verdana" w:hAnsi="Verdana"/>
          <w:sz w:val="18"/>
          <w:szCs w:val="18"/>
        </w:rPr>
        <w:br/>
      </w:r>
      <w:r w:rsidR="00AB1D62">
        <w:rPr>
          <w:rFonts w:ascii="Verdana" w:hAnsi="Verdana"/>
          <w:i/>
          <w:iCs/>
          <w:sz w:val="18"/>
          <w:szCs w:val="18"/>
        </w:rPr>
        <w:t>3</w:t>
      </w:r>
      <w:r w:rsidRPr="00345FD6" w:rsidR="001A2CEE">
        <w:rPr>
          <w:rFonts w:ascii="Verdana" w:hAnsi="Verdana"/>
          <w:i/>
          <w:iCs/>
          <w:sz w:val="18"/>
          <w:szCs w:val="18"/>
        </w:rPr>
        <w:t>.4: Vierde paragraaf Beleidskader (</w:t>
      </w:r>
      <w:r w:rsidRPr="00345FD6" w:rsidR="00FA3A4A">
        <w:rPr>
          <w:rFonts w:ascii="Verdana" w:hAnsi="Verdana"/>
          <w:i/>
          <w:iCs/>
          <w:sz w:val="18"/>
          <w:szCs w:val="18"/>
        </w:rPr>
        <w:t xml:space="preserve">inhoudelijke criteria) </w:t>
      </w:r>
      <w:r w:rsidRPr="00345FD6" w:rsidR="00D63A30">
        <w:rPr>
          <w:rFonts w:ascii="Verdana" w:hAnsi="Verdana"/>
          <w:i/>
          <w:iCs/>
          <w:sz w:val="18"/>
          <w:szCs w:val="18"/>
        </w:rPr>
        <w:br/>
      </w:r>
      <w:r w:rsidRPr="00345FD6" w:rsidR="00D63A30">
        <w:rPr>
          <w:rFonts w:ascii="Verdana" w:hAnsi="Verdana"/>
          <w:sz w:val="18"/>
          <w:szCs w:val="18"/>
        </w:rPr>
        <w:t xml:space="preserve">De vierde paragraaf vormt de kern van het Beleidskader: in deze paragraaf zijn namelijk de criteria opgenomen op basis waarvan het kabinet herindelingsadviezen beoordeelt. </w:t>
      </w:r>
    </w:p>
    <w:p w:rsidRPr="00345FD6" w:rsidR="005F4F93" w:rsidP="00B65449" w:rsidRDefault="00D63A30" w14:paraId="005E890E" w14:textId="77777777">
      <w:pPr>
        <w:rPr>
          <w:rFonts w:ascii="Verdana" w:hAnsi="Verdana"/>
          <w:sz w:val="18"/>
          <w:szCs w:val="18"/>
        </w:rPr>
      </w:pPr>
      <w:r w:rsidRPr="00345FD6">
        <w:rPr>
          <w:rFonts w:ascii="Verdana" w:hAnsi="Verdana"/>
          <w:sz w:val="18"/>
          <w:szCs w:val="18"/>
        </w:rPr>
        <w:t>In de eerste plaats wordt het criterium van</w:t>
      </w:r>
      <w:r w:rsidRPr="00345FD6" w:rsidR="00A6782F">
        <w:rPr>
          <w:rFonts w:ascii="Verdana" w:hAnsi="Verdana"/>
          <w:sz w:val="18"/>
          <w:szCs w:val="18"/>
        </w:rPr>
        <w:t xml:space="preserve"> </w:t>
      </w:r>
      <w:r w:rsidRPr="00345FD6">
        <w:rPr>
          <w:rFonts w:ascii="Verdana" w:hAnsi="Verdana"/>
          <w:i/>
          <w:iCs/>
          <w:sz w:val="18"/>
          <w:szCs w:val="18"/>
        </w:rPr>
        <w:t xml:space="preserve">draagvlak </w:t>
      </w:r>
      <w:r w:rsidRPr="00345FD6">
        <w:rPr>
          <w:rFonts w:ascii="Verdana" w:hAnsi="Verdana"/>
          <w:sz w:val="18"/>
          <w:szCs w:val="18"/>
        </w:rPr>
        <w:t xml:space="preserve">gehanteerd: het streven van gemeenten en provincies moet zijn gericht op herindelingen die op een zo groot mogelijk draagvlak kunnen rekenen. Hierbij wordt onderscheid gemaakt in bestuurlijk, regionaal en maatschappelijk draagvlak. </w:t>
      </w:r>
      <w:r w:rsidRPr="00345FD6" w:rsidR="002C4599">
        <w:rPr>
          <w:rFonts w:ascii="Verdana" w:hAnsi="Verdana"/>
          <w:sz w:val="18"/>
          <w:szCs w:val="18"/>
        </w:rPr>
        <w:t xml:space="preserve">Met </w:t>
      </w:r>
      <w:r w:rsidRPr="00345FD6" w:rsidR="00CA58E2">
        <w:rPr>
          <w:rFonts w:ascii="Verdana" w:hAnsi="Verdana"/>
          <w:sz w:val="18"/>
          <w:szCs w:val="18"/>
        </w:rPr>
        <w:t>‘</w:t>
      </w:r>
      <w:r w:rsidRPr="00345FD6" w:rsidR="002C4599">
        <w:rPr>
          <w:rFonts w:ascii="Verdana" w:hAnsi="Verdana"/>
          <w:sz w:val="18"/>
          <w:szCs w:val="18"/>
        </w:rPr>
        <w:t>bestuurlijk draagvlak</w:t>
      </w:r>
      <w:r w:rsidRPr="00345FD6" w:rsidR="00CA58E2">
        <w:rPr>
          <w:rFonts w:ascii="Verdana" w:hAnsi="Verdana"/>
          <w:sz w:val="18"/>
          <w:szCs w:val="18"/>
        </w:rPr>
        <w:t>’</w:t>
      </w:r>
      <w:r w:rsidRPr="00345FD6" w:rsidR="002C4599">
        <w:rPr>
          <w:rFonts w:ascii="Verdana" w:hAnsi="Verdana"/>
          <w:sz w:val="18"/>
          <w:szCs w:val="18"/>
        </w:rPr>
        <w:t xml:space="preserve"> wordt bedoeld dat een herindeling op zoveel mogelijk draagvlak bij de betrokken gemeentebesturen kan rekenen (waarbij unanimiteit niet per se vereist is). Bij gemeentelijke </w:t>
      </w:r>
      <w:r w:rsidR="00200B55">
        <w:rPr>
          <w:rFonts w:ascii="Verdana" w:hAnsi="Verdana"/>
          <w:sz w:val="18"/>
          <w:szCs w:val="18"/>
        </w:rPr>
        <w:t xml:space="preserve">afschaling </w:t>
      </w:r>
      <w:r w:rsidRPr="00345FD6" w:rsidR="002C4599">
        <w:rPr>
          <w:rFonts w:ascii="Verdana" w:hAnsi="Verdana"/>
          <w:sz w:val="18"/>
          <w:szCs w:val="18"/>
        </w:rPr>
        <w:t xml:space="preserve">gaat het hierbij dus om de </w:t>
      </w:r>
      <w:r w:rsidRPr="00345FD6" w:rsidR="00680552">
        <w:rPr>
          <w:rFonts w:ascii="Verdana" w:hAnsi="Verdana"/>
          <w:sz w:val="18"/>
          <w:szCs w:val="18"/>
        </w:rPr>
        <w:t>bestuursorganen</w:t>
      </w:r>
      <w:r w:rsidRPr="00345FD6" w:rsidR="00A6782F">
        <w:rPr>
          <w:rFonts w:ascii="Verdana" w:hAnsi="Verdana"/>
          <w:sz w:val="18"/>
          <w:szCs w:val="18"/>
        </w:rPr>
        <w:t xml:space="preserve"> van de te splitsen gemeente</w:t>
      </w:r>
      <w:r w:rsidRPr="00345FD6" w:rsidR="00680552">
        <w:rPr>
          <w:rFonts w:ascii="Verdana" w:hAnsi="Verdana"/>
          <w:sz w:val="18"/>
          <w:szCs w:val="18"/>
        </w:rPr>
        <w:t xml:space="preserve"> (met name de gemeenteraad)</w:t>
      </w:r>
      <w:r w:rsidRPr="00345FD6" w:rsidR="00A6782F">
        <w:rPr>
          <w:rFonts w:ascii="Verdana" w:hAnsi="Verdana"/>
          <w:sz w:val="18"/>
          <w:szCs w:val="18"/>
        </w:rPr>
        <w:t xml:space="preserve">. </w:t>
      </w:r>
      <w:r w:rsidRPr="00345FD6" w:rsidR="007B7F38">
        <w:rPr>
          <w:rFonts w:ascii="Verdana" w:hAnsi="Verdana"/>
          <w:sz w:val="18"/>
          <w:szCs w:val="18"/>
        </w:rPr>
        <w:t xml:space="preserve">Zoals hierboven reeds aangegeven, is het ook bij </w:t>
      </w:r>
      <w:r w:rsidR="0035414A">
        <w:rPr>
          <w:rFonts w:ascii="Verdana" w:hAnsi="Verdana"/>
          <w:sz w:val="18"/>
          <w:szCs w:val="18"/>
        </w:rPr>
        <w:t>afschaling</w:t>
      </w:r>
      <w:r w:rsidRPr="00345FD6" w:rsidR="007B7F38">
        <w:rPr>
          <w:rFonts w:ascii="Verdana" w:hAnsi="Verdana"/>
          <w:sz w:val="18"/>
          <w:szCs w:val="18"/>
        </w:rPr>
        <w:t xml:space="preserve"> van belang dat </w:t>
      </w:r>
      <w:r w:rsidRPr="00345FD6" w:rsidR="00A6782F">
        <w:rPr>
          <w:rFonts w:ascii="Verdana" w:hAnsi="Verdana"/>
          <w:sz w:val="18"/>
          <w:szCs w:val="18"/>
        </w:rPr>
        <w:t xml:space="preserve">de </w:t>
      </w:r>
      <w:r w:rsidR="00200B55">
        <w:rPr>
          <w:rFonts w:ascii="Verdana" w:hAnsi="Verdana"/>
          <w:sz w:val="18"/>
          <w:szCs w:val="18"/>
        </w:rPr>
        <w:t>afschaling</w:t>
      </w:r>
      <w:r w:rsidRPr="00345FD6" w:rsidR="00200B55">
        <w:rPr>
          <w:rFonts w:ascii="Verdana" w:hAnsi="Verdana"/>
          <w:sz w:val="18"/>
          <w:szCs w:val="18"/>
        </w:rPr>
        <w:t xml:space="preserve"> </w:t>
      </w:r>
      <w:r w:rsidRPr="00345FD6" w:rsidR="007B7F38">
        <w:rPr>
          <w:rFonts w:ascii="Verdana" w:hAnsi="Verdana"/>
          <w:sz w:val="18"/>
          <w:szCs w:val="18"/>
        </w:rPr>
        <w:t xml:space="preserve">op steun kan rekenen van de gemeenteraad. Anders is het onder het huidige Beleidskader immers vrijwel onmogelijk dat het initiatief voor gemeentelijke </w:t>
      </w:r>
      <w:r w:rsidR="00BD28BC">
        <w:rPr>
          <w:rFonts w:ascii="Verdana" w:hAnsi="Verdana"/>
          <w:sz w:val="18"/>
          <w:szCs w:val="18"/>
        </w:rPr>
        <w:t>afschaling</w:t>
      </w:r>
      <w:r w:rsidRPr="00345FD6" w:rsidR="007B7F38">
        <w:rPr>
          <w:rFonts w:ascii="Verdana" w:hAnsi="Verdana"/>
          <w:sz w:val="18"/>
          <w:szCs w:val="18"/>
        </w:rPr>
        <w:t xml:space="preserve"> wordt genomen.  </w:t>
      </w:r>
      <w:r w:rsidR="00C41CC5">
        <w:rPr>
          <w:rFonts w:ascii="Verdana" w:hAnsi="Verdana"/>
          <w:sz w:val="18"/>
          <w:szCs w:val="18"/>
        </w:rPr>
        <w:br/>
      </w:r>
      <w:r w:rsidRPr="00345FD6" w:rsidR="00C41CC5">
        <w:rPr>
          <w:rFonts w:ascii="Verdana" w:hAnsi="Verdana"/>
          <w:sz w:val="18"/>
          <w:szCs w:val="18"/>
        </w:rPr>
        <w:t xml:space="preserve">Met ‘regionaal draagvlak’ wordt bedoeld dat een herindeling op draagvlak bij de provincie en omliggende gemeenten kan rekenen. Dit criterium is zeker relevant bij gemeentelijke </w:t>
      </w:r>
      <w:r w:rsidR="00BD28BC">
        <w:rPr>
          <w:rFonts w:ascii="Verdana" w:hAnsi="Verdana"/>
          <w:sz w:val="18"/>
          <w:szCs w:val="18"/>
        </w:rPr>
        <w:t>afschaling</w:t>
      </w:r>
      <w:r w:rsidRPr="00345FD6" w:rsidR="00C41CC5">
        <w:rPr>
          <w:rFonts w:ascii="Verdana" w:hAnsi="Verdana"/>
          <w:sz w:val="18"/>
          <w:szCs w:val="18"/>
        </w:rPr>
        <w:t>: achten andere gemeenten het bijvoorbeeld werkbaar dat er in de regio nieuwe gemeente</w:t>
      </w:r>
      <w:r w:rsidR="00C41CC5">
        <w:rPr>
          <w:rFonts w:ascii="Verdana" w:hAnsi="Verdana"/>
          <w:sz w:val="18"/>
          <w:szCs w:val="18"/>
        </w:rPr>
        <w:t>n</w:t>
      </w:r>
      <w:r w:rsidRPr="00345FD6" w:rsidR="00C41CC5">
        <w:rPr>
          <w:rFonts w:ascii="Verdana" w:hAnsi="Verdana"/>
          <w:sz w:val="18"/>
          <w:szCs w:val="18"/>
        </w:rPr>
        <w:t xml:space="preserve"> (en dus nieuwe samenwerkingspartner</w:t>
      </w:r>
      <w:r w:rsidR="00C41CC5">
        <w:rPr>
          <w:rFonts w:ascii="Verdana" w:hAnsi="Verdana"/>
          <w:sz w:val="18"/>
          <w:szCs w:val="18"/>
        </w:rPr>
        <w:t>s</w:t>
      </w:r>
      <w:r w:rsidRPr="00345FD6" w:rsidR="00C41CC5">
        <w:rPr>
          <w:rFonts w:ascii="Verdana" w:hAnsi="Verdana"/>
          <w:sz w:val="18"/>
          <w:szCs w:val="18"/>
        </w:rPr>
        <w:t>) bij kom</w:t>
      </w:r>
      <w:r w:rsidR="00C41CC5">
        <w:rPr>
          <w:rFonts w:ascii="Verdana" w:hAnsi="Verdana"/>
          <w:sz w:val="18"/>
          <w:szCs w:val="18"/>
        </w:rPr>
        <w:t>en</w:t>
      </w:r>
      <w:r w:rsidRPr="00345FD6" w:rsidR="00C41CC5">
        <w:rPr>
          <w:rFonts w:ascii="Verdana" w:hAnsi="Verdana"/>
          <w:sz w:val="18"/>
          <w:szCs w:val="18"/>
        </w:rPr>
        <w:t>?</w:t>
      </w:r>
      <w:r w:rsidR="00C41CC5">
        <w:rPr>
          <w:rFonts w:ascii="Verdana" w:hAnsi="Verdana"/>
          <w:sz w:val="18"/>
          <w:szCs w:val="18"/>
        </w:rPr>
        <w:br/>
      </w:r>
      <w:r w:rsidRPr="00345FD6" w:rsidR="00A6782F">
        <w:rPr>
          <w:rFonts w:ascii="Verdana" w:hAnsi="Verdana"/>
          <w:sz w:val="18"/>
          <w:szCs w:val="18"/>
        </w:rPr>
        <w:t>M</w:t>
      </w:r>
      <w:r w:rsidRPr="00345FD6" w:rsidR="005F4F93">
        <w:rPr>
          <w:rFonts w:ascii="Verdana" w:hAnsi="Verdana"/>
          <w:sz w:val="18"/>
          <w:szCs w:val="18"/>
        </w:rPr>
        <w:t xml:space="preserve">et </w:t>
      </w:r>
      <w:r w:rsidRPr="00345FD6" w:rsidR="00CA58E2">
        <w:rPr>
          <w:rFonts w:ascii="Verdana" w:hAnsi="Verdana"/>
          <w:sz w:val="18"/>
          <w:szCs w:val="18"/>
        </w:rPr>
        <w:t>‘</w:t>
      </w:r>
      <w:r w:rsidRPr="00345FD6" w:rsidR="005F4F93">
        <w:rPr>
          <w:rFonts w:ascii="Verdana" w:hAnsi="Verdana"/>
          <w:sz w:val="18"/>
          <w:szCs w:val="18"/>
        </w:rPr>
        <w:t>maatschappelijk draagvla</w:t>
      </w:r>
      <w:r w:rsidRPr="00345FD6" w:rsidR="00CA58E2">
        <w:rPr>
          <w:rFonts w:ascii="Verdana" w:hAnsi="Verdana"/>
          <w:sz w:val="18"/>
          <w:szCs w:val="18"/>
        </w:rPr>
        <w:t>k’</w:t>
      </w:r>
      <w:r w:rsidRPr="00345FD6" w:rsidR="005F4F93">
        <w:rPr>
          <w:rFonts w:ascii="Verdana" w:hAnsi="Verdana"/>
          <w:i/>
          <w:iCs/>
          <w:sz w:val="18"/>
          <w:szCs w:val="18"/>
        </w:rPr>
        <w:t xml:space="preserve"> </w:t>
      </w:r>
      <w:r w:rsidRPr="00345FD6" w:rsidR="005F4F93">
        <w:rPr>
          <w:rFonts w:ascii="Verdana" w:hAnsi="Verdana"/>
          <w:sz w:val="18"/>
          <w:szCs w:val="18"/>
        </w:rPr>
        <w:t>wordt bedoeld dat een herindeling op een zo groot mogelijke meerderheid van de inwoners kan rekenen. Het is volgens het Beleidskader de verantwoordelijkheid van de betrokken gemeentebesturen om het maatschappelijk draagvlak voor een herindeling te beoordelen en daarin te investeren.</w:t>
      </w:r>
      <w:r w:rsidRPr="00345FD6" w:rsidR="00680552">
        <w:rPr>
          <w:rFonts w:ascii="Verdana" w:hAnsi="Verdana"/>
          <w:sz w:val="18"/>
          <w:szCs w:val="18"/>
        </w:rPr>
        <w:t xml:space="preserve"> Ook bij </w:t>
      </w:r>
      <w:r w:rsidR="0035414A">
        <w:rPr>
          <w:rFonts w:ascii="Verdana" w:hAnsi="Verdana"/>
          <w:sz w:val="18"/>
          <w:szCs w:val="18"/>
        </w:rPr>
        <w:t>afschaling</w:t>
      </w:r>
      <w:r w:rsidRPr="00345FD6" w:rsidR="00680552">
        <w:rPr>
          <w:rFonts w:ascii="Verdana" w:hAnsi="Verdana"/>
          <w:sz w:val="18"/>
          <w:szCs w:val="18"/>
        </w:rPr>
        <w:t xml:space="preserve"> is het uiteraard van belang dat het maatschappelijk draagvlak wordt beoordeeld. Wel zou het kunnen dat het </w:t>
      </w:r>
      <w:r w:rsidRPr="00345FD6" w:rsidR="00F96DC0">
        <w:rPr>
          <w:rFonts w:ascii="Verdana" w:hAnsi="Verdana"/>
          <w:sz w:val="18"/>
          <w:szCs w:val="18"/>
        </w:rPr>
        <w:t xml:space="preserve">maatschappelijk </w:t>
      </w:r>
      <w:r w:rsidRPr="00345FD6" w:rsidR="00680552">
        <w:rPr>
          <w:rFonts w:ascii="Verdana" w:hAnsi="Verdana"/>
          <w:sz w:val="18"/>
          <w:szCs w:val="18"/>
        </w:rPr>
        <w:t xml:space="preserve">draagvlak voor de </w:t>
      </w:r>
      <w:r w:rsidR="0035414A">
        <w:rPr>
          <w:rFonts w:ascii="Verdana" w:hAnsi="Verdana"/>
          <w:sz w:val="18"/>
          <w:szCs w:val="18"/>
        </w:rPr>
        <w:t>afschaling</w:t>
      </w:r>
      <w:r w:rsidRPr="00345FD6" w:rsidR="0035414A">
        <w:rPr>
          <w:rFonts w:ascii="Verdana" w:hAnsi="Verdana"/>
          <w:sz w:val="18"/>
          <w:szCs w:val="18"/>
        </w:rPr>
        <w:t xml:space="preserve"> </w:t>
      </w:r>
      <w:r w:rsidRPr="00345FD6" w:rsidR="00F96DC0">
        <w:rPr>
          <w:rFonts w:ascii="Verdana" w:hAnsi="Verdana"/>
          <w:sz w:val="18"/>
          <w:szCs w:val="18"/>
        </w:rPr>
        <w:t xml:space="preserve">binnen de gemeente </w:t>
      </w:r>
      <w:r w:rsidRPr="00345FD6" w:rsidR="003C710B">
        <w:rPr>
          <w:rFonts w:ascii="Verdana" w:hAnsi="Verdana"/>
          <w:sz w:val="18"/>
          <w:szCs w:val="18"/>
        </w:rPr>
        <w:t xml:space="preserve">sterk </w:t>
      </w:r>
      <w:r w:rsidRPr="00345FD6" w:rsidR="00F96DC0">
        <w:rPr>
          <w:rFonts w:ascii="Verdana" w:hAnsi="Verdana"/>
          <w:sz w:val="18"/>
          <w:szCs w:val="18"/>
        </w:rPr>
        <w:t xml:space="preserve">verschilt. Zo zou in een </w:t>
      </w:r>
      <w:r w:rsidRPr="00345FD6" w:rsidR="00F96DC0">
        <w:rPr>
          <w:rFonts w:ascii="Verdana" w:hAnsi="Verdana"/>
          <w:sz w:val="18"/>
          <w:szCs w:val="18"/>
        </w:rPr>
        <w:lastRenderedPageBreak/>
        <w:t xml:space="preserve">bepaalde kern of een bepaald gedeelte van de gemeente een sterke wens kunnen bestaan om als afzonderlijke gemeente verder te gaan, terwijl ‘de rest’ van de inwoners van de gemeente hier geen behoefte aan heeft. Het is van belang dat </w:t>
      </w:r>
      <w:r w:rsidRPr="00345FD6" w:rsidR="003C710B">
        <w:rPr>
          <w:rFonts w:ascii="Verdana" w:hAnsi="Verdana"/>
          <w:sz w:val="18"/>
          <w:szCs w:val="18"/>
        </w:rPr>
        <w:t>hiermee voldoende rekening wordt gehouden bij het peilen van het maatschappelijk draagvlak</w:t>
      </w:r>
      <w:r w:rsidRPr="00345FD6" w:rsidR="00F96DC0">
        <w:rPr>
          <w:rFonts w:ascii="Verdana" w:hAnsi="Verdana"/>
          <w:sz w:val="18"/>
          <w:szCs w:val="18"/>
        </w:rPr>
        <w:t xml:space="preserve"> (bijv. door afzonderlijk per kern/leefgemeenschap te peilen).</w:t>
      </w:r>
    </w:p>
    <w:p w:rsidRPr="00345FD6" w:rsidR="00CA58E2" w:rsidP="00B65449" w:rsidRDefault="00CA58E2" w14:paraId="45BC7B99" w14:textId="77777777">
      <w:pPr>
        <w:rPr>
          <w:rFonts w:ascii="Verdana" w:hAnsi="Verdana"/>
          <w:sz w:val="18"/>
          <w:szCs w:val="18"/>
        </w:rPr>
      </w:pPr>
      <w:r w:rsidRPr="00345FD6">
        <w:rPr>
          <w:rFonts w:ascii="Verdana" w:hAnsi="Verdana"/>
          <w:sz w:val="18"/>
          <w:szCs w:val="18"/>
        </w:rPr>
        <w:t xml:space="preserve">In de tweede plaats beoordeelt het kabinet een herindeling aan de hand van het criterium </w:t>
      </w:r>
      <w:r w:rsidRPr="00345FD6">
        <w:rPr>
          <w:rFonts w:ascii="Verdana" w:hAnsi="Verdana"/>
          <w:i/>
          <w:iCs/>
          <w:sz w:val="18"/>
          <w:szCs w:val="18"/>
        </w:rPr>
        <w:t>bestuurskracht</w:t>
      </w:r>
      <w:r w:rsidRPr="00345FD6">
        <w:rPr>
          <w:rFonts w:ascii="Verdana" w:hAnsi="Verdana"/>
          <w:sz w:val="18"/>
          <w:szCs w:val="18"/>
        </w:rPr>
        <w:t xml:space="preserve">: is de nieuw in te stellen gemeente bestuurskrachtig genoeg? Volgens het Beleidskader is een veel gehanteerde definitie van bestuurskracht “het vermogen van gemeenten om hun wettelijke en niet-wettelijke taken uit te voeren en daarvoor de benodigde maatschappelijke en bestuurlijke relaties aan te gaan”. Hierbij wordt ook opgemerkt dat de (nieuwe) gemeente de taken niet volledig zelf hoeft te vervullen om bestuurskrachtig te zijn; ze kan dit ook doen </w:t>
      </w:r>
      <w:r w:rsidRPr="00345FD6" w:rsidR="002705F8">
        <w:rPr>
          <w:rFonts w:ascii="Verdana" w:hAnsi="Verdana"/>
          <w:sz w:val="18"/>
          <w:szCs w:val="18"/>
        </w:rPr>
        <w:t xml:space="preserve">door bijvoorbeeld intergemeentelijke samenwerking. </w:t>
      </w:r>
      <w:r w:rsidRPr="00345FD6" w:rsidR="001D240D">
        <w:rPr>
          <w:rFonts w:ascii="Verdana" w:hAnsi="Verdana"/>
          <w:sz w:val="18"/>
          <w:szCs w:val="18"/>
        </w:rPr>
        <w:t xml:space="preserve">Ook bij </w:t>
      </w:r>
      <w:r w:rsidR="00200B55">
        <w:rPr>
          <w:rFonts w:ascii="Verdana" w:hAnsi="Verdana"/>
          <w:sz w:val="18"/>
          <w:szCs w:val="18"/>
        </w:rPr>
        <w:t>gemeentelijke afschaling</w:t>
      </w:r>
      <w:r w:rsidRPr="00345FD6" w:rsidR="001D240D">
        <w:rPr>
          <w:rFonts w:ascii="Verdana" w:hAnsi="Verdana"/>
          <w:sz w:val="18"/>
          <w:szCs w:val="18"/>
        </w:rPr>
        <w:t xml:space="preserve"> is het criterium van bestuurskracht zeer relevant: ook</w:t>
      </w:r>
      <w:r w:rsidRPr="00345FD6" w:rsidR="000B0788">
        <w:rPr>
          <w:rFonts w:ascii="Verdana" w:hAnsi="Verdana"/>
          <w:sz w:val="18"/>
          <w:szCs w:val="18"/>
        </w:rPr>
        <w:t xml:space="preserve"> dan</w:t>
      </w:r>
      <w:r w:rsidRPr="00345FD6" w:rsidR="001D240D">
        <w:rPr>
          <w:rFonts w:ascii="Verdana" w:hAnsi="Verdana"/>
          <w:sz w:val="18"/>
          <w:szCs w:val="18"/>
        </w:rPr>
        <w:t xml:space="preserve"> dienen de nieuw te vormen gemeenten over voldoende bestuurskracht beschikken. Juist bij gemeentelijke</w:t>
      </w:r>
      <w:r w:rsidR="00200B55">
        <w:rPr>
          <w:rFonts w:ascii="Verdana" w:hAnsi="Verdana"/>
          <w:sz w:val="18"/>
          <w:szCs w:val="18"/>
        </w:rPr>
        <w:t xml:space="preserve"> a</w:t>
      </w:r>
      <w:r w:rsidR="00B6300C">
        <w:rPr>
          <w:rFonts w:ascii="Verdana" w:hAnsi="Verdana"/>
          <w:sz w:val="18"/>
          <w:szCs w:val="18"/>
        </w:rPr>
        <w:t>f</w:t>
      </w:r>
      <w:r w:rsidR="00200B55">
        <w:rPr>
          <w:rFonts w:ascii="Verdana" w:hAnsi="Verdana"/>
          <w:sz w:val="18"/>
          <w:szCs w:val="18"/>
        </w:rPr>
        <w:t>schaling</w:t>
      </w:r>
      <w:r w:rsidRPr="00345FD6" w:rsidR="001D240D">
        <w:rPr>
          <w:rFonts w:ascii="Verdana" w:hAnsi="Verdana"/>
          <w:sz w:val="18"/>
          <w:szCs w:val="18"/>
        </w:rPr>
        <w:t xml:space="preserve"> is dit een belangrijk aandachtspunt, omdat er sprake is van een schaalverkleining. Hoewel een schaalverkleining niet automatisch hoeft te betekenen dat dan geen sprake is meer is van bestuurskrachtige gemeenten, is het wel degelijk van belang dat in het herindelingsadvies wordt beargumenteerd dat de nieuw te vormen gemeenten over voldoende bestuurskracht beschikken. </w:t>
      </w:r>
    </w:p>
    <w:p w:rsidRPr="00345FD6" w:rsidR="000B0788" w:rsidP="00B65449" w:rsidRDefault="00536A5D" w14:paraId="6ADE7CE4" w14:textId="77777777">
      <w:pPr>
        <w:rPr>
          <w:rFonts w:ascii="Verdana" w:hAnsi="Verdana"/>
          <w:sz w:val="18"/>
          <w:szCs w:val="18"/>
        </w:rPr>
      </w:pPr>
      <w:r w:rsidRPr="00345FD6">
        <w:rPr>
          <w:rFonts w:ascii="Verdana" w:hAnsi="Verdana"/>
          <w:sz w:val="18"/>
          <w:szCs w:val="18"/>
        </w:rPr>
        <w:t xml:space="preserve">Het derde criterium op basis waarvan een herindeling beoordeeld wordt, is </w:t>
      </w:r>
      <w:r w:rsidRPr="00345FD6">
        <w:rPr>
          <w:rFonts w:ascii="Verdana" w:hAnsi="Verdana"/>
          <w:i/>
          <w:iCs/>
          <w:sz w:val="18"/>
          <w:szCs w:val="18"/>
        </w:rPr>
        <w:t>interne samenhang</w:t>
      </w:r>
      <w:r w:rsidRPr="00345FD6" w:rsidR="003F502F">
        <w:rPr>
          <w:rFonts w:ascii="Verdana" w:hAnsi="Verdana"/>
          <w:i/>
          <w:iCs/>
          <w:sz w:val="18"/>
          <w:szCs w:val="18"/>
        </w:rPr>
        <w:t xml:space="preserve"> en nabijheid van bestuur</w:t>
      </w:r>
      <w:r w:rsidRPr="00345FD6">
        <w:rPr>
          <w:rFonts w:ascii="Verdana" w:hAnsi="Verdana"/>
          <w:i/>
          <w:iCs/>
          <w:sz w:val="18"/>
          <w:szCs w:val="18"/>
        </w:rPr>
        <w:t xml:space="preserve">. </w:t>
      </w:r>
      <w:r w:rsidRPr="00345FD6">
        <w:rPr>
          <w:rFonts w:ascii="Verdana" w:hAnsi="Verdana"/>
          <w:sz w:val="18"/>
          <w:szCs w:val="18"/>
        </w:rPr>
        <w:t>Dit criterium houdt in dat de gemeenten die een herindeling overwegen gemeenschappelijke kenmerken</w:t>
      </w:r>
      <w:r w:rsidRPr="00345FD6" w:rsidR="003F502F">
        <w:rPr>
          <w:rFonts w:ascii="Verdana" w:hAnsi="Verdana"/>
          <w:sz w:val="18"/>
          <w:szCs w:val="18"/>
        </w:rPr>
        <w:t xml:space="preserve"> (bijvoorbeeld cultuur, economie en identiteit)</w:t>
      </w:r>
      <w:r w:rsidRPr="00345FD6">
        <w:rPr>
          <w:rFonts w:ascii="Verdana" w:hAnsi="Verdana"/>
          <w:sz w:val="18"/>
          <w:szCs w:val="18"/>
        </w:rPr>
        <w:t xml:space="preserve"> hebben waardoor zij goed bij elkaar passen en elkaars natuurlijke partner zijn. Een andere mogelijkheid is dat gemeenten juist complementair aan elkaar zijn (bijvoorbeeld</w:t>
      </w:r>
      <w:r w:rsidRPr="00345FD6" w:rsidR="003F502F">
        <w:rPr>
          <w:rFonts w:ascii="Verdana" w:hAnsi="Verdana"/>
          <w:sz w:val="18"/>
          <w:szCs w:val="18"/>
        </w:rPr>
        <w:t xml:space="preserve"> de</w:t>
      </w:r>
      <w:r w:rsidRPr="00345FD6">
        <w:rPr>
          <w:rFonts w:ascii="Verdana" w:hAnsi="Verdana"/>
          <w:sz w:val="18"/>
          <w:szCs w:val="18"/>
        </w:rPr>
        <w:t xml:space="preserve"> combinatie van stedelijke voorzieningen en open landschap in het buitengebied). Uit de tekst van het Beleidskader wordt duidelijk dat dit criterium is toegesneden op de situatie dat twee of meerdere gemeenten samengaan in één nieuwe gemeente (opschaling). Toch is dit criterium ook </w:t>
      </w:r>
      <w:r w:rsidRPr="00345FD6" w:rsidR="003F502F">
        <w:rPr>
          <w:rFonts w:ascii="Verdana" w:hAnsi="Verdana"/>
          <w:sz w:val="18"/>
          <w:szCs w:val="18"/>
        </w:rPr>
        <w:t xml:space="preserve">zeker </w:t>
      </w:r>
      <w:r w:rsidRPr="00345FD6">
        <w:rPr>
          <w:rFonts w:ascii="Verdana" w:hAnsi="Verdana"/>
          <w:sz w:val="18"/>
          <w:szCs w:val="18"/>
        </w:rPr>
        <w:t xml:space="preserve">relevant bij </w:t>
      </w:r>
      <w:r w:rsidR="00200B55">
        <w:rPr>
          <w:rFonts w:ascii="Verdana" w:hAnsi="Verdana"/>
          <w:sz w:val="18"/>
          <w:szCs w:val="18"/>
        </w:rPr>
        <w:t>gemeentelijke afschaling</w:t>
      </w:r>
      <w:r w:rsidRPr="00345FD6">
        <w:rPr>
          <w:rFonts w:ascii="Verdana" w:hAnsi="Verdana"/>
          <w:sz w:val="18"/>
          <w:szCs w:val="18"/>
        </w:rPr>
        <w:t xml:space="preserve">. Ook als een gemeente splitst, is het immers van belang dat twee (of meer) nieuwe gemeenten ontstaan </w:t>
      </w:r>
      <w:r w:rsidRPr="00345FD6" w:rsidR="003F502F">
        <w:rPr>
          <w:rFonts w:ascii="Verdana" w:hAnsi="Verdana"/>
          <w:sz w:val="18"/>
          <w:szCs w:val="18"/>
        </w:rPr>
        <w:t xml:space="preserve">die voldoende interne samenhang hebben. </w:t>
      </w:r>
      <w:r w:rsidRPr="00345FD6" w:rsidR="000B0788">
        <w:rPr>
          <w:rFonts w:ascii="Verdana" w:hAnsi="Verdana"/>
          <w:sz w:val="18"/>
          <w:szCs w:val="18"/>
        </w:rPr>
        <w:br/>
        <w:t>Bij het criterium is verder van belang dat</w:t>
      </w:r>
      <w:r w:rsidRPr="00345FD6" w:rsidR="00313B78">
        <w:rPr>
          <w:rFonts w:ascii="Verdana" w:hAnsi="Verdana"/>
          <w:sz w:val="18"/>
          <w:szCs w:val="18"/>
        </w:rPr>
        <w:t xml:space="preserve"> het gemeentebestuur</w:t>
      </w:r>
      <w:r w:rsidRPr="00345FD6" w:rsidR="000B0788">
        <w:rPr>
          <w:rFonts w:ascii="Verdana" w:hAnsi="Verdana"/>
          <w:sz w:val="18"/>
          <w:szCs w:val="18"/>
        </w:rPr>
        <w:t xml:space="preserve"> na een herindeling ‘responsief, nabij betrokken en benaderbaar blijft’ (nabijheid van bestuur). Bij schaalvergroting komt het bestuur van een gemeente</w:t>
      </w:r>
      <w:r w:rsidRPr="00345FD6" w:rsidR="00A6782F">
        <w:rPr>
          <w:rFonts w:ascii="Verdana" w:hAnsi="Verdana"/>
          <w:sz w:val="18"/>
          <w:szCs w:val="18"/>
        </w:rPr>
        <w:t xml:space="preserve"> namelijk</w:t>
      </w:r>
      <w:r w:rsidRPr="00345FD6" w:rsidR="000B0788">
        <w:rPr>
          <w:rFonts w:ascii="Verdana" w:hAnsi="Verdana"/>
          <w:sz w:val="18"/>
          <w:szCs w:val="18"/>
        </w:rPr>
        <w:t xml:space="preserve"> doorgaans verder van de burger af te staan. Het </w:t>
      </w:r>
      <w:r w:rsidR="00613F4B">
        <w:rPr>
          <w:rFonts w:ascii="Verdana" w:hAnsi="Verdana"/>
          <w:sz w:val="18"/>
          <w:szCs w:val="18"/>
        </w:rPr>
        <w:t>B</w:t>
      </w:r>
      <w:r w:rsidRPr="00345FD6" w:rsidR="000B0788">
        <w:rPr>
          <w:rFonts w:ascii="Verdana" w:hAnsi="Verdana"/>
          <w:sz w:val="18"/>
          <w:szCs w:val="18"/>
        </w:rPr>
        <w:t>eleidskader vraagt dan oo</w:t>
      </w:r>
      <w:r w:rsidRPr="00345FD6" w:rsidR="00313B78">
        <w:rPr>
          <w:rFonts w:ascii="Verdana" w:hAnsi="Verdana"/>
          <w:sz w:val="18"/>
          <w:szCs w:val="18"/>
        </w:rPr>
        <w:t>k dat de nieuw te vormen gemeente zoveel mogelijk de nabijheid van bestuur</w:t>
      </w:r>
      <w:r w:rsidR="00613F4B">
        <w:rPr>
          <w:rFonts w:ascii="Verdana" w:hAnsi="Verdana"/>
          <w:sz w:val="18"/>
          <w:szCs w:val="18"/>
        </w:rPr>
        <w:t xml:space="preserve"> en de betrokkenheid van burgers</w:t>
      </w:r>
      <w:r w:rsidRPr="00345FD6" w:rsidR="00313B78">
        <w:rPr>
          <w:rFonts w:ascii="Verdana" w:hAnsi="Verdana"/>
          <w:sz w:val="18"/>
          <w:szCs w:val="18"/>
        </w:rPr>
        <w:t xml:space="preserve"> borgt en versterkt. Dit kan onder meer door een actief dorpen- en kernenbeleid, wijkgericht werken, of binnengemeentelijke decentralisatie. Bij een gemeentelijke </w:t>
      </w:r>
      <w:r w:rsidR="00BD28BC">
        <w:rPr>
          <w:rFonts w:ascii="Verdana" w:hAnsi="Verdana"/>
          <w:sz w:val="18"/>
          <w:szCs w:val="18"/>
        </w:rPr>
        <w:t>afschaling</w:t>
      </w:r>
      <w:r w:rsidRPr="00345FD6" w:rsidR="00313B78">
        <w:rPr>
          <w:rFonts w:ascii="Verdana" w:hAnsi="Verdana"/>
          <w:sz w:val="18"/>
          <w:szCs w:val="18"/>
        </w:rPr>
        <w:t xml:space="preserve"> is echter juist sprake van een schaa</w:t>
      </w:r>
      <w:r w:rsidRPr="00345FD6" w:rsidR="00313B78">
        <w:rPr>
          <w:rFonts w:ascii="Verdana" w:hAnsi="Verdana"/>
          <w:i/>
          <w:iCs/>
          <w:sz w:val="18"/>
          <w:szCs w:val="18"/>
        </w:rPr>
        <w:t>lverkleining</w:t>
      </w:r>
      <w:r w:rsidRPr="00345FD6" w:rsidR="00313B78">
        <w:rPr>
          <w:rFonts w:ascii="Verdana" w:hAnsi="Verdana"/>
          <w:sz w:val="18"/>
          <w:szCs w:val="18"/>
        </w:rPr>
        <w:t xml:space="preserve">, waardoor het gemeentebestuur </w:t>
      </w:r>
      <w:r w:rsidRPr="00345FD6" w:rsidR="00A6782F">
        <w:rPr>
          <w:rFonts w:ascii="Verdana" w:hAnsi="Verdana"/>
          <w:sz w:val="18"/>
          <w:szCs w:val="18"/>
        </w:rPr>
        <w:t xml:space="preserve">in principe </w:t>
      </w:r>
      <w:r w:rsidRPr="00345FD6" w:rsidR="00313B78">
        <w:rPr>
          <w:rFonts w:ascii="Verdana" w:hAnsi="Verdana"/>
          <w:sz w:val="18"/>
          <w:szCs w:val="18"/>
        </w:rPr>
        <w:t xml:space="preserve">dichter bij de burger komt te staan. Dit maakt dat bij gemeentelijke </w:t>
      </w:r>
      <w:r w:rsidR="00BD28BC">
        <w:rPr>
          <w:rFonts w:ascii="Verdana" w:hAnsi="Verdana"/>
          <w:sz w:val="18"/>
          <w:szCs w:val="18"/>
        </w:rPr>
        <w:t>afschaling</w:t>
      </w:r>
      <w:r w:rsidRPr="00345FD6" w:rsidR="00313B78">
        <w:rPr>
          <w:rFonts w:ascii="Verdana" w:hAnsi="Verdana"/>
          <w:sz w:val="18"/>
          <w:szCs w:val="18"/>
        </w:rPr>
        <w:t xml:space="preserve"> de noodzaak voor maatregelen om de nabijheid van bestuur te borgen, mogelijk kleiner is. Toch wil dit niet zeggen dat deze maatregelen </w:t>
      </w:r>
      <w:r w:rsidRPr="00345FD6" w:rsidR="00F87931">
        <w:rPr>
          <w:rFonts w:ascii="Verdana" w:hAnsi="Verdana"/>
          <w:sz w:val="18"/>
          <w:szCs w:val="18"/>
        </w:rPr>
        <w:t xml:space="preserve">niet relevant kunnen zijn </w:t>
      </w:r>
      <w:r w:rsidRPr="00345FD6" w:rsidR="00313B78">
        <w:rPr>
          <w:rFonts w:ascii="Verdana" w:hAnsi="Verdana"/>
          <w:sz w:val="18"/>
          <w:szCs w:val="18"/>
        </w:rPr>
        <w:t xml:space="preserve">bij </w:t>
      </w:r>
      <w:r w:rsidR="00613F4B">
        <w:rPr>
          <w:rFonts w:ascii="Verdana" w:hAnsi="Verdana"/>
          <w:sz w:val="18"/>
          <w:szCs w:val="18"/>
        </w:rPr>
        <w:t>afschaling</w:t>
      </w:r>
      <w:r w:rsidRPr="00345FD6" w:rsidR="00313B78">
        <w:rPr>
          <w:rFonts w:ascii="Verdana" w:hAnsi="Verdana"/>
          <w:sz w:val="18"/>
          <w:szCs w:val="18"/>
        </w:rPr>
        <w:t>: ook dan kan bijvoorbeeld een actief dorpen-</w:t>
      </w:r>
      <w:r w:rsidRPr="00345FD6" w:rsidR="00A6782F">
        <w:rPr>
          <w:rFonts w:ascii="Verdana" w:hAnsi="Verdana"/>
          <w:sz w:val="18"/>
          <w:szCs w:val="18"/>
        </w:rPr>
        <w:t xml:space="preserve"> </w:t>
      </w:r>
      <w:r w:rsidRPr="00345FD6" w:rsidR="00313B78">
        <w:rPr>
          <w:rFonts w:ascii="Verdana" w:hAnsi="Verdana"/>
          <w:sz w:val="18"/>
          <w:szCs w:val="18"/>
        </w:rPr>
        <w:t xml:space="preserve">en kernenbeleid </w:t>
      </w:r>
      <w:r w:rsidRPr="00345FD6" w:rsidR="00F87931">
        <w:rPr>
          <w:rFonts w:ascii="Verdana" w:hAnsi="Verdana"/>
          <w:sz w:val="18"/>
          <w:szCs w:val="18"/>
        </w:rPr>
        <w:t>een waardevolle bijdrage geven aan de nabijheid van bestuur</w:t>
      </w:r>
      <w:r w:rsidRPr="00345FD6" w:rsidR="00313B78">
        <w:rPr>
          <w:rFonts w:ascii="Verdana" w:hAnsi="Verdana"/>
          <w:sz w:val="18"/>
          <w:szCs w:val="18"/>
        </w:rPr>
        <w:t xml:space="preserve">. </w:t>
      </w:r>
      <w:r w:rsidRPr="00345FD6" w:rsidR="00F87931">
        <w:rPr>
          <w:rFonts w:ascii="Verdana" w:hAnsi="Verdana"/>
          <w:sz w:val="18"/>
          <w:szCs w:val="18"/>
        </w:rPr>
        <w:t xml:space="preserve">Daarom is het van belang dat ook bij een </w:t>
      </w:r>
      <w:r w:rsidR="00613F4B">
        <w:rPr>
          <w:rFonts w:ascii="Verdana" w:hAnsi="Verdana"/>
          <w:sz w:val="18"/>
          <w:szCs w:val="18"/>
        </w:rPr>
        <w:t>afschaling</w:t>
      </w:r>
      <w:r w:rsidRPr="00345FD6" w:rsidR="00F87931">
        <w:rPr>
          <w:rFonts w:ascii="Verdana" w:hAnsi="Verdana"/>
          <w:sz w:val="18"/>
          <w:szCs w:val="18"/>
        </w:rPr>
        <w:t xml:space="preserve"> </w:t>
      </w:r>
      <w:r w:rsidRPr="00345FD6" w:rsidR="00F87931">
        <w:rPr>
          <w:rFonts w:ascii="Verdana" w:hAnsi="Verdana"/>
          <w:sz w:val="18"/>
          <w:szCs w:val="18"/>
        </w:rPr>
        <w:lastRenderedPageBreak/>
        <w:t xml:space="preserve">in een herindelingsadvies wordt ingegaan op de nabijheid van bestuur in de nieuw te vormen gemeenten. </w:t>
      </w:r>
      <w:r w:rsidRPr="00345FD6" w:rsidR="00313B78">
        <w:rPr>
          <w:rFonts w:ascii="Verdana" w:hAnsi="Verdana"/>
          <w:sz w:val="18"/>
          <w:szCs w:val="18"/>
        </w:rPr>
        <w:t xml:space="preserve"> </w:t>
      </w:r>
    </w:p>
    <w:p w:rsidRPr="00345FD6" w:rsidR="003F502F" w:rsidP="00B65449" w:rsidRDefault="003F502F" w14:paraId="746A3621" w14:textId="77777777">
      <w:pPr>
        <w:rPr>
          <w:rFonts w:ascii="Verdana" w:hAnsi="Verdana"/>
          <w:sz w:val="18"/>
          <w:szCs w:val="18"/>
        </w:rPr>
      </w:pPr>
      <w:r w:rsidRPr="00345FD6">
        <w:rPr>
          <w:rFonts w:ascii="Verdana" w:hAnsi="Verdana"/>
          <w:sz w:val="18"/>
          <w:szCs w:val="18"/>
        </w:rPr>
        <w:t xml:space="preserve">Het vierde en laatste criterium betreft </w:t>
      </w:r>
      <w:r w:rsidRPr="00345FD6">
        <w:rPr>
          <w:rFonts w:ascii="Verdana" w:hAnsi="Verdana"/>
          <w:i/>
          <w:iCs/>
          <w:sz w:val="18"/>
          <w:szCs w:val="18"/>
        </w:rPr>
        <w:t xml:space="preserve">regionale samenhang. </w:t>
      </w:r>
      <w:r w:rsidRPr="00345FD6">
        <w:rPr>
          <w:rFonts w:ascii="Verdana" w:hAnsi="Verdana"/>
          <w:sz w:val="18"/>
          <w:szCs w:val="18"/>
        </w:rPr>
        <w:t>Bij dit criterium gaat het erom dat dat nieuwe geme</w:t>
      </w:r>
      <w:r w:rsidRPr="00345FD6" w:rsidR="006E4A78">
        <w:rPr>
          <w:rFonts w:ascii="Verdana" w:hAnsi="Verdana"/>
          <w:sz w:val="18"/>
          <w:szCs w:val="18"/>
        </w:rPr>
        <w:t>ente in staat is relaties met lokale en regionale partners (zoals buurgemeenten, bedrijven en maatschappelijke instellingen</w:t>
      </w:r>
      <w:r w:rsidR="00BD28BC">
        <w:rPr>
          <w:rFonts w:ascii="Verdana" w:hAnsi="Verdana"/>
          <w:sz w:val="18"/>
          <w:szCs w:val="18"/>
        </w:rPr>
        <w:t>)</w:t>
      </w:r>
      <w:r w:rsidRPr="00345FD6" w:rsidR="00732A68">
        <w:rPr>
          <w:rFonts w:ascii="Verdana" w:hAnsi="Verdana"/>
          <w:sz w:val="18"/>
          <w:szCs w:val="18"/>
        </w:rPr>
        <w:t xml:space="preserve"> te onderhouden</w:t>
      </w:r>
      <w:r w:rsidRPr="00345FD6" w:rsidR="006E4A78">
        <w:rPr>
          <w:rFonts w:ascii="Verdana" w:hAnsi="Verdana"/>
          <w:sz w:val="18"/>
          <w:szCs w:val="18"/>
        </w:rPr>
        <w:t xml:space="preserve">. Om die reden vraagt het kabinet in het </w:t>
      </w:r>
      <w:r w:rsidRPr="00345FD6" w:rsidR="00732A68">
        <w:rPr>
          <w:rFonts w:ascii="Verdana" w:hAnsi="Verdana"/>
          <w:sz w:val="18"/>
          <w:szCs w:val="18"/>
        </w:rPr>
        <w:t>B</w:t>
      </w:r>
      <w:r w:rsidRPr="00345FD6" w:rsidR="006E4A78">
        <w:rPr>
          <w:rFonts w:ascii="Verdana" w:hAnsi="Verdana"/>
          <w:sz w:val="18"/>
          <w:szCs w:val="18"/>
        </w:rPr>
        <w:t>eleidskader om in het herindelingsadvies in te gaan op de gevolgen van de herindeling voor de samenwerkingsrelaties en eventuele bestuurlijke ontwikkelingen in de regio. Ook wordt – met het oog op de duurzaamheid van een herindeling – gevraagd of andere gemeenten bij de herindeling betrokken moeten worden.</w:t>
      </w:r>
      <w:r w:rsidRPr="00345FD6" w:rsidR="00732A68">
        <w:rPr>
          <w:rFonts w:ascii="Verdana" w:hAnsi="Verdana"/>
          <w:sz w:val="18"/>
          <w:szCs w:val="18"/>
        </w:rPr>
        <w:t xml:space="preserve"> </w:t>
      </w:r>
      <w:r w:rsidRPr="00345FD6" w:rsidR="00732A68">
        <w:rPr>
          <w:rFonts w:ascii="Verdana" w:hAnsi="Verdana"/>
          <w:sz w:val="18"/>
          <w:szCs w:val="18"/>
        </w:rPr>
        <w:br/>
        <w:t>Hoewel de tekst van het Beleidskader duidelijk</w:t>
      </w:r>
      <w:r w:rsidRPr="00345FD6" w:rsidR="00772111">
        <w:rPr>
          <w:rFonts w:ascii="Verdana" w:hAnsi="Verdana"/>
          <w:sz w:val="18"/>
          <w:szCs w:val="18"/>
        </w:rPr>
        <w:t xml:space="preserve"> uitgaat van de situatie van gemeentelijke opschaling</w:t>
      </w:r>
      <w:r w:rsidRPr="00345FD6" w:rsidR="00772111">
        <w:rPr>
          <w:rStyle w:val="Voetnootmarkering"/>
          <w:rFonts w:ascii="Verdana" w:hAnsi="Verdana"/>
          <w:sz w:val="18"/>
          <w:szCs w:val="18"/>
        </w:rPr>
        <w:footnoteReference w:id="17"/>
      </w:r>
      <w:r w:rsidRPr="00345FD6" w:rsidR="00772111">
        <w:rPr>
          <w:rFonts w:ascii="Verdana" w:hAnsi="Verdana"/>
          <w:sz w:val="18"/>
          <w:szCs w:val="18"/>
        </w:rPr>
        <w:t xml:space="preserve"> is het criterium ook bij gemeentelijke </w:t>
      </w:r>
      <w:r w:rsidR="00BD28BC">
        <w:rPr>
          <w:rFonts w:ascii="Verdana" w:hAnsi="Verdana"/>
          <w:sz w:val="18"/>
          <w:szCs w:val="18"/>
        </w:rPr>
        <w:t>afschaling</w:t>
      </w:r>
      <w:r w:rsidRPr="00345FD6" w:rsidR="00BD28BC">
        <w:rPr>
          <w:rFonts w:ascii="Verdana" w:hAnsi="Verdana"/>
          <w:sz w:val="18"/>
          <w:szCs w:val="18"/>
        </w:rPr>
        <w:t xml:space="preserve"> </w:t>
      </w:r>
      <w:r w:rsidRPr="00345FD6" w:rsidR="00772111">
        <w:rPr>
          <w:rFonts w:ascii="Verdana" w:hAnsi="Verdana"/>
          <w:sz w:val="18"/>
          <w:szCs w:val="18"/>
        </w:rPr>
        <w:t xml:space="preserve">bijzonder relevant. </w:t>
      </w:r>
      <w:r w:rsidRPr="00345FD6" w:rsidR="00732A68">
        <w:rPr>
          <w:rFonts w:ascii="Verdana" w:hAnsi="Verdana"/>
          <w:sz w:val="18"/>
          <w:szCs w:val="18"/>
        </w:rPr>
        <w:t xml:space="preserve">De gemeentelijke afschaling heeft immers tot gevolg dat er één of meerdere samenwerkingspartners in de regio bij komen. Het is </w:t>
      </w:r>
      <w:r w:rsidRPr="00345FD6" w:rsidR="00C4611D">
        <w:rPr>
          <w:rFonts w:ascii="Verdana" w:hAnsi="Verdana"/>
          <w:sz w:val="18"/>
          <w:szCs w:val="18"/>
        </w:rPr>
        <w:t>dan ook van belang dat in het herindelingsadvies wordt ingegaan</w:t>
      </w:r>
      <w:r w:rsidRPr="00345FD6" w:rsidR="00A6782F">
        <w:rPr>
          <w:rFonts w:ascii="Verdana" w:hAnsi="Verdana"/>
          <w:sz w:val="18"/>
          <w:szCs w:val="18"/>
        </w:rPr>
        <w:t xml:space="preserve"> op de vraag</w:t>
      </w:r>
      <w:r w:rsidRPr="00345FD6" w:rsidR="00C4611D">
        <w:rPr>
          <w:rFonts w:ascii="Verdana" w:hAnsi="Verdana"/>
          <w:sz w:val="18"/>
          <w:szCs w:val="18"/>
        </w:rPr>
        <w:t xml:space="preserve"> welke gevolgen dit heeft voor de samenwerkingsrelaties in de regio. Achten de samenwerkingspartners samenwerking met de nieuw te vormen gemeenten werkbaar? En zijn de nieuwe gemeenten voldoende in staat om </w:t>
      </w:r>
      <w:r w:rsidRPr="00345FD6" w:rsidR="00D5235E">
        <w:rPr>
          <w:rFonts w:ascii="Verdana" w:hAnsi="Verdana"/>
          <w:sz w:val="18"/>
          <w:szCs w:val="18"/>
        </w:rPr>
        <w:t xml:space="preserve">– tezamen met de samenwerkingspartners </w:t>
      </w:r>
      <w:r w:rsidRPr="00345FD6" w:rsidR="00A6782F">
        <w:rPr>
          <w:rFonts w:ascii="Verdana" w:hAnsi="Verdana"/>
          <w:sz w:val="18"/>
          <w:szCs w:val="18"/>
        </w:rPr>
        <w:t>–</w:t>
      </w:r>
      <w:r w:rsidRPr="00345FD6" w:rsidR="00D5235E">
        <w:rPr>
          <w:rFonts w:ascii="Verdana" w:hAnsi="Verdana"/>
          <w:sz w:val="18"/>
          <w:szCs w:val="18"/>
        </w:rPr>
        <w:t xml:space="preserve"> </w:t>
      </w:r>
      <w:r w:rsidRPr="00345FD6" w:rsidR="00C4611D">
        <w:rPr>
          <w:rFonts w:ascii="Verdana" w:hAnsi="Verdana"/>
          <w:sz w:val="18"/>
          <w:szCs w:val="18"/>
        </w:rPr>
        <w:t>de regionale opgaven op te pakken?</w:t>
      </w:r>
      <w:r w:rsidRPr="00345FD6" w:rsidR="00772111">
        <w:rPr>
          <w:rStyle w:val="Voetnootmarkering"/>
          <w:rFonts w:ascii="Verdana" w:hAnsi="Verdana"/>
          <w:sz w:val="18"/>
          <w:szCs w:val="18"/>
        </w:rPr>
        <w:footnoteReference w:id="18"/>
      </w:r>
      <w:r w:rsidRPr="00345FD6" w:rsidR="00732A68">
        <w:rPr>
          <w:rFonts w:ascii="Verdana" w:hAnsi="Verdana"/>
          <w:sz w:val="18"/>
          <w:szCs w:val="18"/>
        </w:rPr>
        <w:t xml:space="preserve"> </w:t>
      </w:r>
    </w:p>
    <w:p w:rsidRPr="00613F4B" w:rsidR="00D5235E" w:rsidP="005A4EE8" w:rsidRDefault="001A6F0E" w14:paraId="29AB8135" w14:textId="77777777">
      <w:pPr>
        <w:rPr>
          <w:rFonts w:ascii="Verdana" w:hAnsi="Verdana"/>
          <w:sz w:val="18"/>
          <w:szCs w:val="18"/>
        </w:rPr>
      </w:pPr>
      <w:r w:rsidRPr="00345FD6">
        <w:rPr>
          <w:rFonts w:ascii="Verdana" w:hAnsi="Verdana"/>
          <w:sz w:val="18"/>
          <w:szCs w:val="18"/>
        </w:rPr>
        <w:t>In paragraaf 4.3 van het Beleidskader worden tot slot nog twee aanvullende criteria beschreven voor een specifieke herindelingsvariant: de lichte samenvoeging. Dit betreft een gemeentelijke herindeling (opschaling) waarbij één van de betrokken gemeenten niet opgeheven wordt</w:t>
      </w:r>
      <w:r w:rsidRPr="00345FD6" w:rsidR="00451E6F">
        <w:rPr>
          <w:rFonts w:ascii="Verdana" w:hAnsi="Verdana"/>
          <w:sz w:val="18"/>
          <w:szCs w:val="18"/>
        </w:rPr>
        <w:t xml:space="preserve"> en de op te heffen gemeente(n) aan deze gemeente worden toegevoegd. </w:t>
      </w:r>
      <w:r w:rsidRPr="00345FD6" w:rsidR="005A4EE8">
        <w:rPr>
          <w:rFonts w:ascii="Verdana" w:hAnsi="Verdana"/>
          <w:sz w:val="18"/>
          <w:szCs w:val="18"/>
        </w:rPr>
        <w:t>Aangezien het hier om een geheel andere herindelingsvariant gaat dan</w:t>
      </w:r>
      <w:r w:rsidR="00345FD6">
        <w:rPr>
          <w:rFonts w:ascii="Verdana" w:hAnsi="Verdana"/>
          <w:sz w:val="18"/>
          <w:szCs w:val="18"/>
        </w:rPr>
        <w:t xml:space="preserve"> </w:t>
      </w:r>
      <w:r w:rsidR="00B6300C">
        <w:rPr>
          <w:rFonts w:ascii="Verdana" w:hAnsi="Verdana"/>
          <w:sz w:val="18"/>
          <w:szCs w:val="18"/>
        </w:rPr>
        <w:t>gemeentelijke afschaling</w:t>
      </w:r>
      <w:r w:rsidRPr="00345FD6" w:rsidR="005A4EE8">
        <w:rPr>
          <w:rFonts w:ascii="Verdana" w:hAnsi="Verdana"/>
          <w:sz w:val="18"/>
          <w:szCs w:val="18"/>
        </w:rPr>
        <w:t xml:space="preserve">, zijn deze criteria niet goed bruikbaar bij een </w:t>
      </w:r>
      <w:r w:rsidR="00BD28BC">
        <w:rPr>
          <w:rFonts w:ascii="Verdana" w:hAnsi="Verdana"/>
          <w:sz w:val="18"/>
          <w:szCs w:val="18"/>
        </w:rPr>
        <w:t>afschaling</w:t>
      </w:r>
      <w:r w:rsidRPr="00345FD6" w:rsidR="005A4EE8">
        <w:rPr>
          <w:rFonts w:ascii="Verdana" w:hAnsi="Verdana"/>
          <w:sz w:val="18"/>
          <w:szCs w:val="18"/>
        </w:rPr>
        <w:t xml:space="preserve">. </w:t>
      </w:r>
    </w:p>
    <w:p w:rsidRPr="00613F4B" w:rsidR="00AB075C" w:rsidP="00B65449" w:rsidRDefault="00AB1D62" w14:paraId="3388936A" w14:textId="77777777">
      <w:pPr>
        <w:rPr>
          <w:rFonts w:ascii="Verdana" w:hAnsi="Verdana"/>
          <w:sz w:val="18"/>
          <w:szCs w:val="18"/>
        </w:rPr>
      </w:pPr>
      <w:r>
        <w:rPr>
          <w:rFonts w:ascii="Verdana" w:hAnsi="Verdana"/>
          <w:i/>
          <w:iCs/>
          <w:sz w:val="18"/>
          <w:szCs w:val="18"/>
        </w:rPr>
        <w:t>3</w:t>
      </w:r>
      <w:r w:rsidRPr="00613F4B" w:rsidR="00A6782F">
        <w:rPr>
          <w:rFonts w:ascii="Verdana" w:hAnsi="Verdana"/>
          <w:i/>
          <w:iCs/>
          <w:sz w:val="18"/>
          <w:szCs w:val="18"/>
        </w:rPr>
        <w:t>.5: Vijfde paragraaf Beleidskader</w:t>
      </w:r>
      <w:r w:rsidRPr="00613F4B" w:rsidR="00AB075C">
        <w:rPr>
          <w:rFonts w:ascii="Verdana" w:hAnsi="Verdana"/>
          <w:i/>
          <w:iCs/>
          <w:sz w:val="18"/>
          <w:szCs w:val="18"/>
        </w:rPr>
        <w:t xml:space="preserve"> (financiële aspecten)</w:t>
      </w:r>
      <w:r w:rsidRPr="00613F4B" w:rsidR="00AB075C">
        <w:rPr>
          <w:rFonts w:ascii="Verdana" w:hAnsi="Verdana"/>
          <w:i/>
          <w:iCs/>
          <w:sz w:val="18"/>
          <w:szCs w:val="18"/>
        </w:rPr>
        <w:br/>
      </w:r>
      <w:r w:rsidRPr="00613F4B" w:rsidR="00AB075C">
        <w:rPr>
          <w:rFonts w:ascii="Verdana" w:hAnsi="Verdana"/>
          <w:sz w:val="18"/>
          <w:szCs w:val="18"/>
        </w:rPr>
        <w:t xml:space="preserve">In de vijfde paragraaf van het Beleidskader wordt ingegaan op financiële aspecten die met een gemeentelijke herindeling samenhangen. In de eerste plaats wordt vermeld dat herindelende gemeenten aanspraak kunnen maken op een </w:t>
      </w:r>
      <w:r w:rsidRPr="00613F4B" w:rsidR="00B21B42">
        <w:rPr>
          <w:rFonts w:ascii="Verdana" w:hAnsi="Verdana"/>
          <w:sz w:val="18"/>
          <w:szCs w:val="18"/>
        </w:rPr>
        <w:t xml:space="preserve">(gedeeltelijke) </w:t>
      </w:r>
      <w:r w:rsidRPr="00613F4B" w:rsidR="00AB075C">
        <w:rPr>
          <w:rFonts w:ascii="Verdana" w:hAnsi="Verdana"/>
          <w:sz w:val="18"/>
          <w:szCs w:val="18"/>
        </w:rPr>
        <w:t xml:space="preserve">vergoeding van kosten die </w:t>
      </w:r>
      <w:r w:rsidRPr="00613F4B" w:rsidR="00B21B42">
        <w:rPr>
          <w:rFonts w:ascii="Verdana" w:hAnsi="Verdana"/>
          <w:sz w:val="18"/>
          <w:szCs w:val="18"/>
        </w:rPr>
        <w:t xml:space="preserve">aan het herindelingsproces verbonden zijn </w:t>
      </w:r>
      <w:r w:rsidRPr="00613F4B" w:rsidR="00AB075C">
        <w:rPr>
          <w:rFonts w:ascii="Verdana" w:hAnsi="Verdana"/>
          <w:sz w:val="18"/>
          <w:szCs w:val="18"/>
        </w:rPr>
        <w:t>(zogenoemde ‘frictiekosten’</w:t>
      </w:r>
      <w:r w:rsidRPr="00613F4B" w:rsidR="00321CFB">
        <w:rPr>
          <w:rFonts w:ascii="Verdana" w:hAnsi="Verdana"/>
          <w:sz w:val="18"/>
          <w:szCs w:val="18"/>
        </w:rPr>
        <w:t>)</w:t>
      </w:r>
      <w:r w:rsidRPr="00613F4B" w:rsidR="00AB075C">
        <w:rPr>
          <w:rFonts w:ascii="Verdana" w:hAnsi="Verdana"/>
          <w:sz w:val="18"/>
          <w:szCs w:val="18"/>
        </w:rPr>
        <w:t>. Daartoe zijn in de algemene uitkering van het gemeentefonds twee maatstaven opgenomen</w:t>
      </w:r>
      <w:r w:rsidRPr="00613F4B" w:rsidR="00403604">
        <w:rPr>
          <w:rFonts w:ascii="Verdana" w:hAnsi="Verdana"/>
          <w:sz w:val="18"/>
          <w:szCs w:val="18"/>
        </w:rPr>
        <w:t>. Indien sprake is van een (reguliere) herindeling waarbij gemeenten worden samengevoegd, is de zogenoemde ‘herindelingsmaatstaf</w:t>
      </w:r>
      <w:r w:rsidRPr="00BF487A" w:rsidR="00321CFB">
        <w:rPr>
          <w:rFonts w:ascii="Verdana" w:hAnsi="Verdana"/>
          <w:sz w:val="18"/>
          <w:szCs w:val="18"/>
        </w:rPr>
        <w:t>’</w:t>
      </w:r>
      <w:r w:rsidRPr="00613F4B" w:rsidR="00403604">
        <w:rPr>
          <w:rFonts w:ascii="Verdana" w:hAnsi="Verdana"/>
          <w:sz w:val="18"/>
          <w:szCs w:val="18"/>
        </w:rPr>
        <w:t xml:space="preserve"> van toepassing. Indien sprake is van </w:t>
      </w:r>
      <w:r w:rsidRPr="00BF487A" w:rsidR="00403604">
        <w:rPr>
          <w:rFonts w:ascii="Verdana" w:hAnsi="Verdana"/>
          <w:sz w:val="18"/>
          <w:szCs w:val="18"/>
        </w:rPr>
        <w:t xml:space="preserve">de situatie dat delen van een op te heffen gemeenten </w:t>
      </w:r>
      <w:r w:rsidRPr="00BF487A" w:rsidR="00B21B42">
        <w:rPr>
          <w:rFonts w:ascii="Verdana" w:hAnsi="Verdana"/>
          <w:sz w:val="18"/>
          <w:szCs w:val="18"/>
        </w:rPr>
        <w:t xml:space="preserve">naar meerdere andere gemeenten overgaan </w:t>
      </w:r>
      <w:r w:rsidRPr="00BF487A" w:rsidR="00B21B42">
        <w:rPr>
          <w:rFonts w:ascii="Verdana" w:hAnsi="Verdana"/>
          <w:i/>
          <w:iCs/>
          <w:sz w:val="18"/>
          <w:szCs w:val="18"/>
        </w:rPr>
        <w:t xml:space="preserve">én </w:t>
      </w:r>
      <w:r w:rsidRPr="00BF487A" w:rsidR="00B21B42">
        <w:rPr>
          <w:rFonts w:ascii="Verdana" w:hAnsi="Verdana"/>
          <w:sz w:val="18"/>
          <w:szCs w:val="18"/>
        </w:rPr>
        <w:t>er sprake is van een afname van het aantal gemeenten,</w:t>
      </w:r>
      <w:r w:rsidRPr="00613F4B" w:rsidR="00403604">
        <w:rPr>
          <w:rFonts w:ascii="Verdana" w:hAnsi="Verdana"/>
          <w:sz w:val="18"/>
          <w:szCs w:val="18"/>
        </w:rPr>
        <w:t xml:space="preserve"> dan is </w:t>
      </w:r>
      <w:r w:rsidRPr="00BF487A" w:rsidR="00B21B42">
        <w:rPr>
          <w:rFonts w:ascii="Verdana" w:hAnsi="Verdana"/>
          <w:sz w:val="18"/>
          <w:szCs w:val="18"/>
        </w:rPr>
        <w:t>de zogenoemde ‘splitsingsmaatstaf</w:t>
      </w:r>
      <w:r w:rsidRPr="00BF487A" w:rsidR="00321CFB">
        <w:rPr>
          <w:rFonts w:ascii="Verdana" w:hAnsi="Verdana"/>
          <w:sz w:val="18"/>
          <w:szCs w:val="18"/>
        </w:rPr>
        <w:t xml:space="preserve">’ </w:t>
      </w:r>
      <w:r w:rsidRPr="00BF487A" w:rsidR="00B21B42">
        <w:rPr>
          <w:rFonts w:ascii="Verdana" w:hAnsi="Verdana"/>
          <w:sz w:val="18"/>
          <w:szCs w:val="18"/>
        </w:rPr>
        <w:t>van toepassing. Aan beide maatstaven is een uitgebreide formule verbonden om de hoogte van de frictiekostenvergoeding te berekenen.</w:t>
      </w:r>
      <w:r w:rsidRPr="00BF487A" w:rsidR="00B21B42">
        <w:rPr>
          <w:rStyle w:val="Voetnootmarkering"/>
          <w:rFonts w:ascii="Verdana" w:hAnsi="Verdana"/>
          <w:sz w:val="18"/>
          <w:szCs w:val="18"/>
        </w:rPr>
        <w:footnoteReference w:id="19"/>
      </w:r>
      <w:r w:rsidRPr="00BF487A" w:rsidR="00B21B42">
        <w:rPr>
          <w:rFonts w:ascii="Verdana" w:hAnsi="Verdana"/>
          <w:sz w:val="18"/>
          <w:szCs w:val="18"/>
        </w:rPr>
        <w:t xml:space="preserve"> </w:t>
      </w:r>
    </w:p>
    <w:p w:rsidRPr="00345FD6" w:rsidR="00CA58E2" w:rsidP="00B65449" w:rsidRDefault="00255A9A" w14:paraId="198C1616" w14:textId="77777777">
      <w:pPr>
        <w:rPr>
          <w:rFonts w:ascii="Verdana" w:hAnsi="Verdana"/>
          <w:sz w:val="18"/>
          <w:szCs w:val="18"/>
        </w:rPr>
      </w:pPr>
      <w:r w:rsidRPr="00613F4B">
        <w:rPr>
          <w:rFonts w:ascii="Verdana" w:hAnsi="Verdana"/>
          <w:sz w:val="18"/>
          <w:szCs w:val="18"/>
        </w:rPr>
        <w:t xml:space="preserve">Beide maatstaven (en de daarbij behorende formules) zijn echter niet geschikt in het geval van </w:t>
      </w:r>
      <w:r w:rsidR="00613F4B">
        <w:rPr>
          <w:rFonts w:ascii="Verdana" w:hAnsi="Verdana"/>
          <w:sz w:val="18"/>
          <w:szCs w:val="18"/>
        </w:rPr>
        <w:t>afschaling</w:t>
      </w:r>
      <w:r w:rsidRPr="00613F4B">
        <w:rPr>
          <w:rFonts w:ascii="Verdana" w:hAnsi="Verdana"/>
          <w:sz w:val="18"/>
          <w:szCs w:val="18"/>
        </w:rPr>
        <w:t xml:space="preserve">, omdat de formules uitgaan van een </w:t>
      </w:r>
      <w:r w:rsidRPr="00613F4B">
        <w:rPr>
          <w:rFonts w:ascii="Verdana" w:hAnsi="Verdana"/>
          <w:i/>
          <w:iCs/>
          <w:sz w:val="18"/>
          <w:szCs w:val="18"/>
        </w:rPr>
        <w:t xml:space="preserve">afname </w:t>
      </w:r>
      <w:r w:rsidRPr="00613F4B">
        <w:rPr>
          <w:rFonts w:ascii="Verdana" w:hAnsi="Verdana"/>
          <w:sz w:val="18"/>
          <w:szCs w:val="18"/>
        </w:rPr>
        <w:t xml:space="preserve">van het </w:t>
      </w:r>
      <w:r w:rsidRPr="00613F4B">
        <w:rPr>
          <w:rFonts w:ascii="Verdana" w:hAnsi="Verdana"/>
          <w:sz w:val="18"/>
          <w:szCs w:val="18"/>
        </w:rPr>
        <w:lastRenderedPageBreak/>
        <w:t>aantal gemeenten.</w:t>
      </w:r>
      <w:r w:rsidRPr="00613F4B" w:rsidR="008540A2">
        <w:rPr>
          <w:rFonts w:ascii="Verdana" w:hAnsi="Verdana"/>
          <w:sz w:val="18"/>
          <w:szCs w:val="18"/>
        </w:rPr>
        <w:t xml:space="preserve"> Dit maakt de formules onbruikbaar </w:t>
      </w:r>
      <w:r w:rsidR="00613F4B">
        <w:rPr>
          <w:rFonts w:ascii="Verdana" w:hAnsi="Verdana"/>
          <w:sz w:val="18"/>
          <w:szCs w:val="18"/>
        </w:rPr>
        <w:t xml:space="preserve">bij een afschaling </w:t>
      </w:r>
      <w:r w:rsidRPr="00613F4B" w:rsidR="008540A2">
        <w:rPr>
          <w:rFonts w:ascii="Verdana" w:hAnsi="Verdana"/>
          <w:sz w:val="18"/>
          <w:szCs w:val="18"/>
        </w:rPr>
        <w:t>(waarbij het aantal gemeenten juist toeneemt).</w:t>
      </w:r>
      <w:r w:rsidRPr="00613F4B" w:rsidR="00C45F01">
        <w:rPr>
          <w:rFonts w:ascii="Verdana" w:hAnsi="Verdana"/>
          <w:sz w:val="18"/>
          <w:szCs w:val="18"/>
        </w:rPr>
        <w:t xml:space="preserve"> Mijns inziens voert het echter te ver om een aparte maatstaf in de algemene uitkering van het gemeentefonds op te nemen voor de situatie dat sprake is van gemeentelijke </w:t>
      </w:r>
      <w:r w:rsidR="00BD28BC">
        <w:rPr>
          <w:rFonts w:ascii="Verdana" w:hAnsi="Verdana"/>
          <w:sz w:val="18"/>
          <w:szCs w:val="18"/>
        </w:rPr>
        <w:t>afschaling</w:t>
      </w:r>
      <w:r w:rsidRPr="00613F4B" w:rsidR="00C45F01">
        <w:rPr>
          <w:rFonts w:ascii="Verdana" w:hAnsi="Verdana"/>
          <w:sz w:val="18"/>
          <w:szCs w:val="18"/>
        </w:rPr>
        <w:t xml:space="preserve">. </w:t>
      </w:r>
      <w:r w:rsidR="00CA035C">
        <w:rPr>
          <w:rFonts w:ascii="Verdana" w:hAnsi="Verdana"/>
          <w:sz w:val="18"/>
          <w:szCs w:val="18"/>
        </w:rPr>
        <w:t>D</w:t>
      </w:r>
      <w:r w:rsidRPr="00613F4B" w:rsidR="00C45F01">
        <w:rPr>
          <w:rFonts w:ascii="Verdana" w:hAnsi="Verdana"/>
          <w:sz w:val="18"/>
          <w:szCs w:val="18"/>
        </w:rPr>
        <w:t xml:space="preserve">eze herindelingsvariant </w:t>
      </w:r>
      <w:r w:rsidR="00CA035C">
        <w:rPr>
          <w:rFonts w:ascii="Verdana" w:hAnsi="Verdana"/>
          <w:sz w:val="18"/>
          <w:szCs w:val="18"/>
        </w:rPr>
        <w:t>is sinds 1972 immers niet meer</w:t>
      </w:r>
      <w:r w:rsidRPr="00613F4B" w:rsidR="00C45F01">
        <w:rPr>
          <w:rFonts w:ascii="Verdana" w:hAnsi="Verdana"/>
          <w:sz w:val="18"/>
          <w:szCs w:val="18"/>
        </w:rPr>
        <w:t xml:space="preserve"> voor</w:t>
      </w:r>
      <w:r w:rsidR="00CA035C">
        <w:rPr>
          <w:rFonts w:ascii="Verdana" w:hAnsi="Verdana"/>
          <w:sz w:val="18"/>
          <w:szCs w:val="18"/>
        </w:rPr>
        <w:t>gekomen</w:t>
      </w:r>
      <w:r w:rsidRPr="00613F4B" w:rsidR="00C45F01">
        <w:rPr>
          <w:rFonts w:ascii="Verdana" w:hAnsi="Verdana"/>
          <w:sz w:val="18"/>
          <w:szCs w:val="18"/>
        </w:rPr>
        <w:t xml:space="preserve">. </w:t>
      </w:r>
      <w:r w:rsidRPr="00361A31" w:rsidR="00361A31">
        <w:rPr>
          <w:rFonts w:ascii="Verdana" w:hAnsi="Verdana"/>
          <w:sz w:val="18"/>
          <w:szCs w:val="18"/>
        </w:rPr>
        <w:t>Indien in de praktijk toch sprake zou zijn van gemeentelijke afschaling – die voldoet aan de criteria uit het Beleidskader gemeentelijke herindelingen - dient dus in samenspraak met de betreffende gemeente een maatwerkoplossing te worden gevonden voor de vergoeding van de frictiekosten</w:t>
      </w:r>
      <w:r w:rsidRPr="00613F4B" w:rsidR="00C45F01">
        <w:rPr>
          <w:rFonts w:ascii="Verdana" w:hAnsi="Verdana"/>
          <w:sz w:val="18"/>
          <w:szCs w:val="18"/>
        </w:rPr>
        <w:t>.</w:t>
      </w:r>
      <w:r w:rsidRPr="00345FD6" w:rsidR="00C41CC5">
        <w:rPr>
          <w:rFonts w:ascii="Verdana" w:hAnsi="Verdana"/>
          <w:sz w:val="18"/>
          <w:szCs w:val="18"/>
        </w:rPr>
        <w:t xml:space="preserve"> </w:t>
      </w:r>
    </w:p>
    <w:p w:rsidRPr="00345FD6" w:rsidR="00321CFB" w:rsidP="00B65449" w:rsidRDefault="00321CFB" w14:paraId="2E3815E5" w14:textId="77777777">
      <w:pPr>
        <w:rPr>
          <w:rFonts w:ascii="Verdana" w:hAnsi="Verdana"/>
          <w:sz w:val="18"/>
          <w:szCs w:val="18"/>
        </w:rPr>
      </w:pPr>
      <w:r w:rsidRPr="00345FD6">
        <w:rPr>
          <w:rFonts w:ascii="Verdana" w:hAnsi="Verdana"/>
          <w:sz w:val="18"/>
          <w:szCs w:val="18"/>
        </w:rPr>
        <w:t xml:space="preserve">Het tweede onderwerp waarop in de vijfde paragraaf van het Beleidskader wordt ingegaan, is de </w:t>
      </w:r>
      <w:r w:rsidRPr="00345FD6">
        <w:rPr>
          <w:rFonts w:ascii="Verdana" w:hAnsi="Verdana"/>
          <w:i/>
          <w:iCs/>
          <w:sz w:val="18"/>
          <w:szCs w:val="18"/>
        </w:rPr>
        <w:t xml:space="preserve">herindelingsscan. </w:t>
      </w:r>
      <w:r w:rsidRPr="00345FD6">
        <w:rPr>
          <w:rFonts w:ascii="Verdana" w:hAnsi="Verdana"/>
          <w:sz w:val="18"/>
          <w:szCs w:val="18"/>
        </w:rPr>
        <w:t>Het betreft hier een door het ministerie van BZK ontwikkelde scan waarbij inzicht wordt gegeven in de financiële positie van de huidige gemeenten en de financiële levensvatbaarheid van de nieuwe gemeente. Op verzoek van de betreffende gemeenten voert de provincie de scan uit.</w:t>
      </w:r>
      <w:r w:rsidRPr="00345FD6">
        <w:rPr>
          <w:rStyle w:val="Voetnootmarkering"/>
          <w:rFonts w:ascii="Verdana" w:hAnsi="Verdana"/>
          <w:sz w:val="18"/>
          <w:szCs w:val="18"/>
        </w:rPr>
        <w:footnoteReference w:id="20"/>
      </w:r>
      <w:r w:rsidR="00345FD6">
        <w:rPr>
          <w:rFonts w:ascii="Verdana" w:hAnsi="Verdana"/>
          <w:sz w:val="18"/>
          <w:szCs w:val="18"/>
        </w:rPr>
        <w:t xml:space="preserve"> D</w:t>
      </w:r>
      <w:r w:rsidRPr="00345FD6" w:rsidR="00DC4F7C">
        <w:rPr>
          <w:rFonts w:ascii="Verdana" w:hAnsi="Verdana"/>
          <w:sz w:val="18"/>
          <w:szCs w:val="18"/>
        </w:rPr>
        <w:t xml:space="preserve">eze scan is redelijk ‘vormvrij’ en daarmee </w:t>
      </w:r>
      <w:r w:rsidRPr="00345FD6">
        <w:rPr>
          <w:rFonts w:ascii="Verdana" w:hAnsi="Verdana"/>
          <w:sz w:val="18"/>
          <w:szCs w:val="18"/>
        </w:rPr>
        <w:t>ook</w:t>
      </w:r>
      <w:r w:rsidRPr="00345FD6" w:rsidR="00DC4F7C">
        <w:rPr>
          <w:rFonts w:ascii="Verdana" w:hAnsi="Verdana"/>
          <w:sz w:val="18"/>
          <w:szCs w:val="18"/>
        </w:rPr>
        <w:t xml:space="preserve"> goed</w:t>
      </w:r>
      <w:r w:rsidRPr="00345FD6">
        <w:rPr>
          <w:rFonts w:ascii="Verdana" w:hAnsi="Verdana"/>
          <w:sz w:val="18"/>
          <w:szCs w:val="18"/>
        </w:rPr>
        <w:t xml:space="preserve"> toepasbaar bij </w:t>
      </w:r>
      <w:r w:rsidRPr="00345FD6" w:rsidR="00DC4F7C">
        <w:rPr>
          <w:rFonts w:ascii="Verdana" w:hAnsi="Verdana"/>
          <w:sz w:val="18"/>
          <w:szCs w:val="18"/>
        </w:rPr>
        <w:t>afschaling.</w:t>
      </w:r>
      <w:r w:rsidR="00DC4F7C">
        <w:rPr>
          <w:rFonts w:ascii="Verdana" w:hAnsi="Verdana"/>
          <w:sz w:val="18"/>
          <w:szCs w:val="18"/>
        </w:rPr>
        <w:t xml:space="preserve"> </w:t>
      </w:r>
    </w:p>
    <w:p w:rsidRPr="00345FD6" w:rsidR="00A97863" w:rsidP="00B65449" w:rsidRDefault="00AB1D62" w14:paraId="38ACCC1B" w14:textId="77777777">
      <w:pPr>
        <w:rPr>
          <w:rFonts w:ascii="Verdana" w:hAnsi="Verdana"/>
          <w:sz w:val="18"/>
          <w:szCs w:val="18"/>
        </w:rPr>
      </w:pPr>
      <w:r>
        <w:rPr>
          <w:rFonts w:ascii="Verdana" w:hAnsi="Verdana"/>
          <w:i/>
          <w:iCs/>
          <w:sz w:val="18"/>
          <w:szCs w:val="18"/>
        </w:rPr>
        <w:t>3</w:t>
      </w:r>
      <w:r w:rsidRPr="00DE4261" w:rsidR="00321CFB">
        <w:rPr>
          <w:rFonts w:ascii="Verdana" w:hAnsi="Verdana"/>
          <w:i/>
          <w:iCs/>
          <w:sz w:val="18"/>
          <w:szCs w:val="18"/>
        </w:rPr>
        <w:t>.</w:t>
      </w:r>
      <w:r w:rsidRPr="00DE4261" w:rsidR="002E6CB5">
        <w:rPr>
          <w:rFonts w:ascii="Verdana" w:hAnsi="Verdana"/>
          <w:i/>
          <w:iCs/>
          <w:sz w:val="18"/>
          <w:szCs w:val="18"/>
        </w:rPr>
        <w:t>6</w:t>
      </w:r>
      <w:r w:rsidRPr="00DE4261" w:rsidR="00321CFB">
        <w:rPr>
          <w:rFonts w:ascii="Verdana" w:hAnsi="Verdana"/>
          <w:i/>
          <w:iCs/>
          <w:sz w:val="18"/>
          <w:szCs w:val="18"/>
        </w:rPr>
        <w:t xml:space="preserve">: Zesde paragraaf </w:t>
      </w:r>
      <w:r w:rsidRPr="00DE4261" w:rsidR="00151E0D">
        <w:rPr>
          <w:rFonts w:ascii="Verdana" w:hAnsi="Verdana"/>
          <w:i/>
          <w:iCs/>
          <w:sz w:val="18"/>
          <w:szCs w:val="18"/>
        </w:rPr>
        <w:t>beleidskader (provinciegrensoverschrijdende herindeling)</w:t>
      </w:r>
      <w:r w:rsidR="00A97863">
        <w:rPr>
          <w:rFonts w:ascii="Verdana" w:hAnsi="Verdana"/>
          <w:i/>
          <w:iCs/>
          <w:sz w:val="18"/>
          <w:szCs w:val="18"/>
          <w:u w:val="single"/>
        </w:rPr>
        <w:br/>
      </w:r>
      <w:r w:rsidRPr="00A97863" w:rsidR="00A97863">
        <w:rPr>
          <w:rFonts w:ascii="Verdana" w:hAnsi="Verdana"/>
          <w:sz w:val="18"/>
          <w:szCs w:val="18"/>
        </w:rPr>
        <w:t>De zesde paragraaf van het Beleidskader heeft betrekking op de situatie dat een gemeentelijke herindeling leidt tot een wijziging van de provinciegrens. Dit was bijvoorbeeld het geval bij samenvoeging van Leerdam, Zederik (Zuid-Holland) en Vianen (Utrecht) tot de nieuwe gemeente Vijfheerenlanden (Utrecht).</w:t>
      </w:r>
      <w:r w:rsidRPr="00A97863" w:rsidR="00A97863">
        <w:rPr>
          <w:rStyle w:val="Voetnootmarkering"/>
          <w:rFonts w:ascii="Verdana" w:hAnsi="Verdana"/>
          <w:sz w:val="18"/>
          <w:szCs w:val="18"/>
        </w:rPr>
        <w:footnoteReference w:id="21"/>
      </w:r>
      <w:r w:rsidRPr="00A97863" w:rsidR="00A97863">
        <w:rPr>
          <w:rFonts w:ascii="Verdana" w:hAnsi="Verdana"/>
          <w:sz w:val="18"/>
          <w:szCs w:val="18"/>
        </w:rPr>
        <w:t xml:space="preserve"> Volgens het </w:t>
      </w:r>
      <w:r w:rsidR="00215C43">
        <w:rPr>
          <w:rFonts w:ascii="Verdana" w:hAnsi="Verdana"/>
          <w:sz w:val="18"/>
          <w:szCs w:val="18"/>
        </w:rPr>
        <w:t>B</w:t>
      </w:r>
      <w:r w:rsidRPr="00A97863" w:rsidR="00A97863">
        <w:rPr>
          <w:rFonts w:ascii="Verdana" w:hAnsi="Verdana"/>
          <w:sz w:val="18"/>
          <w:szCs w:val="18"/>
        </w:rPr>
        <w:t xml:space="preserve">eleidskader dient in een dergelijk geval de noodzaak voor een gemeentelijke herindeling het vetrekpunt dient te zijn waarbij een wijziging van de provinciegrenzen het gevolg in. </w:t>
      </w:r>
      <w:r w:rsidRPr="00345FD6" w:rsidR="00A97863">
        <w:rPr>
          <w:rFonts w:ascii="Verdana" w:hAnsi="Verdana"/>
          <w:sz w:val="18"/>
          <w:szCs w:val="18"/>
        </w:rPr>
        <w:t xml:space="preserve">Het herindelingsvoorstel zal dan ook volgens dezelfde criteria worden beoordeeld als gemeentelijke herindelingen waarbij geen provinciegrens wordt gewijzigd. In aanvulling daarop vraagt het kabinet aan de betrokken provincie(s) om de gehanteerde criteria voor de provinciekeuze inzichtelijk te maken in het herindelingsontwerp en herindelingsadvies. Hierbij kan in elk geval gedacht worden aan de voorkeur van de betrokken gemeenteraden en de effecten van de provinciegrenswijziging voor de regionale samenhang. Er dient een indicatie gegeven te worden van de bestuurlijke en financiële gevolgen van de provinciegrenswijziging voor de (bij wet verplichte) samenwerkingsverbanden waar de gemeenten thans deel van uitmaken.  </w:t>
      </w:r>
    </w:p>
    <w:p w:rsidR="00A97863" w:rsidP="00B65449" w:rsidRDefault="00A97863" w14:paraId="581F0073" w14:textId="77777777">
      <w:pPr>
        <w:rPr>
          <w:rFonts w:ascii="Verdana" w:hAnsi="Verdana"/>
          <w:sz w:val="18"/>
          <w:szCs w:val="18"/>
        </w:rPr>
      </w:pPr>
      <w:r>
        <w:rPr>
          <w:rFonts w:ascii="Verdana" w:hAnsi="Verdana"/>
          <w:sz w:val="18"/>
          <w:szCs w:val="18"/>
        </w:rPr>
        <w:t xml:space="preserve">Hoewel ook deze paragraaf uit het Beleidskader duidelijk uitgaat van de situatie van gemeentelijke opschaling, is deze paragraaf </w:t>
      </w:r>
      <w:r w:rsidR="00215C43">
        <w:rPr>
          <w:rFonts w:ascii="Verdana" w:hAnsi="Verdana"/>
          <w:sz w:val="18"/>
          <w:szCs w:val="18"/>
        </w:rPr>
        <w:t xml:space="preserve">ook </w:t>
      </w:r>
      <w:r>
        <w:rPr>
          <w:rFonts w:ascii="Verdana" w:hAnsi="Verdana"/>
          <w:sz w:val="18"/>
          <w:szCs w:val="18"/>
        </w:rPr>
        <w:t xml:space="preserve">bruikbaar in het geval van gemeentelijke </w:t>
      </w:r>
      <w:r w:rsidR="00DE4261">
        <w:rPr>
          <w:rFonts w:ascii="Verdana" w:hAnsi="Verdana"/>
          <w:sz w:val="18"/>
          <w:szCs w:val="18"/>
        </w:rPr>
        <w:t>afschaling</w:t>
      </w:r>
      <w:r>
        <w:rPr>
          <w:rFonts w:ascii="Verdana" w:hAnsi="Verdana"/>
          <w:sz w:val="18"/>
          <w:szCs w:val="18"/>
        </w:rPr>
        <w:t>. Het is immers niet geheel uit te sluiten dat</w:t>
      </w:r>
      <w:r w:rsidR="00DE4261">
        <w:rPr>
          <w:rFonts w:ascii="Verdana" w:hAnsi="Verdana"/>
          <w:sz w:val="18"/>
          <w:szCs w:val="18"/>
        </w:rPr>
        <w:t xml:space="preserve"> afschaling</w:t>
      </w:r>
      <w:r>
        <w:rPr>
          <w:rFonts w:ascii="Verdana" w:hAnsi="Verdana"/>
          <w:sz w:val="18"/>
          <w:szCs w:val="18"/>
        </w:rPr>
        <w:t xml:space="preserve"> gepaard gaat met een wijziging van de provinciegrens. Het is </w:t>
      </w:r>
      <w:r w:rsidR="00215C43">
        <w:rPr>
          <w:rFonts w:ascii="Verdana" w:hAnsi="Verdana"/>
          <w:sz w:val="18"/>
          <w:szCs w:val="18"/>
        </w:rPr>
        <w:t xml:space="preserve">namelijk </w:t>
      </w:r>
      <w:r>
        <w:rPr>
          <w:rFonts w:ascii="Verdana" w:hAnsi="Verdana"/>
          <w:sz w:val="18"/>
          <w:szCs w:val="18"/>
        </w:rPr>
        <w:t xml:space="preserve">mogelijk dat het grondgebied van een te splitsen gemeente over meerdere provincies wordt verdeeld. </w:t>
      </w:r>
      <w:r w:rsidR="002E6CB5">
        <w:rPr>
          <w:rFonts w:ascii="Verdana" w:hAnsi="Verdana"/>
          <w:sz w:val="18"/>
          <w:szCs w:val="18"/>
        </w:rPr>
        <w:t>Ook in een dergelijk geval is het van belang dat het herindelingsadvies inzichtelijk maakt op welke wijze tot de provinciekeuze is gekomen.</w:t>
      </w:r>
    </w:p>
    <w:p w:rsidR="003B057B" w:rsidP="00B65449" w:rsidRDefault="00AB1D62" w14:paraId="3861110C" w14:textId="77777777">
      <w:pPr>
        <w:rPr>
          <w:rFonts w:ascii="Verdana" w:hAnsi="Verdana"/>
          <w:sz w:val="18"/>
          <w:szCs w:val="18"/>
        </w:rPr>
      </w:pPr>
      <w:r>
        <w:rPr>
          <w:rFonts w:ascii="Verdana" w:hAnsi="Verdana"/>
          <w:i/>
          <w:iCs/>
          <w:sz w:val="18"/>
          <w:szCs w:val="18"/>
        </w:rPr>
        <w:t>3</w:t>
      </w:r>
      <w:r w:rsidR="002E6CB5">
        <w:rPr>
          <w:rFonts w:ascii="Verdana" w:hAnsi="Verdana"/>
          <w:i/>
          <w:iCs/>
          <w:sz w:val="18"/>
          <w:szCs w:val="18"/>
        </w:rPr>
        <w:t>.7: Laatste paragraaf beleidskader (overige aspecten)</w:t>
      </w:r>
      <w:r w:rsidR="002E6CB5">
        <w:rPr>
          <w:rFonts w:ascii="Verdana" w:hAnsi="Verdana"/>
          <w:i/>
          <w:iCs/>
          <w:sz w:val="18"/>
          <w:szCs w:val="18"/>
        </w:rPr>
        <w:br/>
      </w:r>
      <w:r w:rsidR="003B057B">
        <w:rPr>
          <w:rFonts w:ascii="Verdana" w:hAnsi="Verdana"/>
          <w:sz w:val="18"/>
          <w:szCs w:val="18"/>
        </w:rPr>
        <w:t xml:space="preserve">De laatste paragraaf van het Beleidskader gaat in op enkele overige aspecten. In de eerste plaats wordt ingegaan op de noodzakelijke voorbereidingen die de betrokken gemeenten voorafgaand aan de herindeling dienen te treffen. Zo stelt het Beleidskader dat gemeenten zeker een jaar voorbereidingstijd nodig hebben </w:t>
      </w:r>
      <w:r w:rsidR="003B057B">
        <w:rPr>
          <w:rFonts w:ascii="Verdana" w:hAnsi="Verdana"/>
          <w:sz w:val="18"/>
          <w:szCs w:val="18"/>
        </w:rPr>
        <w:lastRenderedPageBreak/>
        <w:t>om de nieuwe gemeentelijke organisatie in te stellen. Het kabinet vraagt de betrokken gemeentebesturen hiermee rekening te houden, ook als de gemeente tegen een herindeling is. Verder wordt verwezen naar artikel 79 van de Wet arhi, dat voorschrijft dat de betrokken gemeentebesturen in onderling overleg er zorg voor dragen dat de noodzakelijke voorzieningen tijdig worden voorbereid. De tekst uit het Beleidskader en ook art. 79 van de Wet arhi gaa</w:t>
      </w:r>
      <w:r w:rsidR="00EC45A6">
        <w:rPr>
          <w:rFonts w:ascii="Verdana" w:hAnsi="Verdana"/>
          <w:sz w:val="18"/>
          <w:szCs w:val="18"/>
        </w:rPr>
        <w:t>n</w:t>
      </w:r>
      <w:r w:rsidR="003B057B">
        <w:rPr>
          <w:rFonts w:ascii="Verdana" w:hAnsi="Verdana"/>
          <w:sz w:val="18"/>
          <w:szCs w:val="18"/>
        </w:rPr>
        <w:t xml:space="preserve"> duidelijk uit van de situatie van gemeentelijke opschaling: er wordt immers gesproken van de betrokken </w:t>
      </w:r>
      <w:r w:rsidR="003B057B">
        <w:rPr>
          <w:rFonts w:ascii="Verdana" w:hAnsi="Verdana"/>
          <w:i/>
          <w:iCs/>
          <w:sz w:val="18"/>
          <w:szCs w:val="18"/>
        </w:rPr>
        <w:t xml:space="preserve">gemeenten. </w:t>
      </w:r>
      <w:r w:rsidR="003B057B">
        <w:rPr>
          <w:rFonts w:ascii="Verdana" w:hAnsi="Verdana"/>
          <w:sz w:val="18"/>
          <w:szCs w:val="18"/>
        </w:rPr>
        <w:t xml:space="preserve">Toch is de passage uit het Beleidskader en art. 79 van de Wet arhi relevant bij </w:t>
      </w:r>
      <w:r w:rsidR="00DE4261">
        <w:rPr>
          <w:rFonts w:ascii="Verdana" w:hAnsi="Verdana"/>
          <w:sz w:val="18"/>
          <w:szCs w:val="18"/>
        </w:rPr>
        <w:t>gemeentelijke afschaling.</w:t>
      </w:r>
      <w:r w:rsidR="003B057B">
        <w:rPr>
          <w:rFonts w:ascii="Verdana" w:hAnsi="Verdana"/>
          <w:sz w:val="18"/>
          <w:szCs w:val="18"/>
        </w:rPr>
        <w:t xml:space="preserve"> Ook als er maar één gemeente de herindeling dient voor te bereiden, is het van belang dat de voorbereidingshandelingen tijdig geschieden. Zeker de ontvlechting van de ambtelijke organisatie in twee organisaties zou immers de nodige tijd in beslag kunnen nemen. </w:t>
      </w:r>
    </w:p>
    <w:p w:rsidR="003C4B70" w:rsidP="00B65449" w:rsidRDefault="00EC45A6" w14:paraId="7ED7C7F5" w14:textId="77777777">
      <w:pPr>
        <w:rPr>
          <w:rFonts w:ascii="Verdana" w:hAnsi="Verdana"/>
          <w:sz w:val="18"/>
          <w:szCs w:val="18"/>
        </w:rPr>
      </w:pPr>
      <w:r>
        <w:rPr>
          <w:rFonts w:ascii="Verdana" w:hAnsi="Verdana"/>
          <w:sz w:val="18"/>
          <w:szCs w:val="18"/>
        </w:rPr>
        <w:t xml:space="preserve">In paragraaf 7.2 van het Beleidskader wordt </w:t>
      </w:r>
      <w:r w:rsidR="003B057B">
        <w:rPr>
          <w:rFonts w:ascii="Verdana" w:hAnsi="Verdana"/>
          <w:sz w:val="18"/>
          <w:szCs w:val="18"/>
        </w:rPr>
        <w:t xml:space="preserve">ingegaan op herindelingsverkiezingen en de zittingsduur van de gemeenteraden. </w:t>
      </w:r>
      <w:r w:rsidR="003C4B70">
        <w:rPr>
          <w:rFonts w:ascii="Verdana" w:hAnsi="Verdana"/>
          <w:sz w:val="18"/>
          <w:szCs w:val="18"/>
        </w:rPr>
        <w:t xml:space="preserve">Er wordt beschreven welke gevolgen een herindeling heeft voor de zittingsduur van de oude raden en de nieuwe raad. Hierboven </w:t>
      </w:r>
      <w:r w:rsidR="003B057B">
        <w:rPr>
          <w:rFonts w:ascii="Verdana" w:hAnsi="Verdana"/>
          <w:sz w:val="18"/>
          <w:szCs w:val="18"/>
        </w:rPr>
        <w:t xml:space="preserve">werd al geconstateerd dat de Wet arhi voor wat betreft de herindelingsverkiezingen niet volledig toepasbaar is bij gemeentelijke </w:t>
      </w:r>
      <w:r w:rsidR="00DE4261">
        <w:rPr>
          <w:rFonts w:ascii="Verdana" w:hAnsi="Verdana"/>
          <w:sz w:val="18"/>
          <w:szCs w:val="18"/>
        </w:rPr>
        <w:t>afschaling</w:t>
      </w:r>
      <w:r w:rsidR="003B057B">
        <w:rPr>
          <w:rFonts w:ascii="Verdana" w:hAnsi="Verdana"/>
          <w:sz w:val="18"/>
          <w:szCs w:val="18"/>
        </w:rPr>
        <w:t>. Toch kan met enkele afwijkende bepalingen in de herindelingswet zoveel mogelijk worden aangehaakt bij het kader dat gebruikelijk is bij samenvoegingen. D</w:t>
      </w:r>
      <w:r w:rsidR="003C4B70">
        <w:rPr>
          <w:rFonts w:ascii="Verdana" w:hAnsi="Verdana"/>
          <w:sz w:val="18"/>
          <w:szCs w:val="18"/>
        </w:rPr>
        <w:t xml:space="preserve">it betekent dat hetgeen in het Beleidskader beschreven is over de zittingsduur van de nieuwe gemeenteraad ook van toepassing is bij gemeentelijke </w:t>
      </w:r>
      <w:r w:rsidR="00DE4261">
        <w:rPr>
          <w:rFonts w:ascii="Verdana" w:hAnsi="Verdana"/>
          <w:sz w:val="18"/>
          <w:szCs w:val="18"/>
        </w:rPr>
        <w:t>afschaling.</w:t>
      </w:r>
    </w:p>
    <w:p w:rsidR="003C4B70" w:rsidP="00B65449" w:rsidRDefault="003C4B70" w14:paraId="371EF099" w14:textId="77777777">
      <w:pPr>
        <w:rPr>
          <w:rFonts w:ascii="Verdana" w:hAnsi="Verdana"/>
          <w:sz w:val="18"/>
          <w:szCs w:val="18"/>
        </w:rPr>
      </w:pPr>
      <w:r>
        <w:rPr>
          <w:rFonts w:ascii="Verdana" w:hAnsi="Verdana"/>
          <w:sz w:val="18"/>
          <w:szCs w:val="18"/>
        </w:rPr>
        <w:t>In paragraaf 7.3</w:t>
      </w:r>
      <w:r w:rsidR="00EC45A6">
        <w:rPr>
          <w:rFonts w:ascii="Verdana" w:hAnsi="Verdana"/>
          <w:sz w:val="18"/>
          <w:szCs w:val="18"/>
        </w:rPr>
        <w:t xml:space="preserve"> van het Beleidskader</w:t>
      </w:r>
      <w:r>
        <w:rPr>
          <w:rFonts w:ascii="Verdana" w:hAnsi="Verdana"/>
          <w:sz w:val="18"/>
          <w:szCs w:val="18"/>
        </w:rPr>
        <w:t xml:space="preserve"> wordt vervolgens ingegaan op </w:t>
      </w:r>
      <w:r>
        <w:rPr>
          <w:rFonts w:ascii="Verdana" w:hAnsi="Verdana"/>
          <w:i/>
          <w:iCs/>
          <w:sz w:val="18"/>
          <w:szCs w:val="18"/>
        </w:rPr>
        <w:t xml:space="preserve">bijzondere wettelijke voorzieningen. </w:t>
      </w:r>
      <w:r>
        <w:rPr>
          <w:rFonts w:ascii="Verdana" w:hAnsi="Verdana"/>
          <w:sz w:val="18"/>
          <w:szCs w:val="18"/>
        </w:rPr>
        <w:t xml:space="preserve">Volgens het kabinet is het van belang dat gemeenten tijdig nadenken of de herindelingswet een bijzondere voorziening dient te bevatten. Indien dit het geval is, dient dit te worden vermeld in het herindelingsadvies. Zoals hierboven vermeld, zijn bij </w:t>
      </w:r>
      <w:r w:rsidR="00DE4261">
        <w:rPr>
          <w:rFonts w:ascii="Verdana" w:hAnsi="Verdana"/>
          <w:sz w:val="18"/>
          <w:szCs w:val="18"/>
        </w:rPr>
        <w:t>afschaling</w:t>
      </w:r>
      <w:r>
        <w:rPr>
          <w:rFonts w:ascii="Verdana" w:hAnsi="Verdana"/>
          <w:sz w:val="18"/>
          <w:szCs w:val="18"/>
        </w:rPr>
        <w:t xml:space="preserve"> bijzondere voorzieningen nodig in de herindelingswet, omdat niet elke bepaling van de Wet arhi goed toepasbaar is (bijv. ten aanzien van herindelingsverkiezingen). </w:t>
      </w:r>
      <w:r w:rsidR="00EC45A6">
        <w:rPr>
          <w:rFonts w:ascii="Verdana" w:hAnsi="Verdana"/>
          <w:sz w:val="18"/>
          <w:szCs w:val="18"/>
        </w:rPr>
        <w:t>Het is dan ook van belang dat in het herindelingsadvies wordt aangegeven welke bijzondere voorzieningen nodig zijn.</w:t>
      </w:r>
    </w:p>
    <w:p w:rsidR="00473CE0" w:rsidP="00B65449" w:rsidRDefault="003C4B70" w14:paraId="3900FB51" w14:textId="77777777">
      <w:pPr>
        <w:rPr>
          <w:rFonts w:ascii="Verdana" w:hAnsi="Verdana"/>
          <w:sz w:val="18"/>
          <w:szCs w:val="18"/>
        </w:rPr>
      </w:pPr>
      <w:r>
        <w:rPr>
          <w:rFonts w:ascii="Verdana" w:hAnsi="Verdana"/>
          <w:sz w:val="18"/>
          <w:szCs w:val="18"/>
        </w:rPr>
        <w:t>Tot slot</w:t>
      </w:r>
      <w:r w:rsidR="00473CE0">
        <w:rPr>
          <w:rStyle w:val="Voetnootmarkering"/>
          <w:rFonts w:ascii="Verdana" w:hAnsi="Verdana"/>
          <w:sz w:val="18"/>
          <w:szCs w:val="18"/>
        </w:rPr>
        <w:footnoteReference w:id="22"/>
      </w:r>
      <w:r>
        <w:rPr>
          <w:rFonts w:ascii="Verdana" w:hAnsi="Verdana"/>
          <w:sz w:val="18"/>
          <w:szCs w:val="18"/>
        </w:rPr>
        <w:t xml:space="preserve"> bevat het Beleidskader nog een passage over de </w:t>
      </w:r>
      <w:r>
        <w:rPr>
          <w:rFonts w:ascii="Verdana" w:hAnsi="Verdana"/>
          <w:i/>
          <w:iCs/>
          <w:sz w:val="18"/>
          <w:szCs w:val="18"/>
        </w:rPr>
        <w:t xml:space="preserve">naamgeving </w:t>
      </w:r>
      <w:r>
        <w:rPr>
          <w:rFonts w:ascii="Verdana" w:hAnsi="Verdana"/>
          <w:sz w:val="18"/>
          <w:szCs w:val="18"/>
        </w:rPr>
        <w:t>van de gemeente. Volgens het Beleidskader is het gebruikelijk dat de herindelende gemeenten in het herindelingsadvies een voorkeur opgeven voor de nieuwe gemeentenaam. Deze passage is ook duidelijk geschreven met het oog op een samenvoeging. Zo is onder andere opgenomen dat het de voorkeur heeft om een nieuwe (niet-samengestelde) naam te kiezen voor de nieuwe gemeente of de naam te handhaven van één van de bij de herindeling betrokken gemeenten.</w:t>
      </w:r>
      <w:r w:rsidR="00473CE0">
        <w:rPr>
          <w:rFonts w:ascii="Verdana" w:hAnsi="Verdana"/>
          <w:sz w:val="18"/>
          <w:szCs w:val="18"/>
        </w:rPr>
        <w:t xml:space="preserve"> Toch kan bij</w:t>
      </w:r>
      <w:r w:rsidR="00DE4261">
        <w:rPr>
          <w:rFonts w:ascii="Verdana" w:hAnsi="Verdana"/>
          <w:sz w:val="18"/>
          <w:szCs w:val="18"/>
        </w:rPr>
        <w:t xml:space="preserve"> gemeentelijke afschaling o</w:t>
      </w:r>
      <w:r w:rsidR="00473CE0">
        <w:rPr>
          <w:rFonts w:ascii="Verdana" w:hAnsi="Verdana"/>
          <w:sz w:val="18"/>
          <w:szCs w:val="18"/>
        </w:rPr>
        <w:t>ok al een idee bestaan over hoe de nieuwe gemeenten dienen te heten.</w:t>
      </w:r>
      <w:r w:rsidR="00EC45A6">
        <w:rPr>
          <w:rFonts w:ascii="Verdana" w:hAnsi="Verdana"/>
          <w:sz w:val="18"/>
          <w:szCs w:val="18"/>
        </w:rPr>
        <w:t xml:space="preserve"> In dat geval bestaat er wat mij betreft geen bezwaar dat de ‘oude’ gemeente in het herindelingsadvies de namen van de nieuwe gemeente</w:t>
      </w:r>
      <w:r w:rsidR="00B15CE2">
        <w:rPr>
          <w:rFonts w:ascii="Verdana" w:hAnsi="Verdana"/>
          <w:sz w:val="18"/>
          <w:szCs w:val="18"/>
        </w:rPr>
        <w:t>n</w:t>
      </w:r>
      <w:r w:rsidR="00EC45A6">
        <w:rPr>
          <w:rFonts w:ascii="Verdana" w:hAnsi="Verdana"/>
          <w:sz w:val="18"/>
          <w:szCs w:val="18"/>
        </w:rPr>
        <w:t xml:space="preserve"> aandraagt.</w:t>
      </w:r>
      <w:r w:rsidR="00473CE0">
        <w:rPr>
          <w:rFonts w:ascii="Verdana" w:hAnsi="Verdana"/>
          <w:sz w:val="18"/>
          <w:szCs w:val="18"/>
        </w:rPr>
        <w:t xml:space="preserve"> Indien één van de nieuwe gemeenten toch niet tevreden zou zijn met de gemeentenaam, dan heeft de raad van die gemeente op grond </w:t>
      </w:r>
      <w:r w:rsidR="00473CE0">
        <w:rPr>
          <w:rFonts w:ascii="Verdana" w:hAnsi="Verdana"/>
          <w:sz w:val="18"/>
          <w:szCs w:val="18"/>
        </w:rPr>
        <w:lastRenderedPageBreak/>
        <w:t xml:space="preserve">van art. 158 Gemeentewet de bevoegdheid om de gemeentenaam (alsnog) te wijzigen. </w:t>
      </w:r>
    </w:p>
    <w:p w:rsidR="00E742BA" w:rsidP="00E742BA" w:rsidRDefault="00921E92" w14:paraId="75B6352E" w14:textId="77777777">
      <w:pPr>
        <w:rPr>
          <w:rFonts w:ascii="Verdana" w:hAnsi="Verdana"/>
          <w:sz w:val="18"/>
          <w:szCs w:val="18"/>
        </w:rPr>
      </w:pPr>
      <w:r>
        <w:rPr>
          <w:rFonts w:ascii="Verdana" w:hAnsi="Verdana"/>
          <w:i/>
          <w:iCs/>
          <w:sz w:val="18"/>
          <w:szCs w:val="18"/>
        </w:rPr>
        <w:t>3</w:t>
      </w:r>
      <w:r w:rsidR="00A1423C">
        <w:rPr>
          <w:rFonts w:ascii="Verdana" w:hAnsi="Verdana"/>
          <w:i/>
          <w:iCs/>
          <w:sz w:val="18"/>
          <w:szCs w:val="18"/>
        </w:rPr>
        <w:t>.</w:t>
      </w:r>
      <w:r w:rsidR="00AD3796">
        <w:rPr>
          <w:rFonts w:ascii="Verdana" w:hAnsi="Verdana"/>
          <w:i/>
          <w:iCs/>
          <w:sz w:val="18"/>
          <w:szCs w:val="18"/>
        </w:rPr>
        <w:t>8</w:t>
      </w:r>
      <w:r w:rsidR="00A1423C">
        <w:rPr>
          <w:rFonts w:ascii="Verdana" w:hAnsi="Verdana"/>
          <w:i/>
          <w:iCs/>
          <w:sz w:val="18"/>
          <w:szCs w:val="18"/>
        </w:rPr>
        <w:t>: Conclusie bruikbaarheid Beleidskader bij gemeentelijke afschaling</w:t>
      </w:r>
      <w:r w:rsidR="00A1423C">
        <w:rPr>
          <w:rFonts w:ascii="Verdana" w:hAnsi="Verdana"/>
          <w:i/>
          <w:iCs/>
          <w:sz w:val="18"/>
          <w:szCs w:val="18"/>
        </w:rPr>
        <w:br/>
      </w:r>
      <w:r w:rsidR="00A1423C">
        <w:rPr>
          <w:rFonts w:ascii="Verdana" w:hAnsi="Verdana"/>
          <w:sz w:val="18"/>
          <w:szCs w:val="18"/>
        </w:rPr>
        <w:t>Hoewel het Beleidskader gemeentelijke overduidelijk is geschreven met het oog op gemeentelijke schaalvergroting, zijn veel onderdelen van het Beleidskader</w:t>
      </w:r>
      <w:r w:rsidR="00AD3796">
        <w:rPr>
          <w:rFonts w:ascii="Verdana" w:hAnsi="Verdana"/>
          <w:sz w:val="18"/>
          <w:szCs w:val="18"/>
        </w:rPr>
        <w:t xml:space="preserve"> ook </w:t>
      </w:r>
      <w:r w:rsidR="004062E2">
        <w:rPr>
          <w:rFonts w:ascii="Verdana" w:hAnsi="Verdana"/>
          <w:sz w:val="18"/>
          <w:szCs w:val="18"/>
        </w:rPr>
        <w:t xml:space="preserve">(analoog) </w:t>
      </w:r>
      <w:r w:rsidR="00AD3796">
        <w:rPr>
          <w:rFonts w:ascii="Verdana" w:hAnsi="Verdana"/>
          <w:sz w:val="18"/>
          <w:szCs w:val="18"/>
        </w:rPr>
        <w:t>toe te passen op een herindeling waarbij het aantal gemeenten toeneemt. Juist het belangrijkste onderdeel van het Beleidskader (paragraaf 4; de criteria waaraan een herindeling getoetst wordt) is goed toepasbaar bij gemeentelijke afschaling. Dit maakt dat het Beleidskader ook in het geval van gemeentelijke afschaling voldoende handvatten biedt om te bepalen of een herindeling wenselijk is.</w:t>
      </w:r>
      <w:r w:rsidR="00C41CC5">
        <w:rPr>
          <w:rFonts w:ascii="Verdana" w:hAnsi="Verdana"/>
          <w:sz w:val="18"/>
          <w:szCs w:val="18"/>
        </w:rPr>
        <w:br/>
      </w:r>
      <w:r w:rsidR="00C41CC5">
        <w:rPr>
          <w:rFonts w:ascii="Verdana" w:hAnsi="Verdana"/>
          <w:sz w:val="18"/>
          <w:szCs w:val="18"/>
        </w:rPr>
        <w:br/>
      </w:r>
      <w:r w:rsidR="00AB1D62">
        <w:rPr>
          <w:rFonts w:ascii="Verdana" w:hAnsi="Verdana"/>
          <w:b/>
          <w:bCs/>
          <w:sz w:val="18"/>
          <w:szCs w:val="18"/>
        </w:rPr>
        <w:t>4</w:t>
      </w:r>
      <w:r w:rsidR="00473CE0">
        <w:rPr>
          <w:rFonts w:ascii="Verdana" w:hAnsi="Verdana"/>
          <w:b/>
          <w:bCs/>
          <w:sz w:val="18"/>
          <w:szCs w:val="18"/>
        </w:rPr>
        <w:t xml:space="preserve">. Het Handboek gemeentelijke herindeling en de gemeentelijke </w:t>
      </w:r>
      <w:r w:rsidRPr="00BD28BC" w:rsidR="00BD28BC">
        <w:rPr>
          <w:rFonts w:ascii="Verdana" w:hAnsi="Verdana"/>
          <w:b/>
          <w:bCs/>
          <w:sz w:val="18"/>
          <w:szCs w:val="18"/>
        </w:rPr>
        <w:t>afschaling</w:t>
      </w:r>
      <w:r w:rsidR="00473CE0">
        <w:rPr>
          <w:rFonts w:ascii="Verdana" w:hAnsi="Verdana"/>
          <w:b/>
          <w:bCs/>
          <w:sz w:val="18"/>
          <w:szCs w:val="18"/>
        </w:rPr>
        <w:br/>
      </w:r>
      <w:r w:rsidR="00473CE0">
        <w:rPr>
          <w:rFonts w:ascii="Verdana" w:hAnsi="Verdana"/>
          <w:b/>
          <w:bCs/>
          <w:sz w:val="18"/>
          <w:szCs w:val="18"/>
        </w:rPr>
        <w:br/>
      </w:r>
      <w:r w:rsidR="00E742BA">
        <w:rPr>
          <w:rFonts w:ascii="Verdana" w:hAnsi="Verdana"/>
          <w:sz w:val="18"/>
          <w:szCs w:val="18"/>
        </w:rPr>
        <w:t>Het handboek is - naast een beschrijving van proces dat volgt uit beleidskader/Wet arhi - vooral een verzameling van inzichten/praktische tips die volgen uit ervaringen met eerdere herindelingen.</w:t>
      </w:r>
      <w:r w:rsidR="00B600BC">
        <w:rPr>
          <w:rFonts w:ascii="Verdana" w:hAnsi="Verdana"/>
          <w:sz w:val="18"/>
          <w:szCs w:val="18"/>
        </w:rPr>
        <w:t xml:space="preserve"> Dit betroffen uitsluitend herindelingen waarbij </w:t>
      </w:r>
      <w:r w:rsidR="00AD3796">
        <w:rPr>
          <w:rFonts w:ascii="Verdana" w:hAnsi="Verdana"/>
          <w:sz w:val="18"/>
          <w:szCs w:val="18"/>
        </w:rPr>
        <w:t>sprake was van schaalvergroting.</w:t>
      </w:r>
      <w:r w:rsidR="00B600BC">
        <w:rPr>
          <w:rFonts w:ascii="Verdana" w:hAnsi="Verdana"/>
          <w:sz w:val="18"/>
          <w:szCs w:val="18"/>
        </w:rPr>
        <w:t xml:space="preserve"> Dit betekent dat niet alle inzichten/tips die in het Handboek zijn beschreven zijn toe te passen bij gemeentelijke afschaling. </w:t>
      </w:r>
      <w:r w:rsidR="00E742BA">
        <w:rPr>
          <w:rFonts w:ascii="Verdana" w:hAnsi="Verdana"/>
          <w:sz w:val="18"/>
          <w:szCs w:val="18"/>
        </w:rPr>
        <w:t xml:space="preserve"> </w:t>
      </w:r>
    </w:p>
    <w:p w:rsidR="00471313" w:rsidP="00845ECB" w:rsidRDefault="00473CE0" w14:paraId="6A230EFC" w14:textId="77777777">
      <w:pPr>
        <w:rPr>
          <w:rFonts w:ascii="Verdana" w:hAnsi="Verdana"/>
          <w:sz w:val="18"/>
          <w:szCs w:val="18"/>
        </w:rPr>
      </w:pPr>
      <w:r>
        <w:rPr>
          <w:rFonts w:ascii="Verdana" w:hAnsi="Verdana"/>
          <w:b/>
          <w:bCs/>
          <w:sz w:val="18"/>
          <w:szCs w:val="18"/>
        </w:rPr>
        <w:t>Conclusie</w:t>
      </w:r>
      <w:r w:rsidR="00845ECB">
        <w:rPr>
          <w:rFonts w:ascii="Verdana" w:hAnsi="Verdana"/>
          <w:b/>
          <w:bCs/>
          <w:sz w:val="18"/>
          <w:szCs w:val="18"/>
        </w:rPr>
        <w:br/>
      </w:r>
      <w:r>
        <w:rPr>
          <w:rFonts w:ascii="Verdana" w:hAnsi="Verdana"/>
          <w:b/>
          <w:bCs/>
          <w:sz w:val="18"/>
          <w:szCs w:val="18"/>
        </w:rPr>
        <w:br/>
      </w:r>
      <w:bookmarkStart w:name="_Hlk185253960" w:id="3"/>
      <w:r w:rsidR="00F7261C">
        <w:rPr>
          <w:rFonts w:ascii="Verdana" w:hAnsi="Verdana"/>
          <w:sz w:val="18"/>
          <w:szCs w:val="18"/>
        </w:rPr>
        <w:t xml:space="preserve">Al met </w:t>
      </w:r>
      <w:r w:rsidR="00907439">
        <w:rPr>
          <w:rFonts w:ascii="Verdana" w:hAnsi="Verdana"/>
          <w:sz w:val="18"/>
          <w:szCs w:val="18"/>
        </w:rPr>
        <w:t xml:space="preserve">al </w:t>
      </w:r>
      <w:r w:rsidR="00106C48">
        <w:rPr>
          <w:rFonts w:ascii="Verdana" w:hAnsi="Verdana"/>
          <w:sz w:val="18"/>
          <w:szCs w:val="18"/>
        </w:rPr>
        <w:t>kan</w:t>
      </w:r>
      <w:r w:rsidR="00F7261C">
        <w:rPr>
          <w:rFonts w:ascii="Verdana" w:hAnsi="Verdana"/>
          <w:sz w:val="18"/>
          <w:szCs w:val="18"/>
        </w:rPr>
        <w:t xml:space="preserve"> </w:t>
      </w:r>
      <w:r w:rsidR="00106C48">
        <w:rPr>
          <w:rFonts w:ascii="Verdana" w:hAnsi="Verdana"/>
          <w:sz w:val="18"/>
          <w:szCs w:val="18"/>
        </w:rPr>
        <w:t xml:space="preserve">de conclusie zijn </w:t>
      </w:r>
      <w:r w:rsidR="00F7261C">
        <w:rPr>
          <w:rFonts w:ascii="Verdana" w:hAnsi="Verdana"/>
          <w:sz w:val="18"/>
          <w:szCs w:val="18"/>
        </w:rPr>
        <w:t xml:space="preserve">dat zowel de Wet arhi, het Beleidskader gemeentelijke herindeling als het Handboek gemeentelijke herindeling duidelijk zijn geschreven met het oog op een herindeling waarbij sprake is van een schaalvergroting. </w:t>
      </w:r>
      <w:r w:rsidR="00157163">
        <w:rPr>
          <w:rFonts w:ascii="Verdana" w:hAnsi="Verdana"/>
          <w:sz w:val="18"/>
          <w:szCs w:val="18"/>
        </w:rPr>
        <w:t xml:space="preserve">Ook de frictiekostenvergoeding </w:t>
      </w:r>
      <w:r w:rsidR="00116F3A">
        <w:rPr>
          <w:rFonts w:ascii="Verdana" w:hAnsi="Verdana"/>
          <w:sz w:val="18"/>
          <w:szCs w:val="18"/>
        </w:rPr>
        <w:t>voor herindeling uit</w:t>
      </w:r>
      <w:r w:rsidR="00157163">
        <w:rPr>
          <w:rFonts w:ascii="Verdana" w:hAnsi="Verdana"/>
          <w:sz w:val="18"/>
          <w:szCs w:val="18"/>
        </w:rPr>
        <w:t xml:space="preserve"> het gemeentefonds gaat uit van een herindeling waarbij het aantal gemeenten vermindert. </w:t>
      </w:r>
      <w:r w:rsidR="00B6300C">
        <w:rPr>
          <w:rFonts w:ascii="Verdana" w:hAnsi="Verdana"/>
          <w:sz w:val="18"/>
          <w:szCs w:val="18"/>
        </w:rPr>
        <w:br/>
      </w:r>
      <w:r w:rsidR="00157163">
        <w:rPr>
          <w:rFonts w:ascii="Verdana" w:hAnsi="Verdana"/>
          <w:sz w:val="18"/>
          <w:szCs w:val="18"/>
        </w:rPr>
        <w:br/>
      </w:r>
      <w:r w:rsidR="00F7261C">
        <w:rPr>
          <w:rFonts w:ascii="Verdana" w:hAnsi="Verdana"/>
          <w:sz w:val="18"/>
          <w:szCs w:val="18"/>
        </w:rPr>
        <w:t xml:space="preserve">Toch betekent dit niet dat de Wet arhi, het Beleidskader en het Handboek onbruikbaar zijn bij gemeentelijke afschaling. Zo geldt voor de Wet arhi dat een groot aantal bepalingen ook bij gemeentelijke afschaling kan worden toegepast. </w:t>
      </w:r>
      <w:r w:rsidR="00471313">
        <w:rPr>
          <w:rFonts w:ascii="Verdana" w:hAnsi="Verdana"/>
          <w:sz w:val="18"/>
          <w:szCs w:val="18"/>
        </w:rPr>
        <w:t xml:space="preserve">Het betreft hier met name de bepalingen over de procedure voorafgaand aan een herindeling. Bepalingen uit de Wet arhi die bij een </w:t>
      </w:r>
      <w:r w:rsidR="00BD28BC">
        <w:rPr>
          <w:rFonts w:ascii="Verdana" w:hAnsi="Verdana"/>
          <w:sz w:val="18"/>
          <w:szCs w:val="18"/>
        </w:rPr>
        <w:t>afschaling</w:t>
      </w:r>
      <w:r w:rsidR="00471313">
        <w:rPr>
          <w:rFonts w:ascii="Verdana" w:hAnsi="Verdana"/>
          <w:sz w:val="18"/>
          <w:szCs w:val="18"/>
        </w:rPr>
        <w:t xml:space="preserve"> niet altijd goed kunnen worden toegepast, of ongewenste gevolgen hebben, betreffen met name bepalingen inzake de rechtsgevolgen van een herindeling. Voor dergelijke bepalingen is het echter </w:t>
      </w:r>
      <w:r w:rsidR="00A1423C">
        <w:rPr>
          <w:rFonts w:ascii="Verdana" w:hAnsi="Verdana"/>
          <w:sz w:val="18"/>
          <w:szCs w:val="18"/>
        </w:rPr>
        <w:t xml:space="preserve">mogelijk om in de herindelingswet </w:t>
      </w:r>
      <w:r w:rsidR="00845ECB">
        <w:rPr>
          <w:rFonts w:ascii="Verdana" w:hAnsi="Verdana"/>
          <w:sz w:val="18"/>
          <w:szCs w:val="18"/>
        </w:rPr>
        <w:t>passende maatwerkvoorzieningen te treffen.</w:t>
      </w:r>
      <w:r w:rsidR="00921E92">
        <w:rPr>
          <w:rFonts w:ascii="Verdana" w:hAnsi="Verdana"/>
          <w:sz w:val="18"/>
          <w:szCs w:val="18"/>
        </w:rPr>
        <w:t xml:space="preserve"> </w:t>
      </w:r>
    </w:p>
    <w:p w:rsidR="00845ECB" w:rsidP="00845ECB" w:rsidRDefault="00A1423C" w14:paraId="5E02BB54" w14:textId="77777777">
      <w:pPr>
        <w:rPr>
          <w:rFonts w:ascii="Verdana" w:hAnsi="Verdana"/>
          <w:sz w:val="18"/>
          <w:szCs w:val="18"/>
        </w:rPr>
      </w:pPr>
      <w:r>
        <w:rPr>
          <w:rFonts w:ascii="Verdana" w:hAnsi="Verdana"/>
          <w:sz w:val="18"/>
          <w:szCs w:val="18"/>
        </w:rPr>
        <w:t xml:space="preserve">Ook het </w:t>
      </w:r>
      <w:r w:rsidR="00845ECB">
        <w:rPr>
          <w:rFonts w:ascii="Verdana" w:hAnsi="Verdana"/>
          <w:sz w:val="18"/>
          <w:szCs w:val="18"/>
        </w:rPr>
        <w:t>Beleidskader is op veel onderdelen</w:t>
      </w:r>
      <w:r w:rsidR="00ED7270">
        <w:rPr>
          <w:rFonts w:ascii="Verdana" w:hAnsi="Verdana"/>
          <w:sz w:val="18"/>
          <w:szCs w:val="18"/>
        </w:rPr>
        <w:t xml:space="preserve"> analoog</w:t>
      </w:r>
      <w:r w:rsidR="00845ECB">
        <w:rPr>
          <w:rFonts w:ascii="Verdana" w:hAnsi="Verdana"/>
          <w:sz w:val="18"/>
          <w:szCs w:val="18"/>
        </w:rPr>
        <w:t xml:space="preserve"> toe te passen bij gemeentelijke afschaling. Juist het belangrijkste onderdeel van het Beleidskader (paragraaf 4; de criteria waaraan een herindeling getoetst wordt) is onverminderd relevant bij gemeentelijke afschaling. </w:t>
      </w:r>
      <w:r w:rsidR="001A37BB">
        <w:rPr>
          <w:rFonts w:ascii="Verdana" w:hAnsi="Verdana"/>
          <w:sz w:val="18"/>
          <w:szCs w:val="18"/>
        </w:rPr>
        <w:t xml:space="preserve">Het Handboek gemeentelijke herindeling is minder goed bruikbaar, omdat de inzichten en processen die daarin zijn beschreven enkel zijn gebaseerd op eerdere ervaringen die uitsluitend schaalvergroting betroffen. Toch zijn ook enkele onderdelen van het Handboek bruikbaar bij gemeentelijke afschaling. Het betreft hier vooral de tips die betrekking hebben op de inrichting van de nieuwe gemeente(n). </w:t>
      </w:r>
    </w:p>
    <w:p w:rsidR="00116F3A" w:rsidP="00845ECB" w:rsidRDefault="001A37BB" w14:paraId="29D960EE" w14:textId="77777777">
      <w:pPr>
        <w:rPr>
          <w:rFonts w:ascii="Verdana" w:hAnsi="Verdana"/>
          <w:sz w:val="18"/>
          <w:szCs w:val="18"/>
        </w:rPr>
      </w:pPr>
      <w:r>
        <w:rPr>
          <w:rFonts w:ascii="Verdana" w:hAnsi="Verdana"/>
          <w:sz w:val="18"/>
          <w:szCs w:val="18"/>
        </w:rPr>
        <w:lastRenderedPageBreak/>
        <w:t xml:space="preserve">Bovenstaande doet wellicht de vraag rijzen of de Wet arhi, het Beleidskader en het Handboek gemeentelijke herindeling dienen te worden aangepast zodat ook </w:t>
      </w:r>
      <w:r w:rsidRPr="00C41CC5">
        <w:rPr>
          <w:rFonts w:ascii="Verdana" w:hAnsi="Verdana"/>
          <w:i/>
          <w:iCs/>
          <w:sz w:val="18"/>
          <w:szCs w:val="18"/>
        </w:rPr>
        <w:t xml:space="preserve">expliciet </w:t>
      </w:r>
      <w:r>
        <w:rPr>
          <w:rFonts w:ascii="Verdana" w:hAnsi="Verdana"/>
          <w:sz w:val="18"/>
          <w:szCs w:val="18"/>
        </w:rPr>
        <w:t xml:space="preserve">rekening wordt gehouden met de mogelijkheid van afschaling. Mijns inziens luidt het antwoord op die vraag ontkennend. </w:t>
      </w:r>
      <w:r w:rsidR="00B15CE2">
        <w:rPr>
          <w:rFonts w:ascii="Verdana" w:hAnsi="Verdana"/>
          <w:sz w:val="18"/>
          <w:szCs w:val="18"/>
        </w:rPr>
        <w:t xml:space="preserve">In de eerste plaats staat het de wetgever altijd vrij om gemeenten </w:t>
      </w:r>
      <w:r w:rsidR="00ED7270">
        <w:rPr>
          <w:rFonts w:ascii="Verdana" w:hAnsi="Verdana"/>
          <w:sz w:val="18"/>
          <w:szCs w:val="18"/>
        </w:rPr>
        <w:t>af te schalen</w:t>
      </w:r>
      <w:r w:rsidR="00B15CE2">
        <w:rPr>
          <w:rFonts w:ascii="Verdana" w:hAnsi="Verdana"/>
          <w:sz w:val="18"/>
          <w:szCs w:val="18"/>
        </w:rPr>
        <w:t xml:space="preserve">. Noch de Wet arhi, noch het </w:t>
      </w:r>
      <w:r w:rsidR="00120B53">
        <w:rPr>
          <w:rFonts w:ascii="Verdana" w:hAnsi="Verdana"/>
          <w:sz w:val="18"/>
          <w:szCs w:val="18"/>
        </w:rPr>
        <w:t>B</w:t>
      </w:r>
      <w:r w:rsidR="00B15CE2">
        <w:rPr>
          <w:rFonts w:ascii="Verdana" w:hAnsi="Verdana"/>
          <w:sz w:val="18"/>
          <w:szCs w:val="18"/>
        </w:rPr>
        <w:t xml:space="preserve">eleidskader of </w:t>
      </w:r>
      <w:r w:rsidR="00120B53">
        <w:rPr>
          <w:rFonts w:ascii="Verdana" w:hAnsi="Verdana"/>
          <w:sz w:val="18"/>
          <w:szCs w:val="18"/>
        </w:rPr>
        <w:t>H</w:t>
      </w:r>
      <w:r w:rsidR="00B15CE2">
        <w:rPr>
          <w:rFonts w:ascii="Verdana" w:hAnsi="Verdana"/>
          <w:sz w:val="18"/>
          <w:szCs w:val="18"/>
        </w:rPr>
        <w:t>an</w:t>
      </w:r>
      <w:r w:rsidR="00120B53">
        <w:rPr>
          <w:rFonts w:ascii="Verdana" w:hAnsi="Verdana"/>
          <w:sz w:val="18"/>
          <w:szCs w:val="18"/>
        </w:rPr>
        <w:t>d</w:t>
      </w:r>
      <w:r w:rsidR="00B15CE2">
        <w:rPr>
          <w:rFonts w:ascii="Verdana" w:hAnsi="Verdana"/>
          <w:sz w:val="18"/>
          <w:szCs w:val="18"/>
        </w:rPr>
        <w:t xml:space="preserve">boek doen iets af aan die bevoegdheid. </w:t>
      </w:r>
      <w:r>
        <w:rPr>
          <w:rFonts w:ascii="Verdana" w:hAnsi="Verdana"/>
          <w:sz w:val="18"/>
          <w:szCs w:val="18"/>
        </w:rPr>
        <w:t xml:space="preserve">Zoals hierboven aangegeven is een aanzienlijk deel van de bestaande kaders </w:t>
      </w:r>
      <w:r w:rsidR="00B15CE2">
        <w:rPr>
          <w:rFonts w:ascii="Verdana" w:hAnsi="Verdana"/>
          <w:sz w:val="18"/>
          <w:szCs w:val="18"/>
        </w:rPr>
        <w:t xml:space="preserve">bovendien </w:t>
      </w:r>
      <w:r>
        <w:rPr>
          <w:rFonts w:ascii="Verdana" w:hAnsi="Verdana"/>
          <w:sz w:val="18"/>
          <w:szCs w:val="18"/>
        </w:rPr>
        <w:t>nu al (analoog) toe te passen bij gemeentelijke afschaling.</w:t>
      </w:r>
      <w:r w:rsidR="006E222F">
        <w:rPr>
          <w:rFonts w:ascii="Verdana" w:hAnsi="Verdana"/>
          <w:sz w:val="18"/>
          <w:szCs w:val="18"/>
        </w:rPr>
        <w:t xml:space="preserve"> </w:t>
      </w:r>
      <w:r w:rsidRPr="006E222F" w:rsidR="006E222F">
        <w:rPr>
          <w:rFonts w:ascii="Verdana" w:hAnsi="Verdana"/>
          <w:sz w:val="18"/>
          <w:szCs w:val="18"/>
        </w:rPr>
        <w:t>Ook de omstandigheid dat gemeentelijke afschalingen in de toekomst naar verwachting niet of nauwelijks voor zullen komen maakt dat ik het niet opportuun acht om tot aanpassing van de bestaande kaders over te gaan</w:t>
      </w:r>
      <w:r w:rsidR="006E222F">
        <w:rPr>
          <w:rFonts w:ascii="Verdana" w:hAnsi="Verdana"/>
          <w:sz w:val="18"/>
          <w:szCs w:val="18"/>
        </w:rPr>
        <w:t>.</w:t>
      </w:r>
      <w:r w:rsidR="008D3578">
        <w:rPr>
          <w:rFonts w:ascii="Verdana" w:hAnsi="Verdana"/>
          <w:sz w:val="18"/>
          <w:szCs w:val="18"/>
        </w:rPr>
        <w:t xml:space="preserve"> Waar nodig kan in de betreffende herindelingswet worden voorzien in maatwerkbepalingen</w:t>
      </w:r>
      <w:bookmarkEnd w:id="3"/>
      <w:r w:rsidR="008D3578">
        <w:rPr>
          <w:rFonts w:ascii="Verdana" w:hAnsi="Verdana"/>
          <w:sz w:val="18"/>
          <w:szCs w:val="18"/>
        </w:rPr>
        <w:t xml:space="preserve">. </w:t>
      </w:r>
      <w:r w:rsidR="00116F3A">
        <w:rPr>
          <w:rFonts w:ascii="Verdana" w:hAnsi="Verdana"/>
          <w:sz w:val="18"/>
          <w:szCs w:val="18"/>
        </w:rPr>
        <w:br/>
      </w:r>
    </w:p>
    <w:p w:rsidRPr="008D3578" w:rsidR="008D3578" w:rsidP="00845ECB" w:rsidRDefault="00116F3A" w14:paraId="13685505" w14:textId="77777777">
      <w:pPr>
        <w:rPr>
          <w:rFonts w:ascii="Verdana" w:hAnsi="Verdana"/>
          <w:sz w:val="18"/>
          <w:szCs w:val="18"/>
        </w:rPr>
      </w:pPr>
      <w:r>
        <w:rPr>
          <w:rFonts w:ascii="Verdana" w:hAnsi="Verdana"/>
          <w:sz w:val="18"/>
          <w:szCs w:val="18"/>
        </w:rPr>
        <w:t>De Minister van Binnenlandse Zaken en Koninkrijksrelaties,</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t xml:space="preserve">J.J.M. Uitermark </w:t>
      </w:r>
    </w:p>
    <w:p w:rsidR="008D3578" w:rsidP="00845ECB" w:rsidRDefault="008D3578" w14:paraId="24924A07" w14:textId="77777777">
      <w:pPr>
        <w:rPr>
          <w:rFonts w:ascii="Verdana" w:hAnsi="Verdana"/>
          <w:sz w:val="18"/>
          <w:szCs w:val="18"/>
        </w:rPr>
      </w:pPr>
    </w:p>
    <w:p w:rsidR="008D3578" w:rsidP="00845ECB" w:rsidRDefault="008D3578" w14:paraId="1B2EC4A3" w14:textId="77777777">
      <w:pPr>
        <w:rPr>
          <w:rFonts w:ascii="Verdana" w:hAnsi="Verdana"/>
          <w:sz w:val="18"/>
          <w:szCs w:val="18"/>
        </w:rPr>
      </w:pPr>
    </w:p>
    <w:p w:rsidR="00473CE0" w:rsidP="00B65449" w:rsidRDefault="00473CE0" w14:paraId="6C3A6FBD" w14:textId="77777777">
      <w:pPr>
        <w:rPr>
          <w:rFonts w:ascii="Verdana" w:hAnsi="Verdana"/>
          <w:sz w:val="18"/>
          <w:szCs w:val="18"/>
        </w:rPr>
      </w:pPr>
    </w:p>
    <w:p w:rsidRPr="00473CE0" w:rsidR="00473CE0" w:rsidP="00B65449" w:rsidRDefault="00473CE0" w14:paraId="18DD8D4A" w14:textId="77777777">
      <w:pPr>
        <w:rPr>
          <w:rFonts w:ascii="Verdana" w:hAnsi="Verdana"/>
          <w:b/>
          <w:bCs/>
          <w:sz w:val="18"/>
          <w:szCs w:val="18"/>
        </w:rPr>
      </w:pPr>
    </w:p>
    <w:p w:rsidRPr="003B057B" w:rsidR="003B057B" w:rsidP="00B65449" w:rsidRDefault="003B057B" w14:paraId="06820B74" w14:textId="77777777">
      <w:pPr>
        <w:rPr>
          <w:rFonts w:ascii="Verdana" w:hAnsi="Verdana"/>
          <w:sz w:val="18"/>
          <w:szCs w:val="18"/>
        </w:rPr>
      </w:pPr>
      <w:r>
        <w:rPr>
          <w:rFonts w:ascii="Verdana" w:hAnsi="Verdana"/>
          <w:sz w:val="18"/>
          <w:szCs w:val="18"/>
        </w:rPr>
        <w:t xml:space="preserve"> </w:t>
      </w:r>
    </w:p>
    <w:p w:rsidRPr="00C41CC5" w:rsidR="002E6CB5" w:rsidP="00B65449" w:rsidRDefault="002E6CB5" w14:paraId="45FE2420" w14:textId="77777777">
      <w:pPr>
        <w:rPr>
          <w:rFonts w:ascii="Verdana" w:hAnsi="Verdana"/>
          <w:i/>
          <w:iCs/>
          <w:sz w:val="18"/>
          <w:szCs w:val="18"/>
        </w:rPr>
      </w:pPr>
    </w:p>
    <w:p w:rsidR="00F35CDD" w:rsidP="00116F3A" w:rsidRDefault="00F35CDD" w14:paraId="41BCC84D" w14:textId="77777777"/>
    <w:sectPr w:rsidR="00F35CDD">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498E" w14:textId="77777777" w:rsidR="00910DB9" w:rsidRDefault="00910DB9">
      <w:pPr>
        <w:spacing w:after="0" w:line="240" w:lineRule="auto"/>
      </w:pPr>
      <w:r>
        <w:separator/>
      </w:r>
    </w:p>
  </w:endnote>
  <w:endnote w:type="continuationSeparator" w:id="0">
    <w:p w14:paraId="0941B26E" w14:textId="77777777" w:rsidR="00910DB9" w:rsidRDefault="0091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260" w14:textId="77777777" w:rsidR="00974FDB" w:rsidRDefault="00974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096B" w14:textId="77777777" w:rsidR="00974FDB" w:rsidRDefault="00974F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DE35" w14:textId="77777777" w:rsidR="00974FDB" w:rsidRDefault="00974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A496" w14:textId="77777777" w:rsidR="00910DB9" w:rsidRDefault="00910DB9">
      <w:pPr>
        <w:spacing w:after="0" w:line="240" w:lineRule="auto"/>
      </w:pPr>
      <w:r>
        <w:separator/>
      </w:r>
    </w:p>
  </w:footnote>
  <w:footnote w:type="continuationSeparator" w:id="0">
    <w:p w14:paraId="0744D788" w14:textId="77777777" w:rsidR="00910DB9" w:rsidRDefault="00910DB9">
      <w:pPr>
        <w:spacing w:after="0" w:line="240" w:lineRule="auto"/>
      </w:pPr>
      <w:r>
        <w:continuationSeparator/>
      </w:r>
    </w:p>
  </w:footnote>
  <w:footnote w:id="1">
    <w:p w14:paraId="2E4172F6" w14:textId="77777777" w:rsidR="00FC5C79" w:rsidRPr="00372248" w:rsidRDefault="00FC5C79" w:rsidP="00FC5C79">
      <w:pPr>
        <w:pStyle w:val="Voetnoottekst"/>
        <w:rPr>
          <w:rFonts w:cstheme="minorHAnsi"/>
        </w:rPr>
      </w:pPr>
      <w:r w:rsidRPr="00372248">
        <w:rPr>
          <w:rStyle w:val="Voetnootmarkering"/>
          <w:rFonts w:cstheme="minorHAnsi"/>
        </w:rPr>
        <w:footnoteRef/>
      </w:r>
      <w:r w:rsidRPr="00372248">
        <w:rPr>
          <w:rFonts w:cstheme="minorHAnsi"/>
        </w:rPr>
        <w:t xml:space="preserve"> Handelingen II </w:t>
      </w:r>
      <w:r w:rsidR="004E6307" w:rsidRPr="00372248">
        <w:rPr>
          <w:rFonts w:cstheme="minorHAnsi"/>
        </w:rPr>
        <w:t xml:space="preserve">2022/23, nr. 50, item 6, p. 4. </w:t>
      </w:r>
    </w:p>
  </w:footnote>
  <w:footnote w:id="2">
    <w:p w14:paraId="1FE41F7C" w14:textId="77777777" w:rsidR="00AF2752" w:rsidRDefault="00AF2752">
      <w:pPr>
        <w:pStyle w:val="Voetnoottekst"/>
      </w:pPr>
      <w:r w:rsidRPr="00372248">
        <w:rPr>
          <w:rStyle w:val="Voetnootmarkering"/>
          <w:rFonts w:cstheme="minorHAnsi"/>
        </w:rPr>
        <w:footnoteRef/>
      </w:r>
      <w:r w:rsidRPr="00372248">
        <w:rPr>
          <w:rFonts w:cstheme="minorHAnsi"/>
        </w:rPr>
        <w:t xml:space="preserve"> </w:t>
      </w:r>
      <w:r w:rsidR="0064068E" w:rsidRPr="00372248">
        <w:rPr>
          <w:rFonts w:cstheme="minorHAnsi"/>
        </w:rPr>
        <w:t>Bij samenvoegingen is het ook gebruikelijk dat alle bij de herindeling betrokken gemeenten worden opgeheven en een nieuwe gemeente wordt ingesteld. In enkele gevallen (zoals bij de herindeling van Amsterdam en Weesp) is sprake geweest van een</w:t>
      </w:r>
      <w:r w:rsidR="00B06D56" w:rsidRPr="00372248">
        <w:rPr>
          <w:rFonts w:cstheme="minorHAnsi"/>
        </w:rPr>
        <w:t xml:space="preserve"> zogenoemde</w:t>
      </w:r>
      <w:r w:rsidR="0064068E" w:rsidRPr="00372248">
        <w:rPr>
          <w:rFonts w:cstheme="minorHAnsi"/>
        </w:rPr>
        <w:t xml:space="preserve"> ‘lichte samenvoeging’: ten minste één van de bij de herindeling betrokken gemeenten wordt dan niet opgeheven. </w:t>
      </w:r>
      <w:r w:rsidR="00921E92" w:rsidRPr="00372248">
        <w:rPr>
          <w:rFonts w:cstheme="minorHAnsi"/>
        </w:rPr>
        <w:t>Of bij een afschaling deze constructie ook goed toepasbaar is (‘lichte afschaling’) is voor deze brief niet onderzocht.</w:t>
      </w:r>
      <w:r w:rsidR="00921E92">
        <w:t xml:space="preserve"> </w:t>
      </w:r>
    </w:p>
  </w:footnote>
  <w:footnote w:id="3">
    <w:p w14:paraId="0D98A2E7" w14:textId="77777777" w:rsidR="00B65449" w:rsidRPr="00372248" w:rsidRDefault="00B65449" w:rsidP="001F15A3">
      <w:pPr>
        <w:pStyle w:val="Voetnoottekst"/>
        <w:rPr>
          <w:rFonts w:cstheme="minorHAnsi"/>
        </w:rPr>
      </w:pPr>
      <w:r w:rsidRPr="00372248">
        <w:rPr>
          <w:rStyle w:val="Voetnootmarkering"/>
          <w:rFonts w:cstheme="minorHAnsi"/>
        </w:rPr>
        <w:footnoteRef/>
      </w:r>
      <w:r w:rsidRPr="00372248">
        <w:rPr>
          <w:rFonts w:cstheme="minorHAnsi"/>
        </w:rPr>
        <w:t xml:space="preserve"> T&amp;C Wet arhi, inleiding, aant. 2. </w:t>
      </w:r>
    </w:p>
  </w:footnote>
  <w:footnote w:id="4">
    <w:p w14:paraId="33AE3D01" w14:textId="77777777" w:rsidR="00B65449" w:rsidRPr="00372248" w:rsidRDefault="00B65449" w:rsidP="001F15A3">
      <w:pPr>
        <w:pStyle w:val="Voetnoottekst"/>
        <w:rPr>
          <w:rFonts w:cstheme="minorHAnsi"/>
        </w:rPr>
      </w:pPr>
      <w:r w:rsidRPr="00372248">
        <w:rPr>
          <w:rStyle w:val="Voetnootmarkering"/>
          <w:rFonts w:cstheme="minorHAnsi"/>
        </w:rPr>
        <w:footnoteRef/>
      </w:r>
      <w:r w:rsidRPr="00372248">
        <w:rPr>
          <w:rFonts w:cstheme="minorHAnsi"/>
        </w:rPr>
        <w:t xml:space="preserve"> Kamerstukken II 1980/81,16405, nr. 3, p. 1.</w:t>
      </w:r>
    </w:p>
  </w:footnote>
  <w:footnote w:id="5">
    <w:p w14:paraId="3E6714F9" w14:textId="77777777" w:rsidR="00B65449" w:rsidRPr="001F15A3" w:rsidRDefault="00B65449" w:rsidP="001F15A3">
      <w:pPr>
        <w:pStyle w:val="Voetnoottekst"/>
        <w:rPr>
          <w:rFonts w:ascii="Verdana" w:hAnsi="Verdana"/>
          <w:sz w:val="16"/>
          <w:szCs w:val="16"/>
        </w:rPr>
      </w:pPr>
      <w:r w:rsidRPr="00372248">
        <w:rPr>
          <w:rStyle w:val="Voetnootmarkering"/>
          <w:rFonts w:cstheme="minorHAnsi"/>
        </w:rPr>
        <w:footnoteRef/>
      </w:r>
      <w:r w:rsidRPr="00372248">
        <w:rPr>
          <w:rFonts w:cstheme="minorHAnsi"/>
        </w:rPr>
        <w:t xml:space="preserve"> Kamerstukken II 1980/81,16405, nr. 2.</w:t>
      </w:r>
    </w:p>
  </w:footnote>
  <w:footnote w:id="6">
    <w:p w14:paraId="139C647C" w14:textId="77777777" w:rsidR="00B65449" w:rsidRPr="00372248" w:rsidRDefault="00B65449" w:rsidP="001F15A3">
      <w:pPr>
        <w:pStyle w:val="Voetnoottekst"/>
        <w:rPr>
          <w:rFonts w:cstheme="minorHAnsi"/>
          <w:i/>
          <w:iCs/>
        </w:rPr>
      </w:pPr>
      <w:r w:rsidRPr="00372248">
        <w:rPr>
          <w:rStyle w:val="Voetnootmarkering"/>
          <w:rFonts w:cstheme="minorHAnsi"/>
        </w:rPr>
        <w:footnoteRef/>
      </w:r>
      <w:r w:rsidRPr="00372248">
        <w:rPr>
          <w:rFonts w:cstheme="minorHAnsi"/>
        </w:rPr>
        <w:t xml:space="preserve"> Ook werden pas later voorschriften inzake provinciale herindelingen aan de wet toegevoegd; bij die gelegenheid is tevens de naam van de wet gewijzigd in ‘Wet algemene regels herindeling’ T&amp;C Wet arhi, inleiding, aant. 2; Kamerstukken II 1990/91, 20079, nr. 69. </w:t>
      </w:r>
    </w:p>
  </w:footnote>
  <w:footnote w:id="7">
    <w:p w14:paraId="71C79C38" w14:textId="77777777" w:rsidR="00B65449" w:rsidRPr="00372248" w:rsidRDefault="00B65449" w:rsidP="001F15A3">
      <w:pPr>
        <w:pStyle w:val="Voetnoottekst"/>
        <w:rPr>
          <w:rFonts w:cstheme="minorHAnsi"/>
        </w:rPr>
      </w:pPr>
      <w:r w:rsidRPr="00372248">
        <w:rPr>
          <w:rStyle w:val="Voetnootmarkering"/>
          <w:rFonts w:cstheme="minorHAnsi"/>
        </w:rPr>
        <w:footnoteRef/>
      </w:r>
      <w:r w:rsidRPr="00372248">
        <w:rPr>
          <w:rFonts w:cstheme="minorHAnsi"/>
        </w:rPr>
        <w:t xml:space="preserve"> Zie ook: J.L.W. Broeksteeg (2021),</w:t>
      </w:r>
      <w:r w:rsidRPr="00372248">
        <w:rPr>
          <w:rFonts w:cstheme="minorHAnsi"/>
          <w:i/>
          <w:iCs/>
        </w:rPr>
        <w:t xml:space="preserve"> Gemeenterecht, </w:t>
      </w:r>
      <w:r w:rsidRPr="00372248">
        <w:rPr>
          <w:rFonts w:cstheme="minorHAnsi"/>
        </w:rPr>
        <w:t xml:space="preserve">Deventer: Kluwer, p. 428. </w:t>
      </w:r>
    </w:p>
  </w:footnote>
  <w:footnote w:id="8">
    <w:p w14:paraId="11C112DF" w14:textId="77777777" w:rsidR="00813D8E" w:rsidRPr="00372248" w:rsidRDefault="00813D8E">
      <w:pPr>
        <w:pStyle w:val="Voetnoottekst"/>
        <w:rPr>
          <w:rFonts w:cstheme="minorHAnsi"/>
        </w:rPr>
      </w:pPr>
      <w:r w:rsidRPr="00372248">
        <w:rPr>
          <w:rStyle w:val="Voetnootmarkering"/>
          <w:rFonts w:cstheme="minorHAnsi"/>
        </w:rPr>
        <w:footnoteRef/>
      </w:r>
      <w:r w:rsidRPr="00372248">
        <w:rPr>
          <w:rFonts w:cstheme="minorHAnsi"/>
        </w:rPr>
        <w:t xml:space="preserve"> Stb</w:t>
      </w:r>
      <w:r w:rsidR="0064068E" w:rsidRPr="00372248">
        <w:rPr>
          <w:rFonts w:cstheme="minorHAnsi"/>
        </w:rPr>
        <w:t xml:space="preserve">. 1971, 570. </w:t>
      </w:r>
    </w:p>
  </w:footnote>
  <w:footnote w:id="9">
    <w:p w14:paraId="36FDB8AC" w14:textId="77777777" w:rsidR="00B65449" w:rsidRDefault="00B65449" w:rsidP="001F15A3">
      <w:pPr>
        <w:pStyle w:val="Voetnoottekst"/>
      </w:pPr>
      <w:r w:rsidRPr="00372248">
        <w:rPr>
          <w:rStyle w:val="Voetnootmarkering"/>
          <w:rFonts w:cstheme="minorHAnsi"/>
        </w:rPr>
        <w:footnoteRef/>
      </w:r>
      <w:r w:rsidRPr="00372248">
        <w:rPr>
          <w:rFonts w:cstheme="minorHAnsi"/>
        </w:rPr>
        <w:t xml:space="preserve"> Kamerstukken II 1980/81, 16405, nr. 3, p. 3.</w:t>
      </w:r>
    </w:p>
  </w:footnote>
  <w:footnote w:id="10">
    <w:p w14:paraId="3EA27926" w14:textId="77777777" w:rsidR="004C3D07" w:rsidRPr="00372248" w:rsidRDefault="004C3D07">
      <w:pPr>
        <w:pStyle w:val="Voetnoottekst"/>
        <w:rPr>
          <w:rFonts w:cstheme="minorHAnsi"/>
        </w:rPr>
      </w:pPr>
      <w:r w:rsidRPr="00372248">
        <w:rPr>
          <w:rStyle w:val="Voetnootmarkering"/>
          <w:rFonts w:cstheme="minorHAnsi"/>
        </w:rPr>
        <w:footnoteRef/>
      </w:r>
      <w:r w:rsidRPr="00372248">
        <w:rPr>
          <w:rFonts w:cstheme="minorHAnsi"/>
        </w:rPr>
        <w:t xml:space="preserve"> T&amp;C Wet arhi, </w:t>
      </w:r>
      <w:r w:rsidR="00FC21D5" w:rsidRPr="00372248">
        <w:rPr>
          <w:rFonts w:cstheme="minorHAnsi"/>
        </w:rPr>
        <w:t xml:space="preserve">artikel 44 en Kamerstukken II 1980/81, 16405, nr. 3, p. 9. </w:t>
      </w:r>
    </w:p>
  </w:footnote>
  <w:footnote w:id="11">
    <w:p w14:paraId="7A0E7866" w14:textId="77777777" w:rsidR="00FC21D5" w:rsidRPr="00372248" w:rsidRDefault="00FC21D5">
      <w:pPr>
        <w:pStyle w:val="Voetnoottekst"/>
        <w:rPr>
          <w:rFonts w:cstheme="minorHAnsi"/>
        </w:rPr>
      </w:pPr>
      <w:r w:rsidRPr="00372248">
        <w:rPr>
          <w:rStyle w:val="Voetnootmarkering"/>
          <w:rFonts w:cstheme="minorHAnsi"/>
        </w:rPr>
        <w:footnoteRef/>
      </w:r>
      <w:r w:rsidRPr="00372248">
        <w:rPr>
          <w:rFonts w:cstheme="minorHAnsi"/>
        </w:rPr>
        <w:t xml:space="preserve"> Stb. 2017, 104 (art. 7, onderdeel c). </w:t>
      </w:r>
    </w:p>
  </w:footnote>
  <w:footnote w:id="12">
    <w:p w14:paraId="182DD9D8" w14:textId="77777777" w:rsidR="00FC21D5" w:rsidRPr="001F15A3" w:rsidRDefault="00FC21D5">
      <w:pPr>
        <w:pStyle w:val="Voetnoottekst"/>
        <w:rPr>
          <w:rFonts w:ascii="Verdana" w:hAnsi="Verdana"/>
          <w:sz w:val="16"/>
          <w:szCs w:val="16"/>
        </w:rPr>
      </w:pPr>
      <w:r w:rsidRPr="00372248">
        <w:rPr>
          <w:rStyle w:val="Voetnootmarkering"/>
          <w:rFonts w:cstheme="minorHAnsi"/>
        </w:rPr>
        <w:footnoteRef/>
      </w:r>
      <w:r w:rsidRPr="00372248">
        <w:rPr>
          <w:rFonts w:cstheme="minorHAnsi"/>
        </w:rPr>
        <w:t xml:space="preserve"> Stb. 2020, 260 (art. 3, onderdeel c).</w:t>
      </w:r>
    </w:p>
  </w:footnote>
  <w:footnote w:id="13">
    <w:p w14:paraId="320ADF74" w14:textId="77777777" w:rsidR="009B1EE5" w:rsidRPr="0018041B" w:rsidRDefault="009B1EE5">
      <w:pPr>
        <w:pStyle w:val="Voetnoottekst"/>
        <w:rPr>
          <w:rFonts w:cstheme="minorHAnsi"/>
        </w:rPr>
      </w:pPr>
      <w:r w:rsidRPr="0018041B">
        <w:rPr>
          <w:rStyle w:val="Voetnootmarkering"/>
          <w:rFonts w:cstheme="minorHAnsi"/>
        </w:rPr>
        <w:footnoteRef/>
      </w:r>
      <w:r w:rsidRPr="0018041B">
        <w:rPr>
          <w:rFonts w:cstheme="minorHAnsi"/>
        </w:rPr>
        <w:t xml:space="preserve"> </w:t>
      </w:r>
      <w:r w:rsidR="005D5BC5" w:rsidRPr="0018041B">
        <w:rPr>
          <w:rFonts w:cstheme="minorHAnsi"/>
        </w:rPr>
        <w:t xml:space="preserve">Een belangrijk verschil met de genoemde </w:t>
      </w:r>
      <w:r w:rsidRPr="0018041B">
        <w:rPr>
          <w:rFonts w:cstheme="minorHAnsi"/>
        </w:rPr>
        <w:t xml:space="preserve">voorbeelden (Littenseradiel en Haaren) is </w:t>
      </w:r>
      <w:r w:rsidR="005D5BC5" w:rsidRPr="0018041B">
        <w:rPr>
          <w:rFonts w:cstheme="minorHAnsi"/>
        </w:rPr>
        <w:t xml:space="preserve">dat </w:t>
      </w:r>
      <w:r w:rsidRPr="0018041B">
        <w:rPr>
          <w:rFonts w:cstheme="minorHAnsi"/>
        </w:rPr>
        <w:t xml:space="preserve">bij een gemeentelijke afschaling een </w:t>
      </w:r>
      <w:r w:rsidRPr="0018041B">
        <w:rPr>
          <w:rFonts w:cstheme="minorHAnsi"/>
          <w:i/>
          <w:iCs/>
        </w:rPr>
        <w:t xml:space="preserve">nieuw </w:t>
      </w:r>
      <w:r w:rsidRPr="0018041B">
        <w:rPr>
          <w:rFonts w:cstheme="minorHAnsi"/>
        </w:rPr>
        <w:t xml:space="preserve">te vormen gemeente rechtsopvolger wordt (bij Littenseradiel en Haaren waren reeds </w:t>
      </w:r>
      <w:r w:rsidRPr="0018041B">
        <w:rPr>
          <w:rFonts w:cstheme="minorHAnsi"/>
          <w:i/>
          <w:iCs/>
        </w:rPr>
        <w:t>bestaande</w:t>
      </w:r>
      <w:r w:rsidRPr="0018041B">
        <w:rPr>
          <w:rFonts w:cstheme="minorHAnsi"/>
        </w:rPr>
        <w:t xml:space="preserve"> gemeenten rechtsopvolger). Voor een goede toepassing van artikel 44 is dit verschil echter niet relevant</w:t>
      </w:r>
      <w:r w:rsidR="005D5BC5" w:rsidRPr="0018041B">
        <w:rPr>
          <w:rFonts w:cstheme="minorHAnsi"/>
        </w:rPr>
        <w:t xml:space="preserve">: zowel nieuwe gemeenten als bestaande gemeenten kunnen op grond van art. 44 Wet arhi rechtsopvolger worden. </w:t>
      </w:r>
    </w:p>
  </w:footnote>
  <w:footnote w:id="14">
    <w:p w14:paraId="662B3084" w14:textId="77777777" w:rsidR="00801325" w:rsidRPr="0018041B" w:rsidRDefault="00801325">
      <w:pPr>
        <w:pStyle w:val="Voetnoottekst"/>
        <w:rPr>
          <w:rFonts w:cstheme="minorHAnsi"/>
        </w:rPr>
      </w:pPr>
      <w:r w:rsidRPr="0018041B">
        <w:rPr>
          <w:rStyle w:val="Voetnootmarkering"/>
          <w:rFonts w:cstheme="minorHAnsi"/>
        </w:rPr>
        <w:footnoteRef/>
      </w:r>
      <w:r w:rsidRPr="0018041B">
        <w:rPr>
          <w:rFonts w:cstheme="minorHAnsi"/>
        </w:rPr>
        <w:t xml:space="preserve"> Het wetsvoorstel van het lid Van Houwelingen bevatte inderdaad een dergelijke bepaling. In artikel 11 werd de gemeente Groningen aangewezen om de herindelingsverkiezingen voor te bereiden. </w:t>
      </w:r>
    </w:p>
  </w:footnote>
  <w:footnote w:id="15">
    <w:p w14:paraId="21F12DD1" w14:textId="77777777" w:rsidR="008438B4" w:rsidRPr="00345FD6" w:rsidRDefault="008438B4">
      <w:pPr>
        <w:pStyle w:val="Voetnoottekst"/>
        <w:rPr>
          <w:rFonts w:ascii="Verdana" w:hAnsi="Verdana"/>
          <w:sz w:val="16"/>
          <w:szCs w:val="16"/>
        </w:rPr>
      </w:pPr>
      <w:r w:rsidRPr="0018041B">
        <w:rPr>
          <w:rStyle w:val="Voetnootmarkering"/>
          <w:rFonts w:cstheme="minorHAnsi"/>
        </w:rPr>
        <w:footnoteRef/>
      </w:r>
      <w:r w:rsidRPr="0018041B">
        <w:rPr>
          <w:rFonts w:cstheme="minorHAnsi"/>
        </w:rPr>
        <w:t xml:space="preserve"> Artikel 53, tweede lid, spreekt van “de gemeente die ingevolge artikel 52, tweede volzin, met de voorbereiding van de tussentijdse raadsverkiezing is belast”. Zoals hierboven reeds aangegeven, is artikel 52, tweede volzin, ook niet toe te passen, omdat in deze volzin geregeld wordt dat de naar inwonertal grootste gemeente die in de nieuwe gemeente opgaat, met de voorbereiding van de tussentijdse raadsverkiezing is belast. In de herindelingswet moet dan ook de gemeente worden aangewezen die met de tussentijdse raadsverkiezing is belast. Dit betekent dat de herindelingswet ook moet regelen dat voor de verwijzing in art. 53, tweede lid, </w:t>
      </w:r>
      <w:r w:rsidR="00790224" w:rsidRPr="0018041B">
        <w:rPr>
          <w:rFonts w:cstheme="minorHAnsi"/>
        </w:rPr>
        <w:t>moet worden gelezen: “gemeente X” (de gemeente die in de herindelingswet in kwestie is aangewezen voor de voorbereiding van de herindelingsverkiezing.</w:t>
      </w:r>
      <w:r w:rsidR="00790224" w:rsidRPr="00345FD6">
        <w:rPr>
          <w:rFonts w:ascii="Verdana" w:hAnsi="Verdana"/>
          <w:sz w:val="16"/>
          <w:szCs w:val="16"/>
        </w:rPr>
        <w:t xml:space="preserve"> </w:t>
      </w:r>
    </w:p>
  </w:footnote>
  <w:footnote w:id="16">
    <w:p w14:paraId="3C777A0D" w14:textId="77777777" w:rsidR="008522AA" w:rsidRPr="00743588" w:rsidRDefault="008522AA">
      <w:pPr>
        <w:pStyle w:val="Voetnoottekst"/>
        <w:rPr>
          <w:rFonts w:cstheme="minorHAnsi"/>
        </w:rPr>
      </w:pPr>
      <w:r w:rsidRPr="00743588">
        <w:rPr>
          <w:rStyle w:val="Voetnootmarkering"/>
          <w:rFonts w:cstheme="minorHAnsi"/>
        </w:rPr>
        <w:footnoteRef/>
      </w:r>
      <w:r w:rsidRPr="00743588">
        <w:rPr>
          <w:rFonts w:cstheme="minorHAnsi"/>
        </w:rPr>
        <w:t xml:space="preserve"> In het wetsvoorstel van het lid Van Houwelingen is dit inderdaad geregeld in artikel 12. </w:t>
      </w:r>
    </w:p>
  </w:footnote>
  <w:footnote w:id="17">
    <w:p w14:paraId="4E92175E" w14:textId="77777777" w:rsidR="00772111" w:rsidRDefault="00772111">
      <w:pPr>
        <w:pStyle w:val="Voetnoottekst"/>
      </w:pPr>
      <w:r w:rsidRPr="00C41CC5">
        <w:rPr>
          <w:rStyle w:val="Voetnootmarkering"/>
          <w:rFonts w:ascii="Verdana" w:hAnsi="Verdana"/>
          <w:sz w:val="16"/>
          <w:szCs w:val="16"/>
        </w:rPr>
        <w:footnoteRef/>
      </w:r>
      <w:r w:rsidRPr="00C41CC5">
        <w:rPr>
          <w:rFonts w:ascii="Verdana" w:hAnsi="Verdana"/>
          <w:sz w:val="16"/>
          <w:szCs w:val="16"/>
        </w:rPr>
        <w:t xml:space="preserve"> Dit blijkt bijvoorbeeld uit de tekst “ook na een herindeling blijft samenwerking op tal van terreinen zinvol en nodig</w:t>
      </w:r>
      <w:r>
        <w:t xml:space="preserve">”. </w:t>
      </w:r>
    </w:p>
  </w:footnote>
  <w:footnote w:id="18">
    <w:p w14:paraId="55975866" w14:textId="77777777" w:rsidR="00772111" w:rsidRPr="00345FD6" w:rsidRDefault="00772111">
      <w:pPr>
        <w:pStyle w:val="Voetnoottekst"/>
        <w:rPr>
          <w:rFonts w:ascii="Verdana" w:hAnsi="Verdana"/>
          <w:sz w:val="16"/>
          <w:szCs w:val="16"/>
        </w:rPr>
      </w:pPr>
      <w:r w:rsidRPr="00C41CC5">
        <w:rPr>
          <w:rStyle w:val="Voetnootmarkering"/>
          <w:rFonts w:ascii="Verdana" w:hAnsi="Verdana"/>
          <w:sz w:val="16"/>
          <w:szCs w:val="16"/>
        </w:rPr>
        <w:footnoteRef/>
      </w:r>
      <w:r w:rsidRPr="00C41CC5">
        <w:rPr>
          <w:rFonts w:ascii="Verdana" w:hAnsi="Verdana"/>
          <w:sz w:val="16"/>
          <w:szCs w:val="16"/>
        </w:rPr>
        <w:t xml:space="preserve"> Dit raakt ook nauw aan het hierboven besproken criterium ‘bestuurskracht’</w:t>
      </w:r>
      <w:r w:rsidR="00C4611D" w:rsidRPr="00345FD6">
        <w:rPr>
          <w:rFonts w:ascii="Verdana" w:hAnsi="Verdana"/>
          <w:sz w:val="16"/>
          <w:szCs w:val="16"/>
        </w:rPr>
        <w:t xml:space="preserve">: uit het beleidskader volgt dat bestuurskracht ook een regionale dimensie kent. </w:t>
      </w:r>
    </w:p>
  </w:footnote>
  <w:footnote w:id="19">
    <w:p w14:paraId="2A27266F" w14:textId="77777777" w:rsidR="00B21B42" w:rsidRPr="00345FD6" w:rsidRDefault="00B21B42">
      <w:pPr>
        <w:pStyle w:val="Voetnoottekst"/>
        <w:rPr>
          <w:rFonts w:ascii="Verdana" w:hAnsi="Verdana"/>
          <w:sz w:val="16"/>
          <w:szCs w:val="16"/>
        </w:rPr>
      </w:pPr>
      <w:r w:rsidRPr="00345FD6">
        <w:rPr>
          <w:rStyle w:val="Voetnootmarkering"/>
          <w:rFonts w:ascii="Verdana" w:hAnsi="Verdana"/>
          <w:sz w:val="16"/>
          <w:szCs w:val="16"/>
        </w:rPr>
        <w:footnoteRef/>
      </w:r>
      <w:r w:rsidRPr="00345FD6">
        <w:rPr>
          <w:rFonts w:ascii="Verdana" w:hAnsi="Verdana"/>
          <w:sz w:val="16"/>
          <w:szCs w:val="16"/>
        </w:rPr>
        <w:t xml:space="preserve"> Zie ook: de ‘Toelichting op de berekening van de uitkeringen uit het gemeentefonds</w:t>
      </w:r>
      <w:r w:rsidR="00DC3FAA">
        <w:rPr>
          <w:rFonts w:ascii="Verdana" w:hAnsi="Verdana"/>
          <w:sz w:val="16"/>
          <w:szCs w:val="16"/>
        </w:rPr>
        <w:t xml:space="preserve"> 2024</w:t>
      </w:r>
      <w:r w:rsidRPr="00345FD6">
        <w:rPr>
          <w:rFonts w:ascii="Verdana" w:hAnsi="Verdana"/>
          <w:sz w:val="16"/>
          <w:szCs w:val="16"/>
        </w:rPr>
        <w:t xml:space="preserve">’, p. </w:t>
      </w:r>
      <w:r w:rsidR="00255A9A" w:rsidRPr="00345FD6">
        <w:rPr>
          <w:rFonts w:ascii="Verdana" w:hAnsi="Verdana"/>
          <w:sz w:val="16"/>
          <w:szCs w:val="16"/>
        </w:rPr>
        <w:t xml:space="preserve">74 – 76. </w:t>
      </w:r>
      <w:r w:rsidRPr="00345FD6">
        <w:rPr>
          <w:rFonts w:ascii="Verdana" w:hAnsi="Verdana"/>
          <w:sz w:val="16"/>
          <w:szCs w:val="16"/>
        </w:rPr>
        <w:t xml:space="preserve"> </w:t>
      </w:r>
    </w:p>
  </w:footnote>
  <w:footnote w:id="20">
    <w:p w14:paraId="3AFA40F3" w14:textId="77777777" w:rsidR="00321CFB" w:rsidRDefault="00321CFB" w:rsidP="00321CFB">
      <w:pPr>
        <w:pStyle w:val="Voetnoottekst"/>
      </w:pPr>
      <w:r>
        <w:rPr>
          <w:rStyle w:val="Voetnootmarkering"/>
        </w:rPr>
        <w:footnoteRef/>
      </w:r>
      <w:r>
        <w:t xml:space="preserve"> </w:t>
      </w:r>
      <w:hyperlink r:id="rId1" w:history="1">
        <w:r>
          <w:rPr>
            <w:rStyle w:val="Hyperlink"/>
          </w:rPr>
          <w:t>https://www.rijksoverheid.nl/onderwerpen/gemeenten/gemeentelijke-herindeling</w:t>
        </w:r>
      </w:hyperlink>
      <w:r>
        <w:t xml:space="preserve"> </w:t>
      </w:r>
    </w:p>
  </w:footnote>
  <w:footnote w:id="21">
    <w:p w14:paraId="2D9A6ED7" w14:textId="77777777" w:rsidR="00A97863" w:rsidRDefault="00A97863">
      <w:pPr>
        <w:pStyle w:val="Voetnoottekst"/>
      </w:pPr>
      <w:r>
        <w:rPr>
          <w:rStyle w:val="Voetnootmarkering"/>
        </w:rPr>
        <w:footnoteRef/>
      </w:r>
      <w:r>
        <w:t xml:space="preserve"> Stb. 2018, 270. </w:t>
      </w:r>
    </w:p>
  </w:footnote>
  <w:footnote w:id="22">
    <w:p w14:paraId="189AE94D" w14:textId="77777777" w:rsidR="00473CE0" w:rsidRPr="00FF3DDE" w:rsidRDefault="00473CE0">
      <w:pPr>
        <w:pStyle w:val="Voetnoottekst"/>
        <w:rPr>
          <w:rFonts w:cstheme="minorHAnsi"/>
        </w:rPr>
      </w:pPr>
      <w:r w:rsidRPr="00FF3DDE">
        <w:rPr>
          <w:rStyle w:val="Voetnootmarkering"/>
          <w:rFonts w:cstheme="minorHAnsi"/>
        </w:rPr>
        <w:footnoteRef/>
      </w:r>
      <w:r w:rsidRPr="00FF3DDE">
        <w:rPr>
          <w:rFonts w:cstheme="minorHAnsi"/>
        </w:rPr>
        <w:t xml:space="preserve"> Paragraaf 7.5 van het Beleidskader gaat over de toepasselijkheid van het Beleidskader van voor 2018 voor herindelingen die voor het huidige beleidskader zijn gestart. Deze situatie is nu niet relevant meer.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870" w14:textId="77777777" w:rsidR="00974FDB" w:rsidRDefault="00974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6383" w14:textId="77777777" w:rsidR="00F35CDD" w:rsidRDefault="00D1769B">
    <w:r>
      <w:rPr>
        <w:noProof/>
      </w:rPr>
      <mc:AlternateContent>
        <mc:Choice Requires="wps">
          <w:drawing>
            <wp:anchor distT="0" distB="0" distL="0" distR="0" simplePos="0" relativeHeight="251652096" behindDoc="0" locked="1" layoutInCell="1" allowOverlap="1" wp14:anchorId="714CD89D" wp14:editId="2C1EE81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7A469A" w14:textId="46DD800D" w:rsidR="003371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14CD8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57A469A" w14:textId="46DD800D" w:rsidR="003371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BA60F2" wp14:editId="6125EC4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60135A" w14:textId="77777777" w:rsidR="00F35CDD" w:rsidRDefault="00D1769B">
                          <w:pPr>
                            <w:pStyle w:val="Referentiegegevensbold"/>
                          </w:pPr>
                          <w:r>
                            <w:t>DG Openbaar Bestuur &amp; Democr Rechtsstaat</w:t>
                          </w:r>
                        </w:p>
                        <w:p w14:paraId="2BD32350" w14:textId="77777777" w:rsidR="00F35CDD" w:rsidRDefault="00D1769B" w:rsidP="00834493">
                          <w:pPr>
                            <w:pStyle w:val="Referentiegegevens"/>
                          </w:pPr>
                          <w:r>
                            <w:t>DGOBDR-</w:t>
                          </w:r>
                          <w:r w:rsidR="001F15A3">
                            <w:t xml:space="preserve"> BFR-BA</w:t>
                          </w:r>
                        </w:p>
                        <w:p w14:paraId="5DFE6FB4" w14:textId="77777777" w:rsidR="00F35CDD" w:rsidRDefault="00D1769B">
                          <w:pPr>
                            <w:pStyle w:val="Referentiegegevensbold"/>
                          </w:pPr>
                          <w:r>
                            <w:t>Datum</w:t>
                          </w:r>
                        </w:p>
                        <w:p w14:paraId="05103CB6" w14:textId="4A4FE6B5" w:rsidR="003371CF" w:rsidRDefault="007727E6">
                          <w:pPr>
                            <w:pStyle w:val="Referentiegegevens"/>
                          </w:pPr>
                          <w:r>
                            <w:t>01 april 2025</w:t>
                          </w:r>
                        </w:p>
                        <w:p w14:paraId="5AF5D04E" w14:textId="77777777" w:rsidR="00834493" w:rsidRPr="00834493" w:rsidRDefault="00834493" w:rsidP="00834493"/>
                        <w:p w14:paraId="23453766" w14:textId="77777777" w:rsidR="00F35CDD" w:rsidRDefault="00D1769B">
                          <w:pPr>
                            <w:pStyle w:val="Referentiegegevensbold"/>
                          </w:pPr>
                          <w:r>
                            <w:t>Onze referentie</w:t>
                          </w:r>
                        </w:p>
                        <w:p w14:paraId="316B0F95" w14:textId="2C42E962" w:rsidR="003371CF" w:rsidRDefault="00000000">
                          <w:pPr>
                            <w:pStyle w:val="Referentiegegevens"/>
                          </w:pPr>
                          <w:fldSimple w:instr=" DOCPROPERTY  &quot;Kenmerk&quot;  \* MERGEFORMAT ">
                            <w:r w:rsidR="007727E6">
                              <w:t>2024-0000797705</w:t>
                            </w:r>
                          </w:fldSimple>
                        </w:p>
                      </w:txbxContent>
                    </wps:txbx>
                    <wps:bodyPr vert="horz" wrap="square" lIns="0" tIns="0" rIns="0" bIns="0" anchor="t" anchorCtr="0"/>
                  </wps:wsp>
                </a:graphicData>
              </a:graphic>
            </wp:anchor>
          </w:drawing>
        </mc:Choice>
        <mc:Fallback>
          <w:pict>
            <v:shape w14:anchorId="38BA60F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760135A" w14:textId="77777777" w:rsidR="00F35CDD" w:rsidRDefault="00D1769B">
                    <w:pPr>
                      <w:pStyle w:val="Referentiegegevensbold"/>
                    </w:pPr>
                    <w:r>
                      <w:t>DG Openbaar Bestuur &amp; Democr Rechtsstaat</w:t>
                    </w:r>
                  </w:p>
                  <w:p w14:paraId="2BD32350" w14:textId="77777777" w:rsidR="00F35CDD" w:rsidRDefault="00D1769B" w:rsidP="00834493">
                    <w:pPr>
                      <w:pStyle w:val="Referentiegegevens"/>
                    </w:pPr>
                    <w:r>
                      <w:t>DGOBDR-</w:t>
                    </w:r>
                    <w:r w:rsidR="001F15A3">
                      <w:t xml:space="preserve"> BFR-BA</w:t>
                    </w:r>
                  </w:p>
                  <w:p w14:paraId="5DFE6FB4" w14:textId="77777777" w:rsidR="00F35CDD" w:rsidRDefault="00D1769B">
                    <w:pPr>
                      <w:pStyle w:val="Referentiegegevensbold"/>
                    </w:pPr>
                    <w:r>
                      <w:t>Datum</w:t>
                    </w:r>
                  </w:p>
                  <w:p w14:paraId="05103CB6" w14:textId="4A4FE6B5" w:rsidR="003371CF" w:rsidRDefault="007727E6">
                    <w:pPr>
                      <w:pStyle w:val="Referentiegegevens"/>
                    </w:pPr>
                    <w:r>
                      <w:t>01 april 2025</w:t>
                    </w:r>
                  </w:p>
                  <w:p w14:paraId="5AF5D04E" w14:textId="77777777" w:rsidR="00834493" w:rsidRPr="00834493" w:rsidRDefault="00834493" w:rsidP="00834493"/>
                  <w:p w14:paraId="23453766" w14:textId="77777777" w:rsidR="00F35CDD" w:rsidRDefault="00D1769B">
                    <w:pPr>
                      <w:pStyle w:val="Referentiegegevensbold"/>
                    </w:pPr>
                    <w:r>
                      <w:t>Onze referentie</w:t>
                    </w:r>
                  </w:p>
                  <w:p w14:paraId="316B0F95" w14:textId="2C42E962" w:rsidR="003371CF" w:rsidRDefault="00000000">
                    <w:pPr>
                      <w:pStyle w:val="Referentiegegevens"/>
                    </w:pPr>
                    <w:fldSimple w:instr=" DOCPROPERTY  &quot;Kenmerk&quot;  \* MERGEFORMAT ">
                      <w:r w:rsidR="007727E6">
                        <w:t>2024-0000797705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E6E4EC" wp14:editId="62E8E5E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53158F" w14:textId="4F7027AD" w:rsidR="003371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6E6E4E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53158F" w14:textId="4F7027AD" w:rsidR="003371C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C7F921" wp14:editId="61AD1B4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F3E9EB" w14:textId="77777777" w:rsidR="003371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C7F92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6F3E9EB" w14:textId="77777777" w:rsidR="003371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B33D" w14:textId="77777777" w:rsidR="00F35CDD" w:rsidRDefault="00D1769B">
    <w:pPr>
      <w:spacing w:after="6377" w:line="14" w:lineRule="exact"/>
    </w:pPr>
    <w:r>
      <w:rPr>
        <w:noProof/>
      </w:rPr>
      <mc:AlternateContent>
        <mc:Choice Requires="wps">
          <w:drawing>
            <wp:anchor distT="0" distB="0" distL="0" distR="0" simplePos="0" relativeHeight="251656192" behindDoc="0" locked="1" layoutInCell="1" allowOverlap="1" wp14:anchorId="48FCB77B" wp14:editId="2217BC1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A94683" w14:textId="77777777" w:rsidR="00F35CDD" w:rsidRDefault="00D1769B">
                          <w:pPr>
                            <w:spacing w:line="240" w:lineRule="auto"/>
                          </w:pPr>
                          <w:r>
                            <w:rPr>
                              <w:noProof/>
                            </w:rPr>
                            <w:drawing>
                              <wp:inline distT="0" distB="0" distL="0" distR="0" wp14:anchorId="094A4E1E" wp14:editId="02A38947">
                                <wp:extent cx="467995" cy="1583865"/>
                                <wp:effectExtent l="0" t="0" r="0" b="0"/>
                                <wp:docPr id="16" name="Afbeelding 1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FCB77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DA94683" w14:textId="77777777" w:rsidR="00F35CDD" w:rsidRDefault="00D1769B">
                    <w:pPr>
                      <w:spacing w:line="240" w:lineRule="auto"/>
                    </w:pPr>
                    <w:r>
                      <w:rPr>
                        <w:noProof/>
                      </w:rPr>
                      <w:drawing>
                        <wp:inline distT="0" distB="0" distL="0" distR="0" wp14:anchorId="094A4E1E" wp14:editId="02A38947">
                          <wp:extent cx="467995" cy="1583865"/>
                          <wp:effectExtent l="0" t="0" r="0" b="0"/>
                          <wp:docPr id="16" name="Afbeelding 1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3982A29" wp14:editId="7F960BE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BBDBDF" w14:textId="77777777" w:rsidR="00F35CDD" w:rsidRDefault="00D1769B">
                          <w:pPr>
                            <w:spacing w:line="240" w:lineRule="auto"/>
                          </w:pPr>
                          <w:r>
                            <w:rPr>
                              <w:noProof/>
                            </w:rPr>
                            <w:drawing>
                              <wp:inline distT="0" distB="0" distL="0" distR="0" wp14:anchorId="56D61AFE" wp14:editId="6ED676F0">
                                <wp:extent cx="2339975" cy="1582834"/>
                                <wp:effectExtent l="0" t="0" r="0" b="0"/>
                                <wp:docPr id="17" name="Afbeelding 17"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982A2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BBDBDF" w14:textId="77777777" w:rsidR="00F35CDD" w:rsidRDefault="00D1769B">
                    <w:pPr>
                      <w:spacing w:line="240" w:lineRule="auto"/>
                    </w:pPr>
                    <w:r>
                      <w:rPr>
                        <w:noProof/>
                      </w:rPr>
                      <w:drawing>
                        <wp:inline distT="0" distB="0" distL="0" distR="0" wp14:anchorId="56D61AFE" wp14:editId="6ED676F0">
                          <wp:extent cx="2339975" cy="1582834"/>
                          <wp:effectExtent l="0" t="0" r="0" b="0"/>
                          <wp:docPr id="17" name="Afbeelding 17"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A53B925" wp14:editId="38F28FA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BADE70" w14:textId="77777777" w:rsidR="00F35CDD" w:rsidRDefault="00D1769B">
                          <w:pPr>
                            <w:pStyle w:val="Referentiegegevens"/>
                          </w:pPr>
                          <w:r>
                            <w:t xml:space="preserve">&gt; Retouradres    </w:t>
                          </w:r>
                        </w:p>
                      </w:txbxContent>
                    </wps:txbx>
                    <wps:bodyPr vert="horz" wrap="square" lIns="0" tIns="0" rIns="0" bIns="0" anchor="t" anchorCtr="0"/>
                  </wps:wsp>
                </a:graphicData>
              </a:graphic>
            </wp:anchor>
          </w:drawing>
        </mc:Choice>
        <mc:Fallback>
          <w:pict>
            <v:shape w14:anchorId="3A53B925"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8BADE70" w14:textId="77777777" w:rsidR="00F35CDD" w:rsidRDefault="00D1769B">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7D6031" wp14:editId="00E01AEF">
              <wp:simplePos x="0" y="0"/>
              <wp:positionH relativeFrom="margin">
                <wp:align>left</wp:align>
              </wp:positionH>
              <wp:positionV relativeFrom="page">
                <wp:posOffset>1952625</wp:posOffset>
              </wp:positionV>
              <wp:extent cx="5438775" cy="1314450"/>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5438775" cy="1314450"/>
                      </a:xfrm>
                      <a:prstGeom prst="rect">
                        <a:avLst/>
                      </a:prstGeom>
                      <a:noFill/>
                    </wps:spPr>
                    <wps:txbx>
                      <w:txbxContent>
                        <w:p w14:paraId="5A8CD75F" w14:textId="77777777" w:rsidR="00704928" w:rsidRPr="00704928" w:rsidRDefault="00704928">
                          <w:pPr>
                            <w:rPr>
                              <w:rFonts w:ascii="Verdana" w:hAnsi="Verdana"/>
                              <w:sz w:val="18"/>
                              <w:szCs w:val="18"/>
                            </w:rPr>
                          </w:pPr>
                          <w:r w:rsidRPr="00704928">
                            <w:rPr>
                              <w:rFonts w:ascii="Verdana" w:hAnsi="Verdana"/>
                              <w:sz w:val="18"/>
                              <w:szCs w:val="18"/>
                            </w:rPr>
                            <w:t>Aan de Voorzitter van d</w:t>
                          </w:r>
                          <w:r>
                            <w:rPr>
                              <w:rFonts w:ascii="Verdana" w:hAnsi="Verdana"/>
                              <w:sz w:val="18"/>
                              <w:szCs w:val="18"/>
                            </w:rPr>
                            <w:t>e</w:t>
                          </w:r>
                          <w:r w:rsidR="007A09BD">
                            <w:rPr>
                              <w:rFonts w:ascii="Verdana" w:hAnsi="Verdana"/>
                              <w:sz w:val="18"/>
                              <w:szCs w:val="18"/>
                            </w:rPr>
                            <w:t xml:space="preserve"> </w:t>
                          </w:r>
                          <w:r>
                            <w:rPr>
                              <w:rFonts w:ascii="Verdana" w:hAnsi="Verdana"/>
                              <w:sz w:val="18"/>
                              <w:szCs w:val="18"/>
                            </w:rPr>
                            <w:t>Tweede Kamer der Staten-Generaal</w:t>
                          </w:r>
                          <w:r>
                            <w:rPr>
                              <w:rFonts w:ascii="Verdana" w:hAnsi="Verdana"/>
                              <w:sz w:val="18"/>
                              <w:szCs w:val="18"/>
                            </w:rPr>
                            <w:br/>
                            <w:t>Postbus 20018</w:t>
                          </w:r>
                          <w:r>
                            <w:rPr>
                              <w:rFonts w:ascii="Verdana" w:hAnsi="Verdana"/>
                              <w:sz w:val="18"/>
                              <w:szCs w:val="18"/>
                            </w:rPr>
                            <w:br/>
                            <w:t>2500 EA Den Haag</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D6031" id="d302f2a1-bb28-4417-9701-e3b1450e5fb6" o:spid="_x0000_s1033" type="#_x0000_t202" style="position:absolute;margin-left:0;margin-top:153.75pt;width:428.25pt;height:103.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" filled="f" stroked="f">
              <v:textbox inset="0,0,0,0">
                <w:txbxContent>
                  <w:p w14:paraId="5A8CD75F" w14:textId="77777777" w:rsidR="00704928" w:rsidRPr="00704928" w:rsidRDefault="00704928">
                    <w:pPr>
                      <w:rPr>
                        <w:rFonts w:ascii="Verdana" w:hAnsi="Verdana"/>
                        <w:sz w:val="18"/>
                        <w:szCs w:val="18"/>
                      </w:rPr>
                    </w:pPr>
                    <w:r w:rsidRPr="00704928">
                      <w:rPr>
                        <w:rFonts w:ascii="Verdana" w:hAnsi="Verdana"/>
                        <w:sz w:val="18"/>
                        <w:szCs w:val="18"/>
                      </w:rPr>
                      <w:t>Aan de Voorzitter van d</w:t>
                    </w:r>
                    <w:r>
                      <w:rPr>
                        <w:rFonts w:ascii="Verdana" w:hAnsi="Verdana"/>
                        <w:sz w:val="18"/>
                        <w:szCs w:val="18"/>
                      </w:rPr>
                      <w:t>e</w:t>
                    </w:r>
                    <w:r w:rsidR="007A09BD">
                      <w:rPr>
                        <w:rFonts w:ascii="Verdana" w:hAnsi="Verdana"/>
                        <w:sz w:val="18"/>
                        <w:szCs w:val="18"/>
                      </w:rPr>
                      <w:t xml:space="preserve"> </w:t>
                    </w:r>
                    <w:r>
                      <w:rPr>
                        <w:rFonts w:ascii="Verdana" w:hAnsi="Verdana"/>
                        <w:sz w:val="18"/>
                        <w:szCs w:val="18"/>
                      </w:rPr>
                      <w:t>Tweede Kamer der Staten-Generaal</w:t>
                    </w:r>
                    <w:r>
                      <w:rPr>
                        <w:rFonts w:ascii="Verdana" w:hAnsi="Verdana"/>
                        <w:sz w:val="18"/>
                        <w:szCs w:val="18"/>
                      </w:rPr>
                      <w:br/>
                      <w:t>Postbus 20018</w:t>
                    </w:r>
                    <w:r>
                      <w:rPr>
                        <w:rFonts w:ascii="Verdana" w:hAnsi="Verdana"/>
                        <w:sz w:val="18"/>
                        <w:szCs w:val="18"/>
                      </w:rPr>
                      <w:br/>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30760237" wp14:editId="3A3FC515">
              <wp:simplePos x="0" y="0"/>
              <wp:positionH relativeFrom="margin">
                <wp:align>right</wp:align>
              </wp:positionH>
              <wp:positionV relativeFrom="page">
                <wp:posOffset>3340100</wp:posOffset>
              </wp:positionV>
              <wp:extent cx="4772025" cy="1181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181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35CDD" w14:paraId="437A3322" w14:textId="77777777">
                            <w:trPr>
                              <w:trHeight w:val="240"/>
                            </w:trPr>
                            <w:tc>
                              <w:tcPr>
                                <w:tcW w:w="1140" w:type="dxa"/>
                              </w:tcPr>
                              <w:p w14:paraId="79FD27E4" w14:textId="77777777" w:rsidR="00F35CDD" w:rsidRDefault="00D1769B">
                                <w:r>
                                  <w:t>Datum</w:t>
                                </w:r>
                              </w:p>
                            </w:tc>
                            <w:tc>
                              <w:tcPr>
                                <w:tcW w:w="5918" w:type="dxa"/>
                              </w:tcPr>
                              <w:p w14:paraId="7FF05F05" w14:textId="79AAC1D6" w:rsidR="0023367E" w:rsidRPr="00C41CC5" w:rsidRDefault="007727E6">
                                <w:pPr>
                                  <w:rPr>
                                    <w:rFonts w:ascii="Verdana" w:hAnsi="Verdana"/>
                                    <w:sz w:val="18"/>
                                    <w:szCs w:val="18"/>
                                  </w:rPr>
                                </w:pPr>
                                <w:r>
                                  <w:rPr>
                                    <w:rFonts w:ascii="Verdana" w:hAnsi="Verdana"/>
                                    <w:sz w:val="18"/>
                                    <w:szCs w:val="18"/>
                                  </w:rPr>
                                  <w:t>01 april 2025</w:t>
                                </w:r>
                              </w:p>
                            </w:tc>
                          </w:tr>
                          <w:tr w:rsidR="00F35CDD" w14:paraId="581F719A" w14:textId="77777777">
                            <w:trPr>
                              <w:trHeight w:val="240"/>
                            </w:trPr>
                            <w:tc>
                              <w:tcPr>
                                <w:tcW w:w="1140" w:type="dxa"/>
                              </w:tcPr>
                              <w:p w14:paraId="420883FB" w14:textId="77777777" w:rsidR="00F35CDD" w:rsidRDefault="00D1769B">
                                <w:r>
                                  <w:t>Betreft</w:t>
                                </w:r>
                              </w:p>
                            </w:tc>
                            <w:tc>
                              <w:tcPr>
                                <w:tcW w:w="5918" w:type="dxa"/>
                              </w:tcPr>
                              <w:p w14:paraId="5BBC0BD9" w14:textId="77777777" w:rsidR="00F35CDD" w:rsidRPr="007B7D21" w:rsidRDefault="006A3E01">
                                <w:pPr>
                                  <w:rPr>
                                    <w:rFonts w:ascii="Verdana" w:hAnsi="Verdana"/>
                                    <w:sz w:val="18"/>
                                    <w:szCs w:val="18"/>
                                  </w:rPr>
                                </w:pPr>
                                <w:bookmarkStart w:id="4" w:name="_Hlk194319951"/>
                                <w:r>
                                  <w:rPr>
                                    <w:rFonts w:ascii="Verdana" w:hAnsi="Verdana"/>
                                    <w:sz w:val="18"/>
                                    <w:szCs w:val="18"/>
                                  </w:rPr>
                                  <w:t>Nadere analyse</w:t>
                                </w:r>
                                <w:r w:rsidR="005D5BC5">
                                  <w:rPr>
                                    <w:rFonts w:ascii="Verdana" w:hAnsi="Verdana"/>
                                    <w:sz w:val="18"/>
                                    <w:szCs w:val="18"/>
                                  </w:rPr>
                                  <w:t xml:space="preserve"> toereikendheid juridische en beleidsmatige kaders bij gemeentelijke afschaling</w:t>
                                </w:r>
                                <w:bookmarkEnd w:id="4"/>
                              </w:p>
                            </w:tc>
                          </w:tr>
                        </w:tbl>
                        <w:p w14:paraId="4955FEC1" w14:textId="77777777" w:rsidR="00D1769B" w:rsidRDefault="00D176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0760237" id="1670fa0c-13cb-45ec-92be-ef1f34d237c5" o:spid="_x0000_s1034" type="#_x0000_t202" style="position:absolute;margin-left:324.55pt;margin-top:263pt;width:375.75pt;height:93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F35CDD" w14:paraId="437A3322" w14:textId="77777777">
                      <w:trPr>
                        <w:trHeight w:val="240"/>
                      </w:trPr>
                      <w:tc>
                        <w:tcPr>
                          <w:tcW w:w="1140" w:type="dxa"/>
                        </w:tcPr>
                        <w:p w14:paraId="79FD27E4" w14:textId="77777777" w:rsidR="00F35CDD" w:rsidRDefault="00D1769B">
                          <w:r>
                            <w:t>Datum</w:t>
                          </w:r>
                        </w:p>
                      </w:tc>
                      <w:tc>
                        <w:tcPr>
                          <w:tcW w:w="5918" w:type="dxa"/>
                        </w:tcPr>
                        <w:p w14:paraId="7FF05F05" w14:textId="79AAC1D6" w:rsidR="0023367E" w:rsidRPr="00C41CC5" w:rsidRDefault="007727E6">
                          <w:pPr>
                            <w:rPr>
                              <w:rFonts w:ascii="Verdana" w:hAnsi="Verdana"/>
                              <w:sz w:val="18"/>
                              <w:szCs w:val="18"/>
                            </w:rPr>
                          </w:pPr>
                          <w:r>
                            <w:rPr>
                              <w:rFonts w:ascii="Verdana" w:hAnsi="Verdana"/>
                              <w:sz w:val="18"/>
                              <w:szCs w:val="18"/>
                            </w:rPr>
                            <w:t>01 april 2025</w:t>
                          </w:r>
                        </w:p>
                      </w:tc>
                    </w:tr>
                    <w:tr w:rsidR="00F35CDD" w14:paraId="581F719A" w14:textId="77777777">
                      <w:trPr>
                        <w:trHeight w:val="240"/>
                      </w:trPr>
                      <w:tc>
                        <w:tcPr>
                          <w:tcW w:w="1140" w:type="dxa"/>
                        </w:tcPr>
                        <w:p w14:paraId="420883FB" w14:textId="77777777" w:rsidR="00F35CDD" w:rsidRDefault="00D1769B">
                          <w:r>
                            <w:t>Betreft</w:t>
                          </w:r>
                        </w:p>
                      </w:tc>
                      <w:tc>
                        <w:tcPr>
                          <w:tcW w:w="5918" w:type="dxa"/>
                        </w:tcPr>
                        <w:p w14:paraId="5BBC0BD9" w14:textId="77777777" w:rsidR="00F35CDD" w:rsidRPr="007B7D21" w:rsidRDefault="006A3E01">
                          <w:pPr>
                            <w:rPr>
                              <w:rFonts w:ascii="Verdana" w:hAnsi="Verdana"/>
                              <w:sz w:val="18"/>
                              <w:szCs w:val="18"/>
                            </w:rPr>
                          </w:pPr>
                          <w:bookmarkStart w:id="5" w:name="_Hlk194319951"/>
                          <w:r>
                            <w:rPr>
                              <w:rFonts w:ascii="Verdana" w:hAnsi="Verdana"/>
                              <w:sz w:val="18"/>
                              <w:szCs w:val="18"/>
                            </w:rPr>
                            <w:t>Nadere analyse</w:t>
                          </w:r>
                          <w:r w:rsidR="005D5BC5">
                            <w:rPr>
                              <w:rFonts w:ascii="Verdana" w:hAnsi="Verdana"/>
                              <w:sz w:val="18"/>
                              <w:szCs w:val="18"/>
                            </w:rPr>
                            <w:t xml:space="preserve"> toereikendheid juridische en beleidsmatige kaders bij gemeentelijke afschaling</w:t>
                          </w:r>
                          <w:bookmarkEnd w:id="5"/>
                        </w:p>
                      </w:tc>
                    </w:tr>
                  </w:tbl>
                  <w:p w14:paraId="4955FEC1" w14:textId="77777777" w:rsidR="00D1769B" w:rsidRDefault="00D1769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B789873" wp14:editId="1C7D3F7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07C5E5" w14:textId="77777777" w:rsidR="00F35CDD" w:rsidRDefault="00D1769B">
                          <w:pPr>
                            <w:pStyle w:val="Referentiegegevensbold"/>
                          </w:pPr>
                          <w:r>
                            <w:t>DG Openbaar Bestuur &amp; Democr Rechtsstaat</w:t>
                          </w:r>
                        </w:p>
                        <w:p w14:paraId="3F3FC446" w14:textId="77777777" w:rsidR="00F35CDD" w:rsidRPr="002B1F69" w:rsidRDefault="00D1769B" w:rsidP="00704928">
                          <w:pPr>
                            <w:pStyle w:val="Referentiegegevens"/>
                          </w:pPr>
                          <w:r w:rsidRPr="002B1F69">
                            <w:t>DGOBDR-</w:t>
                          </w:r>
                          <w:r w:rsidR="00704928" w:rsidRPr="002B1F69">
                            <w:t>BFR-BA</w:t>
                          </w:r>
                        </w:p>
                        <w:p w14:paraId="0C59995C" w14:textId="77777777" w:rsidR="00F35CDD" w:rsidRPr="007727E6" w:rsidRDefault="00D1769B">
                          <w:pPr>
                            <w:pStyle w:val="Referentiegegevens"/>
                          </w:pPr>
                          <w:r w:rsidRPr="007727E6">
                            <w:t>Turfmarkt 147</w:t>
                          </w:r>
                          <w:r w:rsidR="00704928" w:rsidRPr="007727E6">
                            <w:br/>
                          </w:r>
                          <w:r w:rsidRPr="007727E6">
                            <w:t>2511 DP  Den Haag</w:t>
                          </w:r>
                        </w:p>
                        <w:p w14:paraId="0DF1DB91" w14:textId="59B25402" w:rsidR="00974FDB" w:rsidRPr="007727E6" w:rsidRDefault="00974FDB" w:rsidP="00974FDB">
                          <w:pPr>
                            <w:rPr>
                              <w:rFonts w:ascii="Verdana" w:hAnsi="Verdana"/>
                              <w:b/>
                              <w:bCs/>
                              <w:sz w:val="13"/>
                              <w:szCs w:val="13"/>
                            </w:rPr>
                          </w:pPr>
                          <w:r w:rsidRPr="007727E6">
                            <w:rPr>
                              <w:rFonts w:ascii="Verdana" w:hAnsi="Verdana"/>
                              <w:b/>
                              <w:bCs/>
                              <w:sz w:val="13"/>
                              <w:szCs w:val="13"/>
                            </w:rPr>
                            <w:t>Onze referentie</w:t>
                          </w:r>
                        </w:p>
                        <w:p w14:paraId="23B7CCCC" w14:textId="3B008016" w:rsidR="00974FDB" w:rsidRPr="00974FDB" w:rsidRDefault="00974FDB" w:rsidP="00974FDB">
                          <w:pPr>
                            <w:rPr>
                              <w:rFonts w:ascii="Verdana" w:hAnsi="Verdana"/>
                              <w:sz w:val="13"/>
                              <w:szCs w:val="13"/>
                              <w:lang w:val="de-DE"/>
                            </w:rPr>
                          </w:pPr>
                          <w:r w:rsidRPr="00974FDB">
                            <w:rPr>
                              <w:rFonts w:ascii="Verdana" w:hAnsi="Verdana"/>
                              <w:sz w:val="13"/>
                              <w:szCs w:val="13"/>
                              <w:lang w:val="de-DE"/>
                            </w:rPr>
                            <w:t>2024-0000797705</w:t>
                          </w:r>
                        </w:p>
                        <w:p w14:paraId="645D0F6C" w14:textId="77777777" w:rsidR="00F35CDD" w:rsidRPr="00704928" w:rsidRDefault="00F35CDD">
                          <w:pPr>
                            <w:pStyle w:val="WitregelW1"/>
                            <w:rPr>
                              <w:lang w:val="de-DE"/>
                            </w:rPr>
                          </w:pPr>
                        </w:p>
                        <w:p w14:paraId="61259A7E" w14:textId="01381F0F" w:rsidR="003371CF"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B78987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207C5E5" w14:textId="77777777" w:rsidR="00F35CDD" w:rsidRDefault="00D1769B">
                    <w:pPr>
                      <w:pStyle w:val="Referentiegegevensbold"/>
                    </w:pPr>
                    <w:r>
                      <w:t>DG Openbaar Bestuur &amp; Democr Rechtsstaat</w:t>
                    </w:r>
                  </w:p>
                  <w:p w14:paraId="3F3FC446" w14:textId="77777777" w:rsidR="00F35CDD" w:rsidRPr="002B1F69" w:rsidRDefault="00D1769B" w:rsidP="00704928">
                    <w:pPr>
                      <w:pStyle w:val="Referentiegegevens"/>
                    </w:pPr>
                    <w:r w:rsidRPr="002B1F69">
                      <w:t>DGOBDR-</w:t>
                    </w:r>
                    <w:r w:rsidR="00704928" w:rsidRPr="002B1F69">
                      <w:t>BFR-BA</w:t>
                    </w:r>
                  </w:p>
                  <w:p w14:paraId="0C59995C" w14:textId="77777777" w:rsidR="00F35CDD" w:rsidRPr="007727E6" w:rsidRDefault="00D1769B">
                    <w:pPr>
                      <w:pStyle w:val="Referentiegegevens"/>
                    </w:pPr>
                    <w:r w:rsidRPr="007727E6">
                      <w:t>Turfmarkt 147</w:t>
                    </w:r>
                    <w:r w:rsidR="00704928" w:rsidRPr="007727E6">
                      <w:br/>
                    </w:r>
                    <w:r w:rsidRPr="007727E6">
                      <w:t>2511 DP  Den Haag</w:t>
                    </w:r>
                  </w:p>
                  <w:p w14:paraId="0DF1DB91" w14:textId="59B25402" w:rsidR="00974FDB" w:rsidRPr="007727E6" w:rsidRDefault="00974FDB" w:rsidP="00974FDB">
                    <w:pPr>
                      <w:rPr>
                        <w:rFonts w:ascii="Verdana" w:hAnsi="Verdana"/>
                        <w:b/>
                        <w:bCs/>
                        <w:sz w:val="13"/>
                        <w:szCs w:val="13"/>
                      </w:rPr>
                    </w:pPr>
                    <w:r w:rsidRPr="007727E6">
                      <w:rPr>
                        <w:rFonts w:ascii="Verdana" w:hAnsi="Verdana"/>
                        <w:b/>
                        <w:bCs/>
                        <w:sz w:val="13"/>
                        <w:szCs w:val="13"/>
                      </w:rPr>
                      <w:t>Onze referentie</w:t>
                    </w:r>
                  </w:p>
                  <w:p w14:paraId="23B7CCCC" w14:textId="3B008016" w:rsidR="00974FDB" w:rsidRPr="00974FDB" w:rsidRDefault="00974FDB" w:rsidP="00974FDB">
                    <w:pPr>
                      <w:rPr>
                        <w:rFonts w:ascii="Verdana" w:hAnsi="Verdana"/>
                        <w:sz w:val="13"/>
                        <w:szCs w:val="13"/>
                        <w:lang w:val="de-DE"/>
                      </w:rPr>
                    </w:pPr>
                    <w:r w:rsidRPr="00974FDB">
                      <w:rPr>
                        <w:rFonts w:ascii="Verdana" w:hAnsi="Verdana"/>
                        <w:sz w:val="13"/>
                        <w:szCs w:val="13"/>
                        <w:lang w:val="de-DE"/>
                      </w:rPr>
                      <w:t>2024-0000797705</w:t>
                    </w:r>
                  </w:p>
                  <w:p w14:paraId="645D0F6C" w14:textId="77777777" w:rsidR="00F35CDD" w:rsidRPr="00704928" w:rsidRDefault="00F35CDD">
                    <w:pPr>
                      <w:pStyle w:val="WitregelW1"/>
                      <w:rPr>
                        <w:lang w:val="de-DE"/>
                      </w:rPr>
                    </w:pPr>
                  </w:p>
                  <w:p w14:paraId="61259A7E" w14:textId="01381F0F" w:rsidR="003371CF"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F83084" wp14:editId="4B69F69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B5EE67" w14:textId="77777777" w:rsidR="003371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F8308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DB5EE67" w14:textId="77777777" w:rsidR="003371C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25F95D" wp14:editId="3ADC3DF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D2AEE4" w14:textId="77777777" w:rsidR="00D1769B" w:rsidRDefault="00D1769B"/>
                      </w:txbxContent>
                    </wps:txbx>
                    <wps:bodyPr vert="horz" wrap="square" lIns="0" tIns="0" rIns="0" bIns="0" anchor="t" anchorCtr="0"/>
                  </wps:wsp>
                </a:graphicData>
              </a:graphic>
            </wp:anchor>
          </w:drawing>
        </mc:Choice>
        <mc:Fallback>
          <w:pict>
            <v:shape w14:anchorId="3B25F95D"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BD2AEE4" w14:textId="77777777" w:rsidR="00D1769B" w:rsidRDefault="00D176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E5FCC"/>
    <w:multiLevelType w:val="multilevel"/>
    <w:tmpl w:val="814748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91CED27"/>
    <w:multiLevelType w:val="multilevel"/>
    <w:tmpl w:val="E0248E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96AE0"/>
    <w:multiLevelType w:val="multilevel"/>
    <w:tmpl w:val="A19A10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6C64F1A"/>
    <w:multiLevelType w:val="hybridMultilevel"/>
    <w:tmpl w:val="028AC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CD1C0F"/>
    <w:multiLevelType w:val="hybridMultilevel"/>
    <w:tmpl w:val="2E76A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133"/>
    <w:multiLevelType w:val="hybridMultilevel"/>
    <w:tmpl w:val="10BA20A0"/>
    <w:lvl w:ilvl="0" w:tplc="BE86CD1E">
      <w:numFmt w:val="bullet"/>
      <w:lvlText w:val="-"/>
      <w:lvlJc w:val="left"/>
      <w:pPr>
        <w:ind w:left="720" w:hanging="360"/>
      </w:pPr>
      <w:rPr>
        <w:rFonts w:ascii="Verdana" w:eastAsiaTheme="minorHAnsi" w:hAnsi="Verdana" w:cs="Calibri" w:hint="default"/>
      </w:rPr>
    </w:lvl>
    <w:lvl w:ilvl="1" w:tplc="1C90290A">
      <w:start w:val="2"/>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A9CDE7"/>
    <w:multiLevelType w:val="multilevel"/>
    <w:tmpl w:val="42E183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4456978"/>
    <w:multiLevelType w:val="hybridMultilevel"/>
    <w:tmpl w:val="C240B4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2E4DA4"/>
    <w:multiLevelType w:val="multilevel"/>
    <w:tmpl w:val="0A71E64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B9D023F"/>
    <w:multiLevelType w:val="multilevel"/>
    <w:tmpl w:val="90B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598568">
    <w:abstractNumId w:val="8"/>
  </w:num>
  <w:num w:numId="2" w16cid:durableId="249389297">
    <w:abstractNumId w:val="0"/>
  </w:num>
  <w:num w:numId="3" w16cid:durableId="212468335">
    <w:abstractNumId w:val="2"/>
  </w:num>
  <w:num w:numId="4" w16cid:durableId="2000645018">
    <w:abstractNumId w:val="1"/>
  </w:num>
  <w:num w:numId="5" w16cid:durableId="371421943">
    <w:abstractNumId w:val="6"/>
  </w:num>
  <w:num w:numId="6" w16cid:durableId="1733848303">
    <w:abstractNumId w:val="7"/>
  </w:num>
  <w:num w:numId="7" w16cid:durableId="488405503">
    <w:abstractNumId w:val="5"/>
  </w:num>
  <w:num w:numId="8" w16cid:durableId="235361564">
    <w:abstractNumId w:val="4"/>
  </w:num>
  <w:num w:numId="9" w16cid:durableId="1023936956">
    <w:abstractNumId w:val="9"/>
  </w:num>
  <w:num w:numId="10" w16cid:durableId="2085298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28"/>
    <w:rsid w:val="00000531"/>
    <w:rsid w:val="000103A7"/>
    <w:rsid w:val="00016E56"/>
    <w:rsid w:val="00023B66"/>
    <w:rsid w:val="00023D59"/>
    <w:rsid w:val="00057731"/>
    <w:rsid w:val="00082F76"/>
    <w:rsid w:val="00090547"/>
    <w:rsid w:val="00095874"/>
    <w:rsid w:val="000A1935"/>
    <w:rsid w:val="000B0788"/>
    <w:rsid w:val="000B6A11"/>
    <w:rsid w:val="000C392D"/>
    <w:rsid w:val="001013D3"/>
    <w:rsid w:val="00106C48"/>
    <w:rsid w:val="0011654A"/>
    <w:rsid w:val="00116F3A"/>
    <w:rsid w:val="00120B53"/>
    <w:rsid w:val="0015152D"/>
    <w:rsid w:val="00151E0D"/>
    <w:rsid w:val="00153307"/>
    <w:rsid w:val="00154D2E"/>
    <w:rsid w:val="00157163"/>
    <w:rsid w:val="00161FF4"/>
    <w:rsid w:val="00175384"/>
    <w:rsid w:val="0018041B"/>
    <w:rsid w:val="00181885"/>
    <w:rsid w:val="001964BA"/>
    <w:rsid w:val="001A2CEE"/>
    <w:rsid w:val="001A37BB"/>
    <w:rsid w:val="001A6F0E"/>
    <w:rsid w:val="001B066B"/>
    <w:rsid w:val="001B1ECD"/>
    <w:rsid w:val="001B73D7"/>
    <w:rsid w:val="001C47D9"/>
    <w:rsid w:val="001D240D"/>
    <w:rsid w:val="001E381C"/>
    <w:rsid w:val="001F15A3"/>
    <w:rsid w:val="00200B55"/>
    <w:rsid w:val="00207C38"/>
    <w:rsid w:val="00212A4A"/>
    <w:rsid w:val="00215C43"/>
    <w:rsid w:val="0023367E"/>
    <w:rsid w:val="00247041"/>
    <w:rsid w:val="00251B7E"/>
    <w:rsid w:val="00255A9A"/>
    <w:rsid w:val="00266EA2"/>
    <w:rsid w:val="002705F8"/>
    <w:rsid w:val="002720AA"/>
    <w:rsid w:val="002954CB"/>
    <w:rsid w:val="002A2A3E"/>
    <w:rsid w:val="002A37CF"/>
    <w:rsid w:val="002A3B6E"/>
    <w:rsid w:val="002B1F69"/>
    <w:rsid w:val="002B7388"/>
    <w:rsid w:val="002B79CB"/>
    <w:rsid w:val="002C4599"/>
    <w:rsid w:val="002C5D8B"/>
    <w:rsid w:val="002D1584"/>
    <w:rsid w:val="002E6CB5"/>
    <w:rsid w:val="002F4B8E"/>
    <w:rsid w:val="002F5619"/>
    <w:rsid w:val="003026D9"/>
    <w:rsid w:val="00311DA6"/>
    <w:rsid w:val="00313B78"/>
    <w:rsid w:val="00321CFB"/>
    <w:rsid w:val="00327A70"/>
    <w:rsid w:val="003336C3"/>
    <w:rsid w:val="003371CF"/>
    <w:rsid w:val="00345FD6"/>
    <w:rsid w:val="0035414A"/>
    <w:rsid w:val="00360FC3"/>
    <w:rsid w:val="00361A31"/>
    <w:rsid w:val="00361FBB"/>
    <w:rsid w:val="003712FD"/>
    <w:rsid w:val="00372248"/>
    <w:rsid w:val="003823AA"/>
    <w:rsid w:val="00383C5D"/>
    <w:rsid w:val="0038414E"/>
    <w:rsid w:val="003869C5"/>
    <w:rsid w:val="003B057B"/>
    <w:rsid w:val="003B7491"/>
    <w:rsid w:val="003C4B70"/>
    <w:rsid w:val="003C710B"/>
    <w:rsid w:val="003D4D5B"/>
    <w:rsid w:val="003F502F"/>
    <w:rsid w:val="003F570E"/>
    <w:rsid w:val="00403604"/>
    <w:rsid w:val="004062E2"/>
    <w:rsid w:val="004177CA"/>
    <w:rsid w:val="00421890"/>
    <w:rsid w:val="004450BC"/>
    <w:rsid w:val="00451E6F"/>
    <w:rsid w:val="004622B8"/>
    <w:rsid w:val="00471313"/>
    <w:rsid w:val="00473CE0"/>
    <w:rsid w:val="00485E00"/>
    <w:rsid w:val="00491897"/>
    <w:rsid w:val="00495383"/>
    <w:rsid w:val="00495839"/>
    <w:rsid w:val="004A570F"/>
    <w:rsid w:val="004B19D7"/>
    <w:rsid w:val="004C3D07"/>
    <w:rsid w:val="004E6307"/>
    <w:rsid w:val="00530CDD"/>
    <w:rsid w:val="00536A5D"/>
    <w:rsid w:val="005415C7"/>
    <w:rsid w:val="00543A63"/>
    <w:rsid w:val="00566F2C"/>
    <w:rsid w:val="005A3D65"/>
    <w:rsid w:val="005A4EE8"/>
    <w:rsid w:val="005B0BE3"/>
    <w:rsid w:val="005C0FE0"/>
    <w:rsid w:val="005D5BC5"/>
    <w:rsid w:val="005D715F"/>
    <w:rsid w:val="005D772E"/>
    <w:rsid w:val="005E039E"/>
    <w:rsid w:val="005F4F93"/>
    <w:rsid w:val="005F6B18"/>
    <w:rsid w:val="00612B8A"/>
    <w:rsid w:val="00613F4B"/>
    <w:rsid w:val="0064068E"/>
    <w:rsid w:val="006700A4"/>
    <w:rsid w:val="00671079"/>
    <w:rsid w:val="00673E9F"/>
    <w:rsid w:val="00680552"/>
    <w:rsid w:val="00685539"/>
    <w:rsid w:val="00692269"/>
    <w:rsid w:val="00696C50"/>
    <w:rsid w:val="006A3E01"/>
    <w:rsid w:val="006A4E16"/>
    <w:rsid w:val="006D36E5"/>
    <w:rsid w:val="006D57E9"/>
    <w:rsid w:val="006D688D"/>
    <w:rsid w:val="006D6CAA"/>
    <w:rsid w:val="006E222F"/>
    <w:rsid w:val="006E4A78"/>
    <w:rsid w:val="006F3E73"/>
    <w:rsid w:val="00704928"/>
    <w:rsid w:val="00724307"/>
    <w:rsid w:val="00732A68"/>
    <w:rsid w:val="00743588"/>
    <w:rsid w:val="007535A4"/>
    <w:rsid w:val="00757171"/>
    <w:rsid w:val="00771F9A"/>
    <w:rsid w:val="00772111"/>
    <w:rsid w:val="007727E6"/>
    <w:rsid w:val="007854D4"/>
    <w:rsid w:val="00790224"/>
    <w:rsid w:val="00796354"/>
    <w:rsid w:val="007A09BD"/>
    <w:rsid w:val="007B4E79"/>
    <w:rsid w:val="007B7D21"/>
    <w:rsid w:val="007B7F38"/>
    <w:rsid w:val="007E252B"/>
    <w:rsid w:val="007E4C8E"/>
    <w:rsid w:val="00801325"/>
    <w:rsid w:val="00813917"/>
    <w:rsid w:val="00813D8E"/>
    <w:rsid w:val="00834493"/>
    <w:rsid w:val="00840230"/>
    <w:rsid w:val="008438B4"/>
    <w:rsid w:val="00845ECB"/>
    <w:rsid w:val="008522AA"/>
    <w:rsid w:val="00853E19"/>
    <w:rsid w:val="008540A2"/>
    <w:rsid w:val="00863BB3"/>
    <w:rsid w:val="008714C2"/>
    <w:rsid w:val="0088733F"/>
    <w:rsid w:val="00894678"/>
    <w:rsid w:val="008A6A84"/>
    <w:rsid w:val="008D3578"/>
    <w:rsid w:val="008F47C8"/>
    <w:rsid w:val="009016E5"/>
    <w:rsid w:val="00903D18"/>
    <w:rsid w:val="00905F76"/>
    <w:rsid w:val="00907439"/>
    <w:rsid w:val="00910DB9"/>
    <w:rsid w:val="009112F5"/>
    <w:rsid w:val="00921125"/>
    <w:rsid w:val="00921E92"/>
    <w:rsid w:val="00922A55"/>
    <w:rsid w:val="00924B12"/>
    <w:rsid w:val="009252CF"/>
    <w:rsid w:val="00952F40"/>
    <w:rsid w:val="0095651F"/>
    <w:rsid w:val="0096117B"/>
    <w:rsid w:val="00961271"/>
    <w:rsid w:val="009621EB"/>
    <w:rsid w:val="00974500"/>
    <w:rsid w:val="00974B62"/>
    <w:rsid w:val="00974FDB"/>
    <w:rsid w:val="00976FF9"/>
    <w:rsid w:val="0097773C"/>
    <w:rsid w:val="00981698"/>
    <w:rsid w:val="00983DAA"/>
    <w:rsid w:val="009A0C7D"/>
    <w:rsid w:val="009B1EE5"/>
    <w:rsid w:val="00A06E75"/>
    <w:rsid w:val="00A11CB1"/>
    <w:rsid w:val="00A1423C"/>
    <w:rsid w:val="00A14359"/>
    <w:rsid w:val="00A4775D"/>
    <w:rsid w:val="00A5685A"/>
    <w:rsid w:val="00A6782F"/>
    <w:rsid w:val="00A73F61"/>
    <w:rsid w:val="00A74506"/>
    <w:rsid w:val="00A84AE4"/>
    <w:rsid w:val="00A84E6B"/>
    <w:rsid w:val="00A97863"/>
    <w:rsid w:val="00AB075C"/>
    <w:rsid w:val="00AB1D62"/>
    <w:rsid w:val="00AC5A66"/>
    <w:rsid w:val="00AC5F0D"/>
    <w:rsid w:val="00AD3796"/>
    <w:rsid w:val="00AF2752"/>
    <w:rsid w:val="00AF2AA7"/>
    <w:rsid w:val="00B06D56"/>
    <w:rsid w:val="00B1559F"/>
    <w:rsid w:val="00B15CE2"/>
    <w:rsid w:val="00B21B42"/>
    <w:rsid w:val="00B41B5B"/>
    <w:rsid w:val="00B46B5A"/>
    <w:rsid w:val="00B475C5"/>
    <w:rsid w:val="00B600BC"/>
    <w:rsid w:val="00B6300C"/>
    <w:rsid w:val="00B65449"/>
    <w:rsid w:val="00B717A3"/>
    <w:rsid w:val="00B85953"/>
    <w:rsid w:val="00B9643E"/>
    <w:rsid w:val="00BB2119"/>
    <w:rsid w:val="00BD28BC"/>
    <w:rsid w:val="00BF0F0D"/>
    <w:rsid w:val="00BF487A"/>
    <w:rsid w:val="00C04632"/>
    <w:rsid w:val="00C27784"/>
    <w:rsid w:val="00C41CC5"/>
    <w:rsid w:val="00C45F01"/>
    <w:rsid w:val="00C4611D"/>
    <w:rsid w:val="00C70411"/>
    <w:rsid w:val="00C83136"/>
    <w:rsid w:val="00CA035C"/>
    <w:rsid w:val="00CA45E9"/>
    <w:rsid w:val="00CA58E2"/>
    <w:rsid w:val="00CB4A79"/>
    <w:rsid w:val="00CC763F"/>
    <w:rsid w:val="00D12935"/>
    <w:rsid w:val="00D1769B"/>
    <w:rsid w:val="00D20A66"/>
    <w:rsid w:val="00D25E44"/>
    <w:rsid w:val="00D308A9"/>
    <w:rsid w:val="00D32AE5"/>
    <w:rsid w:val="00D40F33"/>
    <w:rsid w:val="00D5235E"/>
    <w:rsid w:val="00D63A30"/>
    <w:rsid w:val="00D73749"/>
    <w:rsid w:val="00D90B76"/>
    <w:rsid w:val="00DA43CA"/>
    <w:rsid w:val="00DA4D27"/>
    <w:rsid w:val="00DC3FAA"/>
    <w:rsid w:val="00DC4F7C"/>
    <w:rsid w:val="00DE0CD0"/>
    <w:rsid w:val="00DE3CD4"/>
    <w:rsid w:val="00DE4261"/>
    <w:rsid w:val="00DF7C87"/>
    <w:rsid w:val="00E25177"/>
    <w:rsid w:val="00E2766E"/>
    <w:rsid w:val="00E742BA"/>
    <w:rsid w:val="00E866F3"/>
    <w:rsid w:val="00EA7BA1"/>
    <w:rsid w:val="00EB6C4A"/>
    <w:rsid w:val="00EC3B1C"/>
    <w:rsid w:val="00EC45A6"/>
    <w:rsid w:val="00ED7270"/>
    <w:rsid w:val="00ED7876"/>
    <w:rsid w:val="00ED7BF3"/>
    <w:rsid w:val="00F03D82"/>
    <w:rsid w:val="00F07F37"/>
    <w:rsid w:val="00F20194"/>
    <w:rsid w:val="00F2093B"/>
    <w:rsid w:val="00F35CDD"/>
    <w:rsid w:val="00F60C81"/>
    <w:rsid w:val="00F65CAE"/>
    <w:rsid w:val="00F66944"/>
    <w:rsid w:val="00F7261C"/>
    <w:rsid w:val="00F87931"/>
    <w:rsid w:val="00F96DC0"/>
    <w:rsid w:val="00FA30D4"/>
    <w:rsid w:val="00FA3A4A"/>
    <w:rsid w:val="00FB1D53"/>
    <w:rsid w:val="00FC21D5"/>
    <w:rsid w:val="00FC4B7E"/>
    <w:rsid w:val="00FC5C79"/>
    <w:rsid w:val="00FD1A1C"/>
    <w:rsid w:val="00FF3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6B510"/>
  <w15:docId w15:val="{46883AC7-BD1A-411A-A8DD-160BB7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4928"/>
    <w:pPr>
      <w:autoSpaceDN/>
      <w:spacing w:after="160" w:line="259" w:lineRule="auto"/>
      <w:textAlignment w:val="auto"/>
    </w:pPr>
    <w:rPr>
      <w:rFonts w:asciiTheme="minorHAnsi" w:eastAsiaTheme="minorHAnsi" w:hAnsiTheme="minorHAnsi" w:cstheme="minorBidi"/>
      <w:sz w:val="22"/>
      <w:szCs w:val="22"/>
      <w:lang w:eastAsia="en-US"/>
    </w:rPr>
  </w:style>
  <w:style w:type="paragraph" w:styleId="Kop1">
    <w:name w:val="heading 1"/>
    <w:basedOn w:val="Standaard"/>
    <w:next w:val="Standaard"/>
    <w:uiPriority w:val="1"/>
    <w:qFormat/>
    <w:pPr>
      <w:tabs>
        <w:tab w:val="left" w:pos="0"/>
      </w:tabs>
      <w:spacing w:before="240" w:after="0" w:line="240" w:lineRule="exact"/>
      <w:outlineLvl w:val="0"/>
    </w:pPr>
    <w:rPr>
      <w:rFonts w:ascii="Verdana" w:hAnsi="Verdana"/>
      <w:b/>
      <w:color w:val="000000"/>
      <w:sz w:val="18"/>
      <w:szCs w:val="18"/>
    </w:rPr>
  </w:style>
  <w:style w:type="paragraph" w:styleId="Kop2">
    <w:name w:val="heading 2"/>
    <w:basedOn w:val="Standaard"/>
    <w:next w:val="Standaard"/>
    <w:uiPriority w:val="2"/>
    <w:qFormat/>
    <w:pPr>
      <w:tabs>
        <w:tab w:val="left" w:pos="0"/>
      </w:tabs>
      <w:spacing w:before="240" w:after="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after="0" w:line="240" w:lineRule="exact"/>
      <w:ind w:left="-1120"/>
      <w:outlineLvl w:val="2"/>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after="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rPr>
      <w:rFonts w:ascii="Verdana" w:hAnsi="Verdana"/>
      <w:color w:val="000000"/>
      <w:sz w:val="18"/>
      <w:szCs w:val="18"/>
    </w:rPr>
  </w:style>
  <w:style w:type="paragraph" w:customStyle="1" w:styleId="Lijstniveau2">
    <w:name w:val="Lijst niveau 2"/>
    <w:basedOn w:val="Standaard"/>
    <w:uiPriority w:val="4"/>
    <w:qFormat/>
    <w:pPr>
      <w:numPr>
        <w:ilvl w:val="1"/>
        <w:numId w:val="4"/>
      </w:numPr>
      <w:spacing w:line="240" w:lineRule="exact"/>
    </w:pPr>
    <w:rPr>
      <w:rFonts w:ascii="Verdana" w:hAnsi="Verdana"/>
      <w:color w:val="000000"/>
      <w:sz w:val="18"/>
      <w:szCs w:val="18"/>
    </w:rPr>
  </w:style>
  <w:style w:type="paragraph" w:customStyle="1" w:styleId="Lijstniveau3">
    <w:name w:val="Lijst niveau 3"/>
    <w:basedOn w:val="Standaard"/>
    <w:uiPriority w:val="5"/>
    <w:qFormat/>
    <w:pPr>
      <w:numPr>
        <w:ilvl w:val="2"/>
        <w:numId w:val="4"/>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rFonts w:ascii="Verdana" w:hAnsi="Verdana"/>
      <w:color w:val="000000"/>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49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4928"/>
    <w:rPr>
      <w:rFonts w:ascii="Verdana" w:hAnsi="Verdana"/>
      <w:color w:val="000000"/>
      <w:sz w:val="18"/>
      <w:szCs w:val="18"/>
    </w:rPr>
  </w:style>
  <w:style w:type="paragraph" w:styleId="Voettekst">
    <w:name w:val="footer"/>
    <w:basedOn w:val="Standaard"/>
    <w:link w:val="VoettekstChar"/>
    <w:uiPriority w:val="99"/>
    <w:unhideWhenUsed/>
    <w:rsid w:val="007049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4928"/>
    <w:rPr>
      <w:rFonts w:ascii="Verdana" w:hAnsi="Verdana"/>
      <w:color w:val="000000"/>
      <w:sz w:val="18"/>
      <w:szCs w:val="18"/>
    </w:rPr>
  </w:style>
  <w:style w:type="paragraph" w:styleId="Lijstalinea">
    <w:name w:val="List Paragraph"/>
    <w:basedOn w:val="Standaard"/>
    <w:uiPriority w:val="34"/>
    <w:qFormat/>
    <w:rsid w:val="00704928"/>
    <w:pPr>
      <w:spacing w:line="252" w:lineRule="auto"/>
      <w:ind w:left="720"/>
      <w:contextualSpacing/>
    </w:pPr>
    <w:rPr>
      <w:rFonts w:ascii="Calibri" w:hAnsi="Calibri" w:cs="Calibri"/>
    </w:rPr>
  </w:style>
  <w:style w:type="paragraph" w:styleId="Revisie">
    <w:name w:val="Revision"/>
    <w:hidden/>
    <w:uiPriority w:val="99"/>
    <w:semiHidden/>
    <w:rsid w:val="00704928"/>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2A3B6E"/>
    <w:rPr>
      <w:sz w:val="16"/>
      <w:szCs w:val="16"/>
    </w:rPr>
  </w:style>
  <w:style w:type="paragraph" w:styleId="Tekstopmerking">
    <w:name w:val="annotation text"/>
    <w:basedOn w:val="Standaard"/>
    <w:link w:val="TekstopmerkingChar"/>
    <w:uiPriority w:val="99"/>
    <w:unhideWhenUsed/>
    <w:rsid w:val="002A3B6E"/>
    <w:pPr>
      <w:spacing w:line="240" w:lineRule="auto"/>
    </w:pPr>
    <w:rPr>
      <w:sz w:val="20"/>
      <w:szCs w:val="20"/>
    </w:rPr>
  </w:style>
  <w:style w:type="character" w:customStyle="1" w:styleId="TekstopmerkingChar">
    <w:name w:val="Tekst opmerking Char"/>
    <w:basedOn w:val="Standaardalinea-lettertype"/>
    <w:link w:val="Tekstopmerking"/>
    <w:uiPriority w:val="99"/>
    <w:rsid w:val="002A3B6E"/>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2A3B6E"/>
    <w:rPr>
      <w:b/>
      <w:bCs/>
    </w:rPr>
  </w:style>
  <w:style w:type="character" w:customStyle="1" w:styleId="OnderwerpvanopmerkingChar">
    <w:name w:val="Onderwerp van opmerking Char"/>
    <w:basedOn w:val="TekstopmerkingChar"/>
    <w:link w:val="Onderwerpvanopmerking"/>
    <w:uiPriority w:val="99"/>
    <w:semiHidden/>
    <w:rsid w:val="002A3B6E"/>
    <w:rPr>
      <w:rFonts w:asciiTheme="minorHAnsi" w:eastAsiaTheme="minorHAnsi" w:hAnsiTheme="minorHAnsi" w:cstheme="minorBidi"/>
      <w:b/>
      <w:bCs/>
      <w:lang w:eastAsia="en-US"/>
    </w:rPr>
  </w:style>
  <w:style w:type="paragraph" w:styleId="Voetnoottekst">
    <w:name w:val="footnote text"/>
    <w:basedOn w:val="Standaard"/>
    <w:link w:val="VoetnoottekstChar"/>
    <w:uiPriority w:val="99"/>
    <w:semiHidden/>
    <w:unhideWhenUsed/>
    <w:rsid w:val="00922A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2A5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922A55"/>
    <w:rPr>
      <w:vertAlign w:val="superscript"/>
    </w:rPr>
  </w:style>
  <w:style w:type="character" w:styleId="Onopgelostemelding">
    <w:name w:val="Unresolved Mention"/>
    <w:basedOn w:val="Standaardalinea-lettertype"/>
    <w:uiPriority w:val="99"/>
    <w:semiHidden/>
    <w:unhideWhenUsed/>
    <w:rsid w:val="00B21B42"/>
    <w:rPr>
      <w:color w:val="605E5C"/>
      <w:shd w:val="clear" w:color="auto" w:fill="E1DFDD"/>
    </w:rPr>
  </w:style>
  <w:style w:type="paragraph" w:styleId="Normaalweb">
    <w:name w:val="Normal (Web)"/>
    <w:basedOn w:val="Standaard"/>
    <w:uiPriority w:val="99"/>
    <w:semiHidden/>
    <w:unhideWhenUsed/>
    <w:rsid w:val="00321CF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44176">
      <w:bodyDiv w:val="1"/>
      <w:marLeft w:val="0"/>
      <w:marRight w:val="0"/>
      <w:marTop w:val="0"/>
      <w:marBottom w:val="0"/>
      <w:divBdr>
        <w:top w:val="none" w:sz="0" w:space="0" w:color="auto"/>
        <w:left w:val="none" w:sz="0" w:space="0" w:color="auto"/>
        <w:bottom w:val="none" w:sz="0" w:space="0" w:color="auto"/>
        <w:right w:val="none" w:sz="0" w:space="0" w:color="auto"/>
      </w:divBdr>
    </w:div>
    <w:div w:id="791633753">
      <w:bodyDiv w:val="1"/>
      <w:marLeft w:val="0"/>
      <w:marRight w:val="0"/>
      <w:marTop w:val="0"/>
      <w:marBottom w:val="0"/>
      <w:divBdr>
        <w:top w:val="none" w:sz="0" w:space="0" w:color="auto"/>
        <w:left w:val="none" w:sz="0" w:space="0" w:color="auto"/>
        <w:bottom w:val="none" w:sz="0" w:space="0" w:color="auto"/>
        <w:right w:val="none" w:sz="0" w:space="0" w:color="auto"/>
      </w:divBdr>
    </w:div>
    <w:div w:id="132848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gemeenten/gemeentelijke-herindel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6749</ap:Words>
  <ap:Characters>37121</ap:Characters>
  <ap:DocSecurity>0</ap:DocSecurity>
  <ap:Lines>309</ap:Lines>
  <ap:Paragraphs>87</ap:Paragraphs>
  <ap:ScaleCrop>false</ap:ScaleCrop>
  <ap:HeadingPairs>
    <vt:vector baseType="variant" size="2">
      <vt:variant>
        <vt:lpstr>Titel</vt:lpstr>
      </vt:variant>
      <vt:variant>
        <vt:i4>1</vt:i4>
      </vt:variant>
    </vt:vector>
  </ap:HeadingPairs>
  <ap:TitlesOfParts>
    <vt:vector baseType="lpstr" size="1">
      <vt:lpstr>Brief - Onderzoek toereikendheid juridische en beleidsmatige kaders bij splitsing van gemeenten</vt:lpstr>
    </vt:vector>
  </ap:TitlesOfParts>
  <ap:LinksUpToDate>false</ap:LinksUpToDate>
  <ap:CharactersWithSpaces>43783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2024-09-24T09:18:00.0000000Z</dcterms:created>
  <dcterms:modified xsi:type="dcterms:W3CDTF">2025-04-01T09:21:00.0000000Z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Nadere analyse toereikendheid juridische en beleidsmatige kaders bij splitsing van gemeenten</vt:lpwstr>
  </property>
  <property fmtid="{D5CDD505-2E9C-101B-9397-08002B2CF9AE}" pid="5" name="Publicatiedatum">
    <vt:lpwstr/>
  </property>
  <property fmtid="{D5CDD505-2E9C-101B-9397-08002B2CF9AE}" pid="6" name="Verantwoordelijke organisatie">
    <vt:lpwstr>DGOBDR-CZW-Wetgev. Staatsinricht &amp; Best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Aan de Voorzitter van de Tweede Kamer der Staten-Generaal_x000d_
 _x000d_
Postbus 20018_x000d_
2500 EA  Den Haag_x000d_
</vt:lpwstr>
  </property>
  <property fmtid="{D5CDD505-2E9C-101B-9397-08002B2CF9AE}" pid="11" name="Van">
    <vt:lpwstr/>
  </property>
  <property fmtid="{D5CDD505-2E9C-101B-9397-08002B2CF9AE}" pid="12" name="Datum">
    <vt:lpwstr>31 maart 2025</vt:lpwstr>
  </property>
  <property fmtid="{D5CDD505-2E9C-101B-9397-08002B2CF9AE}" pid="13" name="Opgesteld door, Naam">
    <vt:lpwstr>Korné Boerman</vt:lpwstr>
  </property>
  <property fmtid="{D5CDD505-2E9C-101B-9397-08002B2CF9AE}" pid="14" name="Opgesteld door, Telefoonnummer">
    <vt:lpwstr/>
  </property>
  <property fmtid="{D5CDD505-2E9C-101B-9397-08002B2CF9AE}" pid="15" name="Kenmerk">
    <vt:lpwstr>2024-0000797705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Onderzoek toereikendheid juridische en beleidsmatige kaders bij splitsing van gemeenten</vt:lpwstr>
  </property>
  <property fmtid="{D5CDD505-2E9C-101B-9397-08002B2CF9AE}" pid="30" name="UwKenmerk">
    <vt:lpwstr/>
  </property>
</Properties>
</file>