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2025Z06136</w:t>
        <w:br/>
      </w:r>
      <w:proofErr w:type="spellEnd"/>
    </w:p>
    <w:p>
      <w:pPr>
        <w:pStyle w:val="Normal"/>
        <w:rPr>
          <w:b w:val="1"/>
          <w:bCs w:val="1"/>
        </w:rPr>
      </w:pPr>
      <w:r w:rsidR="250AE766">
        <w:rPr>
          <w:b w:val="0"/>
          <w:bCs w:val="0"/>
        </w:rPr>
        <w:t>(ingezonden 1 april 2025)</w:t>
        <w:br/>
      </w:r>
    </w:p>
    <w:p>
      <w:r>
        <w:t xml:space="preserve">Vragen van de leden Paternotte (D66) en Piri (GroenLinks-PvdA) aan de minister van Buitenlandse Zaken over het bericht 'Netanyahu ondanks arrestatiebevel van strafhof naar Orbán in Hongarije'</w:t>
      </w:r>
      <w:r>
        <w:br/>
      </w:r>
    </w:p>
    <w:p>
      <w:pPr>
        <w:pStyle w:val="ListParagraph"/>
        <w:numPr>
          <w:ilvl w:val="0"/>
          <w:numId w:val="100474010"/>
        </w:numPr>
        <w:ind w:left="360"/>
      </w:pPr>
      <w:r>
        <w:t>Bent u bekend met het bericht 'Netanyahu ondanks arrestatiebevel van strafhof naar Orbán in Hongarije'?[1]</w:t>
      </w:r>
      <w:r>
        <w:br/>
      </w:r>
    </w:p>
    <w:p>
      <w:pPr>
        <w:pStyle w:val="ListParagraph"/>
        <w:numPr>
          <w:ilvl w:val="0"/>
          <w:numId w:val="100474010"/>
        </w:numPr>
        <w:ind w:left="360"/>
      </w:pPr>
      <w:r>
        <w:t>Kunt u bevestigen dat Hongarije als partij bij het Statuut van Rome de plicht heeft om arrestatiebevelen van het Internationaal Strafhof uit te voeren?</w:t>
      </w:r>
      <w:r>
        <w:br/>
      </w:r>
    </w:p>
    <w:p>
      <w:pPr>
        <w:pStyle w:val="ListParagraph"/>
        <w:numPr>
          <w:ilvl w:val="0"/>
          <w:numId w:val="100474010"/>
        </w:numPr>
        <w:ind w:left="360"/>
      </w:pPr>
      <w:r>
        <w:t>Bent u bekend met de resolutie die tijdens de jaarlijkse Vergadering van verdragspartijen bij het Statuut van Rome is aangenomen waarin in paragraaf 7 is opgenomen dat staten die partij zijn bij het Statuut van Rome alle niet-noodzakelijke contacten moeten vermijden met personen tegen wie een arrestatiebevel loopt?[2]</w:t>
      </w:r>
      <w:r>
        <w:br/>
      </w:r>
    </w:p>
    <w:p>
      <w:pPr>
        <w:pStyle w:val="ListParagraph"/>
        <w:numPr>
          <w:ilvl w:val="0"/>
          <w:numId w:val="100474010"/>
        </w:numPr>
        <w:ind w:left="360"/>
      </w:pPr>
      <w:r>
        <w:t>Bent u van mening dat het gaat om een noodzakelijke ontmoeting? Zo ja, waar baseert u dat op?</w:t>
      </w:r>
      <w:r>
        <w:br/>
      </w:r>
    </w:p>
    <w:p>
      <w:pPr>
        <w:pStyle w:val="ListParagraph"/>
        <w:numPr>
          <w:ilvl w:val="0"/>
          <w:numId w:val="100474010"/>
        </w:numPr>
        <w:ind w:left="360"/>
      </w:pPr>
      <w:r>
        <w:t>Bent u bereid uw Hongaarse collega te vragen om opheldering over dit bezoek? Zo nee, waarom niet?</w:t>
      </w:r>
      <w:r>
        <w:br/>
      </w:r>
    </w:p>
    <w:p>
      <w:pPr>
        <w:pStyle w:val="ListParagraph"/>
        <w:numPr>
          <w:ilvl w:val="0"/>
          <w:numId w:val="100474010"/>
        </w:numPr>
        <w:ind w:left="360"/>
      </w:pPr>
      <w:r>
        <w:t>Bent u bereid uw Hongaarse collega aan te spreken op het niet opvolgen van het arrestatiebevel, conform de motie Van Baarle/Piri (Kamerstuk 21501-02, nr. 2960) en de motie Piri c.s. (Kamerstuk 36600-V, nr. 21)?</w:t>
      </w:r>
      <w:r>
        <w:br/>
      </w:r>
    </w:p>
    <w:p>
      <w:pPr>
        <w:pStyle w:val="ListParagraph"/>
        <w:numPr>
          <w:ilvl w:val="0"/>
          <w:numId w:val="100474010"/>
        </w:numPr>
        <w:ind w:left="360"/>
      </w:pPr>
      <w:r>
        <w:t>Welke consequentie bent u voornemens te verbinden aan het niet naleven van de verplichtingen volgend uit het Statuut van Rome?</w:t>
      </w:r>
      <w:r>
        <w:br/>
      </w:r>
    </w:p>
    <w:p>
      <w:pPr>
        <w:pStyle w:val="ListParagraph"/>
        <w:numPr>
          <w:ilvl w:val="0"/>
          <w:numId w:val="100474010"/>
        </w:numPr>
        <w:ind w:left="360"/>
      </w:pPr>
      <w:r>
        <w:t>Bent u bekend met artikel 87 van het Statuut van Rome waarin staat beschreven dat “[w]anneer een Staat die Partij is nalaat te voldoen aan een rechtshulpverzoek in strijd met het in dit Statuut bepaalde, ten gevolge waarvan deze het Hof verhindert zijn taken en bevoegdheden krachtens dit Statuut uit te oefenen, het Hof bevoegd [is] een uitspraak te doen met die strekking en de zaak te verwijzen naar de Vergadering van Staten die Partij zijn.”?</w:t>
      </w:r>
      <w:r>
        <w:br/>
      </w:r>
    </w:p>
    <w:p>
      <w:pPr>
        <w:pStyle w:val="ListParagraph"/>
        <w:numPr>
          <w:ilvl w:val="0"/>
          <w:numId w:val="100474010"/>
        </w:numPr>
        <w:ind w:left="360"/>
      </w:pPr>
      <w:r>
        <w:t>Bent u bereid met verwijzing naar dit artikel het Hof te vragen zich te buigen over deze kwestie? Zo nee, waarom niet?</w:t>
      </w:r>
      <w:r>
        <w:br/>
      </w:r>
    </w:p>
    <w:p>
      <w:pPr>
        <w:pStyle w:val="ListParagraph"/>
        <w:numPr>
          <w:ilvl w:val="0"/>
          <w:numId w:val="100474010"/>
        </w:numPr>
        <w:ind w:left="360"/>
      </w:pPr>
      <w:r>
        <w:t>Bent u bereid de Hongaarse ambassadeur te ontbieden? Zo nee, waarom niet?</w:t>
      </w:r>
      <w:r>
        <w:br/>
      </w:r>
    </w:p>
    <w:p>
      <w:pPr>
        <w:pStyle w:val="ListParagraph"/>
        <w:numPr>
          <w:ilvl w:val="0"/>
          <w:numId w:val="100474010"/>
        </w:numPr>
        <w:ind w:left="360"/>
      </w:pPr>
      <w:r>
        <w:t>Bent u bereid uw Hongaarse collega ter verantwoording te roepen over het niet naleven van het arrestatiebevel tijdens de eerstvolgende Raad Buitenlandse Zaken? En bent u bereid dit gedrag in de Raad stevig te veroordelen?</w:t>
      </w:r>
      <w:r>
        <w:br/>
      </w:r>
    </w:p>
    <w:p>
      <w:r>
        <w:t xml:space="preserve"> </w:t>
      </w:r>
      <w:r>
        <w:br/>
      </w:r>
    </w:p>
    <w:p>
      <w:r>
        <w:t xml:space="preserve">[1] AD, 30 maart 2025, 'Netanyahu ondanks arrestatiebevel van strafhof naar Orban in Hongarije' (https://www.ad.nl/buitenland/netanyahu-ondanks-arrestatiebevel-van-strafhof-naar-orban-in-hongarije~ae31ce37/)</w:t>
      </w:r>
      <w:r>
        <w:br/>
      </w:r>
    </w:p>
    <w:p>
      <w:r>
        <w:t xml:space="preserve">[2] Internationaal Strafhof, Vergadering van verdragspartijen bij het Statuut van Rome 14 december 2023, 'Resolution ICC-ASP/22/Res.5' (https://asp.icc-_cpi.int/sites/default/files/asp_docs/ICC-ASP-22-Res5-AV-ENG.pdf)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900">
    <w:abstractNumId w:val="10047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