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5349D" w:rsidRDefault="00897378" w14:paraId="23E95392" w14:textId="77777777">
      <w:pPr>
        <w:suppressAutoHyphens/>
        <w:contextualSpacing/>
        <w:rPr>
          <w:lang w:val="en-US"/>
        </w:rPr>
      </w:pPr>
      <w:bookmarkStart w:name="bmkOndertekening" w:id="0"/>
      <w:bookmarkStart w:name="bmkMinuut" w:id="1"/>
      <w:bookmarkEnd w:id="0"/>
      <w:bookmarkEnd w:id="1"/>
    </w:p>
    <w:p w:rsidR="00897378" w:rsidP="0025349D" w:rsidRDefault="00897378" w14:paraId="4937BFC9" w14:textId="77777777">
      <w:pPr>
        <w:suppressAutoHyphens/>
        <w:contextualSpacing/>
        <w:rPr>
          <w:lang w:val="en-US"/>
        </w:rPr>
      </w:pPr>
    </w:p>
    <w:p w:rsidRPr="00A97BB8" w:rsidR="00897378" w:rsidP="0025349D" w:rsidRDefault="00000000" w14:paraId="7AC56140" w14:textId="77777777">
      <w:pPr>
        <w:pStyle w:val="Retouradres"/>
        <w:suppressAutoHyphens/>
        <w:contextualSpacing/>
      </w:pPr>
      <w:r w:rsidRPr="00A97BB8">
        <w:t>&gt; Ret</w:t>
      </w:r>
      <w:r w:rsidR="00375EAB">
        <w:t xml:space="preserve">ouradres Postbus 20350 2500 EJ </w:t>
      </w:r>
      <w:r w:rsidR="009A0B66">
        <w:t xml:space="preserve"> </w:t>
      </w:r>
      <w:r w:rsidRPr="00A97BB8">
        <w:t>Den Haag</w:t>
      </w:r>
    </w:p>
    <w:p w:rsidRPr="00A97BB8" w:rsidR="00897378" w:rsidP="0025349D" w:rsidRDefault="00897378" w14:paraId="0130CF49" w14:textId="77777777">
      <w:pPr>
        <w:pStyle w:val="Retouradres"/>
        <w:suppressAutoHyphens/>
        <w:contextualSpacing/>
      </w:pPr>
    </w:p>
    <w:p w:rsidRPr="007539FC" w:rsidR="00897378" w:rsidP="0025349D" w:rsidRDefault="00000000" w14:paraId="488CE0E3" w14:textId="77777777">
      <w:pPr>
        <w:suppressAutoHyphens/>
        <w:contextualSpacing/>
        <w:outlineLvl w:val="0"/>
      </w:pPr>
      <w:r w:rsidRPr="007539FC">
        <w:t>De Voorzitter van de Tweede Kamer</w:t>
      </w:r>
    </w:p>
    <w:p w:rsidRPr="004704C0" w:rsidR="00897378" w:rsidP="0025349D" w:rsidRDefault="00000000" w14:paraId="5F9C353D" w14:textId="77777777">
      <w:pPr>
        <w:suppressAutoHyphens/>
        <w:contextualSpacing/>
        <w:rPr>
          <w:lang w:val="de-DE"/>
        </w:rPr>
      </w:pPr>
      <w:r w:rsidRPr="004704C0">
        <w:rPr>
          <w:lang w:val="de-DE"/>
        </w:rPr>
        <w:t>der Staten-Generaal</w:t>
      </w:r>
    </w:p>
    <w:p w:rsidRPr="004704C0" w:rsidR="00897378" w:rsidP="0025349D" w:rsidRDefault="00000000" w14:paraId="06B34320" w14:textId="77777777">
      <w:pPr>
        <w:suppressAutoHyphens/>
        <w:contextualSpacing/>
        <w:rPr>
          <w:lang w:val="de-DE"/>
        </w:rPr>
      </w:pPr>
      <w:r w:rsidRPr="004704C0">
        <w:rPr>
          <w:lang w:val="de-DE"/>
        </w:rPr>
        <w:t>Postbus 20018</w:t>
      </w:r>
    </w:p>
    <w:p w:rsidRPr="004704C0" w:rsidR="00897378" w:rsidP="0025349D" w:rsidRDefault="00000000" w14:paraId="2622CD90" w14:textId="77777777">
      <w:pPr>
        <w:suppressAutoHyphens/>
        <w:contextualSpacing/>
        <w:rPr>
          <w:lang w:val="de-DE"/>
        </w:rPr>
      </w:pPr>
      <w:r w:rsidRPr="004704C0">
        <w:rPr>
          <w:lang w:val="de-DE"/>
        </w:rPr>
        <w:t>2500 EA DEN HAAG</w:t>
      </w:r>
    </w:p>
    <w:p w:rsidRPr="004704C0" w:rsidR="00897378" w:rsidP="0025349D" w:rsidRDefault="00897378" w14:paraId="2034C3DD" w14:textId="77777777">
      <w:pPr>
        <w:suppressAutoHyphens/>
        <w:contextualSpacing/>
        <w:rPr>
          <w:lang w:val="de-DE"/>
        </w:rPr>
      </w:pPr>
    </w:p>
    <w:p w:rsidRPr="004704C0" w:rsidR="00897378" w:rsidP="0025349D" w:rsidRDefault="00897378" w14:paraId="234AB1C1" w14:textId="77777777">
      <w:pPr>
        <w:suppressAutoHyphens/>
        <w:contextualSpacing/>
        <w:rPr>
          <w:lang w:val="de-DE"/>
        </w:rPr>
      </w:pPr>
    </w:p>
    <w:p w:rsidRPr="004704C0" w:rsidR="00897378" w:rsidP="0025349D" w:rsidRDefault="00897378" w14:paraId="039202FF" w14:textId="77777777">
      <w:pPr>
        <w:suppressAutoHyphens/>
        <w:contextualSpacing/>
        <w:rPr>
          <w:lang w:val="de-DE"/>
        </w:rPr>
      </w:pPr>
    </w:p>
    <w:p w:rsidRPr="004704C0" w:rsidR="00897378" w:rsidP="0025349D" w:rsidRDefault="00897378" w14:paraId="1389A7DD" w14:textId="77777777">
      <w:pPr>
        <w:suppressAutoHyphens/>
        <w:contextualSpacing/>
        <w:rPr>
          <w:lang w:val="de-DE"/>
        </w:rPr>
      </w:pPr>
    </w:p>
    <w:p w:rsidRPr="004704C0" w:rsidR="00897378" w:rsidP="0025349D" w:rsidRDefault="00897378" w14:paraId="22F977BE" w14:textId="77777777">
      <w:pPr>
        <w:suppressAutoHyphens/>
        <w:contextualSpacing/>
        <w:rPr>
          <w:lang w:val="de-DE"/>
        </w:rPr>
      </w:pPr>
    </w:p>
    <w:p w:rsidRPr="004704C0" w:rsidR="00897378" w:rsidP="0025349D" w:rsidRDefault="00897378" w14:paraId="57737F2D" w14:textId="77777777">
      <w:pPr>
        <w:suppressAutoHyphens/>
        <w:contextualSpacing/>
        <w:rPr>
          <w:lang w:val="de-DE"/>
        </w:rPr>
      </w:pPr>
    </w:p>
    <w:p w:rsidRPr="004704C0" w:rsidR="00897378" w:rsidP="0025349D" w:rsidRDefault="00000000" w14:paraId="04E2C24F" w14:textId="7735C5EA">
      <w:pPr>
        <w:tabs>
          <w:tab w:val="left" w:pos="737"/>
        </w:tabs>
        <w:suppressAutoHyphens/>
        <w:contextualSpacing/>
        <w:outlineLvl w:val="0"/>
        <w:rPr>
          <w:lang w:val="de-DE"/>
        </w:rPr>
      </w:pPr>
      <w:r w:rsidRPr="004704C0">
        <w:rPr>
          <w:lang w:val="de-DE"/>
        </w:rPr>
        <w:t>Datum</w:t>
      </w:r>
      <w:r w:rsidRPr="004704C0" w:rsidR="00D74EDF">
        <w:rPr>
          <w:lang w:val="de-DE"/>
        </w:rPr>
        <w:tab/>
      </w:r>
      <w:r w:rsidR="0025349D">
        <w:rPr>
          <w:lang w:val="de-DE"/>
        </w:rPr>
        <w:t xml:space="preserve">1 </w:t>
      </w:r>
      <w:proofErr w:type="spellStart"/>
      <w:r w:rsidR="0025349D">
        <w:rPr>
          <w:lang w:val="de-DE"/>
        </w:rPr>
        <w:t>april</w:t>
      </w:r>
      <w:proofErr w:type="spellEnd"/>
      <w:r w:rsidR="0025349D">
        <w:rPr>
          <w:lang w:val="de-DE"/>
        </w:rPr>
        <w:t xml:space="preserve"> 2025</w:t>
      </w:r>
    </w:p>
    <w:p w:rsidRPr="007539FC" w:rsidR="00897378" w:rsidP="0025349D" w:rsidRDefault="00000000" w14:paraId="0A4505D4" w14:textId="77777777">
      <w:pPr>
        <w:tabs>
          <w:tab w:val="left" w:pos="737"/>
        </w:tabs>
        <w:suppressAutoHyphens/>
        <w:contextualSpacing/>
      </w:pPr>
      <w:r w:rsidRPr="007539FC">
        <w:t>Betreft</w:t>
      </w:r>
      <w:r w:rsidRPr="007539FC">
        <w:tab/>
      </w:r>
      <w:r>
        <w:t>Kamervragen</w:t>
      </w:r>
    </w:p>
    <w:p w:rsidR="00897378" w:rsidP="0025349D" w:rsidRDefault="00897378" w14:paraId="14FD412D" w14:textId="77777777">
      <w:pPr>
        <w:suppressAutoHyphens/>
        <w:contextualSpacing/>
      </w:pPr>
    </w:p>
    <w:p w:rsidRPr="007539FC" w:rsidR="00897378" w:rsidP="0025349D" w:rsidRDefault="00897378" w14:paraId="52BA26CD" w14:textId="77777777">
      <w:pPr>
        <w:suppressAutoHyphens/>
        <w:contextualSpacing/>
      </w:pPr>
    </w:p>
    <w:p w:rsidR="00897378" w:rsidP="0025349D" w:rsidRDefault="00897378" w14:paraId="4A6F5CF1" w14:textId="77777777">
      <w:pPr>
        <w:suppressAutoHyphens/>
        <w:contextualSpacing/>
      </w:pPr>
    </w:p>
    <w:p w:rsidR="00897378" w:rsidP="0025349D" w:rsidRDefault="00000000" w14:paraId="2D4D548E" w14:textId="77777777">
      <w:pPr>
        <w:suppressAutoHyphens/>
        <w:contextualSpacing/>
      </w:pPr>
      <w:r>
        <w:t>Geachte voorzitter,</w:t>
      </w:r>
    </w:p>
    <w:p w:rsidRPr="007539FC" w:rsidR="00897378" w:rsidP="0025349D" w:rsidRDefault="00897378" w14:paraId="0AB19E9C" w14:textId="77777777">
      <w:pPr>
        <w:suppressAutoHyphens/>
        <w:contextualSpacing/>
      </w:pPr>
    </w:p>
    <w:p w:rsidR="00897378" w:rsidP="0025349D" w:rsidRDefault="00000000" w14:paraId="5B1E8409" w14:textId="5553A181">
      <w:pPr>
        <w:suppressAutoHyphens/>
        <w:contextualSpacing/>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437F59">
        <w:rPr>
          <w:spacing w:val="-2"/>
        </w:rPr>
        <w:t xml:space="preserve"> het</w:t>
      </w:r>
      <w:r w:rsidR="00816A94">
        <w:rPr>
          <w:spacing w:val="-2"/>
        </w:rPr>
        <w:t xml:space="preserve"> lid</w:t>
      </w:r>
      <w:r>
        <w:rPr>
          <w:spacing w:val="-2"/>
        </w:rPr>
        <w:t xml:space="preserve"> </w:t>
      </w:r>
      <w:proofErr w:type="spellStart"/>
      <w:r w:rsidR="00B25223">
        <w:t>Bruyning</w:t>
      </w:r>
      <w:proofErr w:type="spellEnd"/>
      <w:r w:rsidR="00B25223">
        <w:t xml:space="preserve"> (NSC)</w:t>
      </w:r>
      <w:r w:rsidR="00674CA6">
        <w:t xml:space="preserve"> </w:t>
      </w:r>
      <w:r>
        <w:rPr>
          <w:spacing w:val="-2"/>
        </w:rPr>
        <w:t xml:space="preserve">over </w:t>
      </w:r>
      <w:r w:rsidR="00B25223">
        <w:t xml:space="preserve">het antwoord op vragen over het bericht 'Kinderen in bedwang gehouden met pijnprikkels, commissie tegen martelen kijkt mee in Nederland'. </w:t>
      </w:r>
      <w:r>
        <w:rPr>
          <w:spacing w:val="-2"/>
        </w:rPr>
        <w:t xml:space="preserve"> (</w:t>
      </w:r>
      <w:r w:rsidR="00B25223">
        <w:t>2025Z03572</w:t>
      </w:r>
      <w:r>
        <w:rPr>
          <w:spacing w:val="-2"/>
        </w:rPr>
        <w:t>).</w:t>
      </w:r>
    </w:p>
    <w:p w:rsidR="00897378" w:rsidP="0025349D" w:rsidRDefault="00897378" w14:paraId="3CBC4468" w14:textId="77777777">
      <w:pPr>
        <w:suppressAutoHyphens/>
        <w:contextualSpacing/>
      </w:pPr>
    </w:p>
    <w:p w:rsidRPr="007A681B" w:rsidR="00437F59" w:rsidP="0025349D" w:rsidRDefault="00437F59" w14:paraId="41CF72C7" w14:textId="77777777">
      <w:pPr>
        <w:suppressAutoHyphens/>
      </w:pPr>
      <w:r w:rsidRPr="007A681B">
        <w:t>Hoogachtend,</w:t>
      </w:r>
    </w:p>
    <w:p w:rsidRPr="007A681B" w:rsidR="00437F59" w:rsidP="0025349D" w:rsidRDefault="00437F59" w14:paraId="4E730652" w14:textId="77777777">
      <w:pPr>
        <w:suppressAutoHyphens/>
        <w:rPr>
          <w:spacing w:val="-2"/>
        </w:rPr>
      </w:pPr>
    </w:p>
    <w:p w:rsidR="00437F59" w:rsidP="0025349D" w:rsidRDefault="00437F59" w14:paraId="2DC66350" w14:textId="77777777">
      <w:pPr>
        <w:widowControl w:val="0"/>
        <w:suppressAutoHyphens/>
        <w:autoSpaceDN w:val="0"/>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437F59" w:rsidP="0025349D" w:rsidRDefault="00437F59" w14:paraId="2EDCC0A4"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437F59" w:rsidP="0025349D" w:rsidRDefault="00437F59" w14:paraId="65D71F7A" w14:textId="77777777">
      <w:pPr>
        <w:widowControl w:val="0"/>
        <w:suppressAutoHyphens/>
        <w:autoSpaceDN w:val="0"/>
        <w:textAlignment w:val="baseline"/>
        <w:rPr>
          <w:rFonts w:eastAsia="SimSun" w:cs="Lohit Hindi"/>
          <w:kern w:val="3"/>
          <w:szCs w:val="18"/>
          <w:lang w:eastAsia="zh-CN" w:bidi="hi-IN"/>
        </w:rPr>
      </w:pPr>
    </w:p>
    <w:p w:rsidRPr="007A681B" w:rsidR="00437F59" w:rsidP="0025349D" w:rsidRDefault="00437F59" w14:paraId="08DF8B9A" w14:textId="77777777">
      <w:pPr>
        <w:widowControl w:val="0"/>
        <w:suppressAutoHyphens/>
        <w:autoSpaceDN w:val="0"/>
        <w:textAlignment w:val="baseline"/>
        <w:rPr>
          <w:rFonts w:eastAsia="SimSun" w:cs="Lohit Hindi"/>
          <w:kern w:val="3"/>
          <w:szCs w:val="18"/>
          <w:lang w:eastAsia="zh-CN" w:bidi="hi-IN"/>
        </w:rPr>
      </w:pPr>
    </w:p>
    <w:p w:rsidRPr="007A681B" w:rsidR="00437F59" w:rsidP="0025349D" w:rsidRDefault="00437F59" w14:paraId="02FB453A" w14:textId="77777777">
      <w:pPr>
        <w:widowControl w:val="0"/>
        <w:suppressAutoHyphens/>
        <w:autoSpaceDN w:val="0"/>
        <w:textAlignment w:val="baseline"/>
      </w:pPr>
    </w:p>
    <w:p w:rsidRPr="007A681B" w:rsidR="00437F59" w:rsidP="0025349D" w:rsidRDefault="00437F59" w14:paraId="7C9B70F9" w14:textId="77777777">
      <w:pPr>
        <w:widowControl w:val="0"/>
        <w:suppressAutoHyphens/>
        <w:autoSpaceDN w:val="0"/>
        <w:textAlignment w:val="baseline"/>
      </w:pPr>
    </w:p>
    <w:p w:rsidRPr="007A681B" w:rsidR="00437F59" w:rsidP="0025349D" w:rsidRDefault="00437F59" w14:paraId="7249F56B" w14:textId="77777777">
      <w:pPr>
        <w:widowControl w:val="0"/>
        <w:suppressAutoHyphens/>
        <w:autoSpaceDN w:val="0"/>
        <w:textAlignment w:val="baseline"/>
      </w:pPr>
    </w:p>
    <w:p w:rsidRPr="007A681B" w:rsidR="00437F59" w:rsidP="0025349D" w:rsidRDefault="00437F59" w14:paraId="1A590F79" w14:textId="77777777">
      <w:pPr>
        <w:widowControl w:val="0"/>
        <w:suppressAutoHyphens/>
        <w:autoSpaceDN w:val="0"/>
        <w:textAlignment w:val="baseline"/>
        <w:rPr>
          <w:rFonts w:eastAsia="SimSun" w:cs="Lohit Hindi"/>
          <w:kern w:val="3"/>
          <w:szCs w:val="18"/>
          <w:lang w:eastAsia="zh-CN" w:bidi="hi-IN"/>
        </w:rPr>
      </w:pPr>
    </w:p>
    <w:p w:rsidRPr="007A61AA" w:rsidR="00437F59" w:rsidP="0025349D" w:rsidRDefault="00437F59" w14:paraId="65B34356" w14:textId="77777777">
      <w:pPr>
        <w:suppressAutoHyphens/>
        <w:spacing w:line="240" w:lineRule="auto"/>
        <w:rPr>
          <w:rFonts w:ascii="Calibri" w:hAnsi="Calibri" w:cs="Calibri"/>
          <w:sz w:val="19"/>
          <w:szCs w:val="19"/>
        </w:rPr>
      </w:pPr>
      <w:r w:rsidRPr="007A61AA">
        <w:rPr>
          <w:rFonts w:cs="Calibri"/>
          <w:sz w:val="19"/>
          <w:szCs w:val="19"/>
        </w:rPr>
        <w:t>Vincent Karremans</w:t>
      </w:r>
    </w:p>
    <w:p w:rsidR="00180FCE" w:rsidP="0025349D" w:rsidRDefault="00180FCE" w14:paraId="111F5B3D" w14:textId="77777777">
      <w:pPr>
        <w:suppressAutoHyphens/>
        <w:contextualSpacing/>
      </w:pPr>
    </w:p>
    <w:p w:rsidR="00180FCE" w:rsidP="0025349D" w:rsidRDefault="00180FCE" w14:paraId="7AFBDAB8" w14:textId="77777777">
      <w:pPr>
        <w:suppressAutoHyphens/>
        <w:contextualSpacing/>
      </w:pPr>
    </w:p>
    <w:p w:rsidR="00180FCE" w:rsidP="0025349D" w:rsidRDefault="00180FCE" w14:paraId="2B02C173" w14:textId="77777777">
      <w:pPr>
        <w:suppressAutoHyphens/>
        <w:contextualSpacing/>
      </w:pPr>
    </w:p>
    <w:p w:rsidR="000F2F05" w:rsidP="0025349D" w:rsidRDefault="000F2F05" w14:paraId="23C43551" w14:textId="77777777">
      <w:pPr>
        <w:suppressAutoHyphens/>
        <w:contextualSpacing/>
      </w:pPr>
    </w:p>
    <w:p w:rsidR="00A97BB8" w:rsidP="0025349D" w:rsidRDefault="00A97BB8" w14:paraId="393E246A" w14:textId="77777777">
      <w:pPr>
        <w:suppressAutoHyphens/>
        <w:contextualSpacing/>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5349D" w:rsidRDefault="00000000" w14:paraId="2007D4FF" w14:textId="02C4E326">
      <w:pPr>
        <w:suppressAutoHyphens/>
        <w:contextualSpacing/>
      </w:pPr>
      <w:r>
        <w:lastRenderedPageBreak/>
        <w:t xml:space="preserve">Antwoorden op </w:t>
      </w:r>
      <w:r w:rsidR="001E37CA">
        <w:t>K</w:t>
      </w:r>
      <w:r>
        <w:t>amervragen van</w:t>
      </w:r>
      <w:r w:rsidR="00816A94">
        <w:t xml:space="preserve"> </w:t>
      </w:r>
      <w:r w:rsidR="00437F59">
        <w:t xml:space="preserve">het </w:t>
      </w:r>
      <w:r w:rsidR="00816A94">
        <w:t>lid</w:t>
      </w:r>
      <w:r w:rsidR="00D1126F">
        <w:t xml:space="preserve"> </w:t>
      </w:r>
      <w:proofErr w:type="spellStart"/>
      <w:r w:rsidR="00B25223">
        <w:t>Bruyning</w:t>
      </w:r>
      <w:proofErr w:type="spellEnd"/>
      <w:r w:rsidR="00B25223">
        <w:t xml:space="preserve"> (NSC)</w:t>
      </w:r>
      <w:r w:rsidR="00B54A56">
        <w:t xml:space="preserve"> </w:t>
      </w:r>
      <w:r>
        <w:t>over</w:t>
      </w:r>
      <w:r w:rsidR="00B25223">
        <w:t xml:space="preserve"> het antwoord op vragen over het bericht 'Kinderen in bedwang gehouden met pijnprikkels, commissie tegen martelen kijkt mee in Nederland'</w:t>
      </w:r>
      <w:r w:rsidR="00437F59">
        <w:t xml:space="preserve"> </w:t>
      </w:r>
      <w:r>
        <w:t>(</w:t>
      </w:r>
      <w:r w:rsidR="00B25223">
        <w:t>2025Z03572</w:t>
      </w:r>
      <w:r w:rsidR="00437F59">
        <w:t>, ingezonden d.d. 26 februari 2025</w:t>
      </w:r>
      <w:r>
        <w:t>)</w:t>
      </w:r>
      <w:r w:rsidR="00B25223">
        <w:t>.</w:t>
      </w:r>
    </w:p>
    <w:p w:rsidR="004704C0" w:rsidP="0025349D" w:rsidRDefault="004704C0" w14:paraId="6782EFFC" w14:textId="77777777">
      <w:pPr>
        <w:suppressAutoHyphens/>
        <w:contextualSpacing/>
      </w:pPr>
    </w:p>
    <w:p w:rsidR="004704C0" w:rsidP="0025349D" w:rsidRDefault="004704C0" w14:paraId="253D7CFA" w14:textId="77777777">
      <w:pPr>
        <w:suppressAutoHyphens/>
        <w:contextualSpacing/>
      </w:pPr>
    </w:p>
    <w:p w:rsidR="004704C0" w:rsidP="0025349D" w:rsidRDefault="00000000" w14:paraId="42F041E9" w14:textId="77777777">
      <w:pPr>
        <w:suppressAutoHyphens/>
        <w:spacing w:after="160" w:line="259" w:lineRule="auto"/>
        <w:contextualSpacing/>
        <w:rPr>
          <w:szCs w:val="18"/>
        </w:rPr>
      </w:pPr>
      <w:r>
        <w:rPr>
          <w:szCs w:val="18"/>
        </w:rPr>
        <w:t>Vraag 1</w:t>
      </w:r>
    </w:p>
    <w:p w:rsidR="004704C0" w:rsidP="0025349D" w:rsidRDefault="00000000" w14:paraId="161D5F3D" w14:textId="77777777">
      <w:pPr>
        <w:suppressAutoHyphens/>
        <w:spacing w:after="160" w:line="259" w:lineRule="auto"/>
        <w:contextualSpacing/>
        <w:rPr>
          <w:szCs w:val="18"/>
        </w:rPr>
      </w:pPr>
      <w:r w:rsidRPr="003E094C">
        <w:rPr>
          <w:szCs w:val="18"/>
        </w:rPr>
        <w:t>Heeft u kennisgenomen van het antwoord op de vragen van het lid Van den Hil door de staatssecretaris van Volksgezondheid, Welzijn en Sport (Jeugd, Preventie en Sport) van 5 november 2024?</w:t>
      </w:r>
      <w:r>
        <w:rPr>
          <w:rStyle w:val="Voetnootmarkering"/>
          <w:szCs w:val="18"/>
        </w:rPr>
        <w:footnoteReference w:id="1"/>
      </w:r>
    </w:p>
    <w:p w:rsidR="003E7EA7" w:rsidP="0025349D" w:rsidRDefault="003E7EA7" w14:paraId="7FDB6798" w14:textId="77777777">
      <w:pPr>
        <w:suppressAutoHyphens/>
        <w:spacing w:after="160" w:line="259" w:lineRule="auto"/>
        <w:contextualSpacing/>
        <w:rPr>
          <w:szCs w:val="18"/>
        </w:rPr>
      </w:pPr>
    </w:p>
    <w:p w:rsidR="00F32C87" w:rsidP="0025349D" w:rsidRDefault="00000000" w14:paraId="1F223A84" w14:textId="77777777">
      <w:pPr>
        <w:suppressAutoHyphens/>
        <w:spacing w:after="160" w:line="259" w:lineRule="auto"/>
        <w:contextualSpacing/>
        <w:rPr>
          <w:szCs w:val="18"/>
        </w:rPr>
      </w:pPr>
      <w:r>
        <w:rPr>
          <w:szCs w:val="18"/>
        </w:rPr>
        <w:t>Antwoord vraag 1</w:t>
      </w:r>
    </w:p>
    <w:p w:rsidR="004704C0" w:rsidP="0025349D" w:rsidRDefault="00000000" w14:paraId="7F2B9D03" w14:textId="77777777">
      <w:pPr>
        <w:suppressAutoHyphens/>
        <w:spacing w:after="160" w:line="259" w:lineRule="auto"/>
        <w:contextualSpacing/>
        <w:rPr>
          <w:szCs w:val="18"/>
        </w:rPr>
      </w:pPr>
      <w:r>
        <w:rPr>
          <w:szCs w:val="18"/>
        </w:rPr>
        <w:t>Ja.</w:t>
      </w:r>
    </w:p>
    <w:p w:rsidR="003E7EA7" w:rsidP="0025349D" w:rsidRDefault="003E7EA7" w14:paraId="47336BBC" w14:textId="77777777">
      <w:pPr>
        <w:suppressAutoHyphens/>
        <w:spacing w:after="160" w:line="259" w:lineRule="auto"/>
        <w:contextualSpacing/>
        <w:rPr>
          <w:szCs w:val="18"/>
        </w:rPr>
      </w:pPr>
    </w:p>
    <w:p w:rsidRPr="003E094C" w:rsidR="004704C0" w:rsidP="0025349D" w:rsidRDefault="00000000" w14:paraId="1AB8D7A7" w14:textId="77777777">
      <w:pPr>
        <w:suppressAutoHyphens/>
        <w:spacing w:after="160" w:line="259" w:lineRule="auto"/>
        <w:contextualSpacing/>
        <w:rPr>
          <w:szCs w:val="18"/>
        </w:rPr>
      </w:pPr>
      <w:r>
        <w:rPr>
          <w:szCs w:val="18"/>
        </w:rPr>
        <w:t>Vraag 2</w:t>
      </w:r>
    </w:p>
    <w:p w:rsidR="004704C0" w:rsidP="0025349D" w:rsidRDefault="00000000" w14:paraId="4035D8AA" w14:textId="77777777">
      <w:pPr>
        <w:suppressAutoHyphens/>
        <w:spacing w:after="160" w:line="259" w:lineRule="auto"/>
        <w:contextualSpacing/>
        <w:rPr>
          <w:szCs w:val="18"/>
        </w:rPr>
      </w:pPr>
      <w:r w:rsidRPr="003E094C">
        <w:rPr>
          <w:szCs w:val="18"/>
        </w:rPr>
        <w:t>Klopt het dat de staatsecretaris in de beantwoording van vraag 9 stelt dat het helaas niet mogelijk is altijd elk incident te voorkomen? Accepteert de overheid dat een stelsel faalt en tot incidenten kan leiden? Kunt u uitleggen hoe dat verenigbaar is met de verplichting van de overheid een kind te beschermen tegen huiselijk geweld en fysieke of emotionele verwaarlozing? Klopt het dat het recht op bescherming hiertegen valt onder het bereik van de artikelen 2, 3 en 8 van het Europees Verdrag voor de Rechten van de Mens?</w:t>
      </w:r>
    </w:p>
    <w:p w:rsidR="003E7EA7" w:rsidP="0025349D" w:rsidRDefault="003E7EA7" w14:paraId="6CC5D808" w14:textId="77777777">
      <w:pPr>
        <w:suppressAutoHyphens/>
        <w:spacing w:after="160" w:line="259" w:lineRule="auto"/>
        <w:contextualSpacing/>
        <w:rPr>
          <w:szCs w:val="18"/>
        </w:rPr>
      </w:pPr>
    </w:p>
    <w:p w:rsidR="00F32C87" w:rsidP="0025349D" w:rsidRDefault="00000000" w14:paraId="7CFDA8C8" w14:textId="77777777">
      <w:pPr>
        <w:suppressAutoHyphens/>
        <w:spacing w:after="160" w:line="259" w:lineRule="auto"/>
        <w:contextualSpacing/>
        <w:rPr>
          <w:szCs w:val="18"/>
        </w:rPr>
      </w:pPr>
      <w:r>
        <w:rPr>
          <w:szCs w:val="18"/>
        </w:rPr>
        <w:t>Antwoord vraag 2</w:t>
      </w:r>
    </w:p>
    <w:p w:rsidR="003E7EA7" w:rsidP="0025349D" w:rsidRDefault="00000000" w14:paraId="2A4106DB" w14:textId="77777777">
      <w:pPr>
        <w:suppressAutoHyphens/>
        <w:spacing w:after="160" w:line="259" w:lineRule="auto"/>
        <w:contextualSpacing/>
        <w:rPr>
          <w:szCs w:val="18"/>
        </w:rPr>
      </w:pPr>
      <w:r>
        <w:rPr>
          <w:szCs w:val="18"/>
        </w:rPr>
        <w:t xml:space="preserve">Op grond van internationale verdragen – waaronder het EVRM en het IVRK – rust een positieve verplichting op de overheid om kinderen te beschermen tegen </w:t>
      </w:r>
      <w:r w:rsidRPr="00AA4ED7">
        <w:rPr>
          <w:szCs w:val="18"/>
        </w:rPr>
        <w:t>alle vormen van geweld, mishandeling en verwaarlozing.</w:t>
      </w:r>
      <w:r>
        <w:rPr>
          <w:szCs w:val="18"/>
        </w:rPr>
        <w:t xml:space="preserve"> Daarbij dient de overheid passende maatregelen te treffen om geweld te voorkomen. Indien een kind wordt geconfronteerd met geweld, </w:t>
      </w:r>
      <w:r w:rsidRPr="002F6A89">
        <w:rPr>
          <w:szCs w:val="18"/>
        </w:rPr>
        <w:t>dan heeft de overheid de plicht te zorgen voor passende ondersteuning en hulp en in te grijpen als dat nodig is.</w:t>
      </w:r>
    </w:p>
    <w:p w:rsidRPr="006C13F4" w:rsidR="003E7EA7" w:rsidP="0025349D" w:rsidRDefault="00000000" w14:paraId="1BB0BF53" w14:textId="77777777">
      <w:pPr>
        <w:suppressAutoHyphens/>
        <w:spacing w:after="160" w:line="259" w:lineRule="auto"/>
        <w:contextualSpacing/>
        <w:rPr>
          <w:bCs/>
          <w:szCs w:val="18"/>
        </w:rPr>
      </w:pPr>
      <w:r w:rsidRPr="0059310D">
        <w:rPr>
          <w:bCs/>
          <w:szCs w:val="18"/>
        </w:rPr>
        <w:t xml:space="preserve">De kans op </w:t>
      </w:r>
      <w:r>
        <w:rPr>
          <w:bCs/>
          <w:szCs w:val="18"/>
        </w:rPr>
        <w:t>(gewelds)</w:t>
      </w:r>
      <w:r w:rsidRPr="0059310D">
        <w:rPr>
          <w:bCs/>
          <w:szCs w:val="18"/>
        </w:rPr>
        <w:t>incidenten</w:t>
      </w:r>
      <w:r>
        <w:rPr>
          <w:bCs/>
          <w:szCs w:val="18"/>
        </w:rPr>
        <w:t xml:space="preserve"> met kinderen</w:t>
      </w:r>
      <w:r w:rsidRPr="0059310D">
        <w:rPr>
          <w:bCs/>
          <w:szCs w:val="18"/>
        </w:rPr>
        <w:t xml:space="preserve"> k</w:t>
      </w:r>
      <w:r>
        <w:rPr>
          <w:bCs/>
          <w:szCs w:val="18"/>
        </w:rPr>
        <w:t xml:space="preserve">an ik (helaas) </w:t>
      </w:r>
      <w:r w:rsidRPr="0059310D">
        <w:rPr>
          <w:bCs/>
          <w:szCs w:val="18"/>
        </w:rPr>
        <w:t>niet naar nul reduceren</w:t>
      </w:r>
      <w:r>
        <w:rPr>
          <w:bCs/>
          <w:szCs w:val="18"/>
        </w:rPr>
        <w:t xml:space="preserve">. Echter, dat wil niet zeggen dat ik enige vorm van geweld tegen kinderen accepteer. </w:t>
      </w:r>
      <w:r w:rsidRPr="002F6A89">
        <w:rPr>
          <w:bCs/>
          <w:szCs w:val="18"/>
        </w:rPr>
        <w:t xml:space="preserve">Geweld van welke aard ook dient vanzelfsprekend achterwege te blijven bij de verlening van jeugdhulp en bij de uitvoering van een kinderbeschermingsmaatregel of jeugdreclassering. </w:t>
      </w:r>
      <w:r>
        <w:rPr>
          <w:bCs/>
          <w:szCs w:val="18"/>
        </w:rPr>
        <w:t xml:space="preserve">De Jeugdwet staat geweld dan ook niet toe. Het uitgangspunt is dat kinderen </w:t>
      </w:r>
      <w:r w:rsidRPr="006C13F4">
        <w:rPr>
          <w:bCs/>
          <w:szCs w:val="18"/>
        </w:rPr>
        <w:t xml:space="preserve">zo gezond en veilig mogelijk </w:t>
      </w:r>
      <w:r>
        <w:rPr>
          <w:bCs/>
          <w:szCs w:val="18"/>
        </w:rPr>
        <w:t>opgroeien</w:t>
      </w:r>
      <w:r w:rsidRPr="006C13F4">
        <w:rPr>
          <w:bCs/>
          <w:szCs w:val="18"/>
        </w:rPr>
        <w:t>. Met de Hervormingsagenda Jeugd en het Toekomst Scenario werken we aan het versterken hiervan.</w:t>
      </w:r>
      <w:r>
        <w:rPr>
          <w:bCs/>
          <w:szCs w:val="18"/>
        </w:rPr>
        <w:t xml:space="preserve"> Daarnaast </w:t>
      </w:r>
      <w:r w:rsidR="00233ABC">
        <w:rPr>
          <w:bCs/>
          <w:szCs w:val="18"/>
        </w:rPr>
        <w:t>werk ik aan de uitvoering van</w:t>
      </w:r>
      <w:r>
        <w:rPr>
          <w:bCs/>
          <w:szCs w:val="18"/>
        </w:rPr>
        <w:t xml:space="preserve"> </w:t>
      </w:r>
      <w:r w:rsidR="00233ABC">
        <w:rPr>
          <w:bCs/>
          <w:szCs w:val="18"/>
        </w:rPr>
        <w:t xml:space="preserve">de </w:t>
      </w:r>
      <w:r>
        <w:rPr>
          <w:bCs/>
          <w:szCs w:val="18"/>
        </w:rPr>
        <w:t xml:space="preserve">motie van </w:t>
      </w:r>
      <w:r w:rsidR="00816A94">
        <w:rPr>
          <w:bCs/>
          <w:szCs w:val="18"/>
        </w:rPr>
        <w:t>l</w:t>
      </w:r>
      <w:r>
        <w:rPr>
          <w:bCs/>
          <w:szCs w:val="18"/>
        </w:rPr>
        <w:t xml:space="preserve">id Westerveld </w:t>
      </w:r>
      <w:r w:rsidRPr="006C13F4">
        <w:rPr>
          <w:bCs/>
          <w:szCs w:val="18"/>
        </w:rPr>
        <w:t>om</w:t>
      </w:r>
      <w:r w:rsidRPr="002F6A89">
        <w:rPr>
          <w:bCs/>
          <w:szCs w:val="18"/>
        </w:rPr>
        <w:t>: “Met de aanbieders voortvarend te werken aan oplossingen, te zorgen dat uiterlijk over een jaar geen tekortkomingen meer zijn waarbij kinderrechten worden geschonden en de Kamer proactief te informeren als dit niet lukt”</w:t>
      </w:r>
      <w:r>
        <w:rPr>
          <w:bCs/>
          <w:szCs w:val="18"/>
        </w:rPr>
        <w:t>.</w:t>
      </w:r>
      <w:r w:rsidRPr="00B147E1">
        <w:rPr>
          <w:rStyle w:val="Voetnootmarkering"/>
          <w:bCs/>
          <w:szCs w:val="18"/>
        </w:rPr>
        <w:t xml:space="preserve"> </w:t>
      </w:r>
      <w:r>
        <w:rPr>
          <w:rStyle w:val="Voetnootmarkering"/>
          <w:bCs/>
          <w:szCs w:val="18"/>
        </w:rPr>
        <w:footnoteReference w:id="2"/>
      </w:r>
      <w:r>
        <w:rPr>
          <w:bCs/>
          <w:szCs w:val="18"/>
        </w:rPr>
        <w:t xml:space="preserve">  </w:t>
      </w:r>
    </w:p>
    <w:p w:rsidRPr="003E094C" w:rsidR="003E7EA7" w:rsidP="0025349D" w:rsidRDefault="003E7EA7" w14:paraId="66A89CBB" w14:textId="77777777">
      <w:pPr>
        <w:suppressAutoHyphens/>
        <w:spacing w:after="160" w:line="259" w:lineRule="auto"/>
        <w:contextualSpacing/>
        <w:rPr>
          <w:szCs w:val="18"/>
        </w:rPr>
      </w:pPr>
    </w:p>
    <w:p w:rsidR="003E7EA7" w:rsidP="0025349D" w:rsidRDefault="00000000" w14:paraId="6D919A02" w14:textId="77777777">
      <w:pPr>
        <w:suppressAutoHyphens/>
        <w:spacing w:after="160" w:line="259" w:lineRule="auto"/>
        <w:contextualSpacing/>
        <w:rPr>
          <w:szCs w:val="18"/>
        </w:rPr>
      </w:pPr>
      <w:r>
        <w:rPr>
          <w:szCs w:val="18"/>
        </w:rPr>
        <w:t>Vraag 3</w:t>
      </w:r>
    </w:p>
    <w:p w:rsidR="003E7EA7" w:rsidP="0025349D" w:rsidRDefault="00000000" w14:paraId="05CE2409" w14:textId="77777777">
      <w:pPr>
        <w:suppressAutoHyphens/>
        <w:spacing w:after="160" w:line="259" w:lineRule="auto"/>
        <w:contextualSpacing/>
        <w:rPr>
          <w:szCs w:val="18"/>
        </w:rPr>
      </w:pPr>
      <w:r w:rsidRPr="003E094C">
        <w:rPr>
          <w:szCs w:val="18"/>
        </w:rPr>
        <w:t>Deelt u de mening dat uit de door de Inspectie Gezondheidszorg en Jeugd (IGJ</w:t>
      </w:r>
      <w:r w:rsidRPr="00FF01E2">
        <w:rPr>
          <w:szCs w:val="18"/>
        </w:rPr>
        <w:t>) gerapporteerde incidenten in vorenbedoelde instellingen en uit de beantwoording van uw vragen van het lid Van den Hil volgt dat incidenten voortkomen uit onmacht en onjuiste of achterhaalde</w:t>
      </w:r>
      <w:r w:rsidRPr="003E094C">
        <w:rPr>
          <w:szCs w:val="18"/>
        </w:rPr>
        <w:t xml:space="preserve"> opleiding en opvattingen binnen de betreffende instellingen? Kunt u uw mening toelichten?</w:t>
      </w:r>
    </w:p>
    <w:p w:rsidR="003E7EA7" w:rsidP="0025349D" w:rsidRDefault="003E7EA7" w14:paraId="5049108F" w14:textId="77777777">
      <w:pPr>
        <w:suppressAutoHyphens/>
        <w:spacing w:after="160" w:line="259" w:lineRule="auto"/>
        <w:contextualSpacing/>
        <w:rPr>
          <w:szCs w:val="18"/>
        </w:rPr>
      </w:pPr>
    </w:p>
    <w:p w:rsidR="003E7EA7" w:rsidP="0025349D" w:rsidRDefault="00000000" w14:paraId="1E0D2CFF" w14:textId="77777777">
      <w:pPr>
        <w:suppressAutoHyphens/>
        <w:spacing w:after="160" w:line="259" w:lineRule="auto"/>
        <w:contextualSpacing/>
        <w:rPr>
          <w:szCs w:val="18"/>
        </w:rPr>
      </w:pPr>
      <w:r>
        <w:rPr>
          <w:szCs w:val="18"/>
        </w:rPr>
        <w:t>Antwoord vraag 3</w:t>
      </w:r>
    </w:p>
    <w:p w:rsidR="003E7EA7" w:rsidP="0025349D" w:rsidRDefault="00000000" w14:paraId="7A83ED74" w14:textId="77777777">
      <w:pPr>
        <w:suppressAutoHyphens/>
        <w:spacing w:after="160" w:line="259" w:lineRule="auto"/>
        <w:contextualSpacing/>
        <w:rPr>
          <w:szCs w:val="18"/>
        </w:rPr>
      </w:pPr>
      <w:r>
        <w:rPr>
          <w:szCs w:val="18"/>
        </w:rPr>
        <w:t xml:space="preserve">De IGJ heeft geconstateerd dat vastpakken en vasthouden niet altijd correct gebeurt wanneer bijvoorbeeld (tijdelijk) personeel op een </w:t>
      </w:r>
      <w:r w:rsidR="00054CC0">
        <w:rPr>
          <w:szCs w:val="18"/>
        </w:rPr>
        <w:t>‘‘</w:t>
      </w:r>
      <w:r>
        <w:rPr>
          <w:szCs w:val="18"/>
        </w:rPr>
        <w:t xml:space="preserve">oude” manier is opgeleid of een beveiliger zonder juiste opleiding ‘bijspringt’. </w:t>
      </w:r>
      <w:r w:rsidRPr="00E37BF6">
        <w:rPr>
          <w:szCs w:val="18"/>
        </w:rPr>
        <w:t>Het is</w:t>
      </w:r>
      <w:r>
        <w:rPr>
          <w:szCs w:val="18"/>
        </w:rPr>
        <w:t xml:space="preserve"> daarom </w:t>
      </w:r>
      <w:r w:rsidRPr="00E37BF6">
        <w:rPr>
          <w:szCs w:val="18"/>
        </w:rPr>
        <w:t>belangrijk dat instellingen scherp zijn</w:t>
      </w:r>
      <w:r>
        <w:rPr>
          <w:szCs w:val="18"/>
        </w:rPr>
        <w:t xml:space="preserve"> op het niveau van de kwaliteiten en vaardigheden van professionals</w:t>
      </w:r>
      <w:r w:rsidRPr="006D6ABE">
        <w:rPr>
          <w:szCs w:val="18"/>
        </w:rPr>
        <w:t>,</w:t>
      </w:r>
      <w:r w:rsidRPr="00E37BF6">
        <w:rPr>
          <w:szCs w:val="18"/>
        </w:rPr>
        <w:t xml:space="preserve"> ook bij de inhuur van tijdelijk</w:t>
      </w:r>
      <w:r>
        <w:rPr>
          <w:szCs w:val="18"/>
        </w:rPr>
        <w:t xml:space="preserve"> </w:t>
      </w:r>
      <w:r w:rsidRPr="00E37BF6">
        <w:rPr>
          <w:szCs w:val="18"/>
        </w:rPr>
        <w:t>personeel.</w:t>
      </w:r>
      <w:r>
        <w:rPr>
          <w:szCs w:val="18"/>
        </w:rPr>
        <w:t xml:space="preserve"> Het borgen van de kwaliteit van het handelen van professionals is een gedeelde verantwoordelijkheid. Deze verantwoordelijkheid ligt enerzijds bij de jeugdprofessional die het directe contact heeft met jeugdigen. De jeugdprofessional moet beschikken over passende vaardigheden en kwaliteiten, een SKJ- of BIG-registratie en zich houden aan de geldende beroepscodes. Anderzijds is de werkgever verantwoordelijk voor de kwaliteit van haar werknemers, zij moet namelijk kunnen instaan voor hun kwaliteiten en vaardigheden. Dit doet een werkgever onder andere door diploma’s en een Verklaring omtrent gedrag (VOG) aan haar werknemers te vragen en door hen de ruimte en tijd te bieden zich blijvend te ontwikkelen.</w:t>
      </w:r>
    </w:p>
    <w:p w:rsidR="003E7EA7" w:rsidP="0025349D" w:rsidRDefault="003E7EA7" w14:paraId="32396B89" w14:textId="77777777">
      <w:pPr>
        <w:suppressAutoHyphens/>
        <w:spacing w:after="160" w:line="259" w:lineRule="auto"/>
        <w:contextualSpacing/>
        <w:rPr>
          <w:szCs w:val="18"/>
        </w:rPr>
      </w:pPr>
    </w:p>
    <w:p w:rsidR="003E7EA7" w:rsidP="0025349D" w:rsidRDefault="00000000" w14:paraId="5FDF2BED" w14:textId="77777777">
      <w:pPr>
        <w:suppressAutoHyphens/>
        <w:spacing w:after="160" w:line="259" w:lineRule="auto"/>
        <w:contextualSpacing/>
        <w:rPr>
          <w:szCs w:val="18"/>
        </w:rPr>
      </w:pPr>
      <w:r>
        <w:rPr>
          <w:szCs w:val="18"/>
        </w:rPr>
        <w:t>Vraag 4</w:t>
      </w:r>
    </w:p>
    <w:p w:rsidR="003E7EA7" w:rsidP="0025349D" w:rsidRDefault="00000000" w14:paraId="0FA5160A" w14:textId="77777777">
      <w:pPr>
        <w:suppressAutoHyphens/>
        <w:spacing w:after="160" w:line="259" w:lineRule="auto"/>
        <w:contextualSpacing/>
        <w:rPr>
          <w:szCs w:val="18"/>
        </w:rPr>
      </w:pPr>
      <w:r w:rsidRPr="003E094C">
        <w:rPr>
          <w:szCs w:val="18"/>
        </w:rPr>
        <w:t>Deelt u de mening dat daaruit kan worden afgeleid dat de incidenten binnen de instellingen voortkomen uit een falend beleid van het bestuur van de instellingen, dat immers de mogelijkheden heeft om te beschikken over de gedraging van het personeel door toereikend goed gekwalificeerd personeel aan te nemen en goed te trainen en dat men, de bestuurder, daardoor aanvaardt (door niet in te grijpen of te trainen) dat de incidenten plaatsvonden en konden blijven plaatsvinden? Kunt u uw mening toelichten?</w:t>
      </w:r>
    </w:p>
    <w:p w:rsidR="00F34724" w:rsidP="0025349D" w:rsidRDefault="00F34724" w14:paraId="4B4B4989" w14:textId="77777777">
      <w:pPr>
        <w:suppressAutoHyphens/>
        <w:spacing w:after="160" w:line="259" w:lineRule="auto"/>
        <w:contextualSpacing/>
        <w:rPr>
          <w:szCs w:val="18"/>
        </w:rPr>
      </w:pPr>
    </w:p>
    <w:p w:rsidR="00F32C87" w:rsidP="0025349D" w:rsidRDefault="00000000" w14:paraId="2250E6B0" w14:textId="77777777">
      <w:pPr>
        <w:suppressAutoHyphens/>
        <w:spacing w:after="160" w:line="259" w:lineRule="auto"/>
        <w:contextualSpacing/>
        <w:rPr>
          <w:szCs w:val="18"/>
        </w:rPr>
      </w:pPr>
      <w:r>
        <w:rPr>
          <w:szCs w:val="18"/>
        </w:rPr>
        <w:t>Antwoord vraag 4</w:t>
      </w:r>
    </w:p>
    <w:p w:rsidR="00F34724" w:rsidP="0025349D" w:rsidRDefault="00000000" w14:paraId="14AEA038" w14:textId="77777777">
      <w:pPr>
        <w:suppressAutoHyphens/>
        <w:spacing w:after="160" w:line="259" w:lineRule="auto"/>
        <w:contextualSpacing/>
        <w:rPr>
          <w:szCs w:val="18"/>
        </w:rPr>
      </w:pPr>
      <w:r>
        <w:rPr>
          <w:szCs w:val="18"/>
        </w:rPr>
        <w:t>Het voorkomen van incidenten binnen een instelling kan meerdere oorzaken hebben</w:t>
      </w:r>
      <w:r w:rsidR="00AE6241">
        <w:rPr>
          <w:szCs w:val="18"/>
        </w:rPr>
        <w:t xml:space="preserve">. In de beantwoording van de bovengenoemde vragen van het Kamerlid Van den Hil </w:t>
      </w:r>
      <w:r w:rsidR="00AA1796">
        <w:rPr>
          <w:szCs w:val="18"/>
        </w:rPr>
        <w:t xml:space="preserve">staat bijvoorbeeld dat jongeren ook pijn kunnen ervaren als gevolg van een escalatie waarbij medewerkers een jongere vastpakken. Dat laat onverlet dat bestuurders eindverantwoordelijk </w:t>
      </w:r>
      <w:r w:rsidR="00F32C87">
        <w:rPr>
          <w:szCs w:val="18"/>
        </w:rPr>
        <w:t xml:space="preserve">zijn </w:t>
      </w:r>
      <w:r w:rsidR="00AA1796">
        <w:rPr>
          <w:szCs w:val="18"/>
        </w:rPr>
        <w:t xml:space="preserve">voor de kwaliteit, veiligheid, betaalbaarheid en toegankelijkheid van zorg. Het is de verantwoordelijkheid van de werkgever om te beschikken over gekwalificeerd personeel en ervoor te zorgen dat professionals hun taken kunnen verrichten met inachtneming van de voor hen geldende professionele standaarden. </w:t>
      </w:r>
      <w:r w:rsidR="006B5B89">
        <w:rPr>
          <w:szCs w:val="18"/>
        </w:rPr>
        <w:t xml:space="preserve">Niet voor niets neemt de IGJ de verbeterkracht van een instelling (na een toezicht) mee in het wegen van het vertrouwen dat de instelling zelf geconstateerde tekortkomingen zelfstandig kan en zal oplossen. </w:t>
      </w:r>
      <w:bookmarkStart w:name="_Hlk192061649" w:id="7"/>
    </w:p>
    <w:p w:rsidR="00816A94" w:rsidP="0025349D" w:rsidRDefault="00816A94" w14:paraId="0A453341" w14:textId="77777777">
      <w:pPr>
        <w:suppressAutoHyphens/>
        <w:spacing w:after="160" w:line="259" w:lineRule="auto"/>
        <w:contextualSpacing/>
        <w:rPr>
          <w:szCs w:val="18"/>
        </w:rPr>
      </w:pPr>
    </w:p>
    <w:p w:rsidR="003E7EA7" w:rsidP="0025349D" w:rsidRDefault="00000000" w14:paraId="1BCBECDA" w14:textId="77777777">
      <w:pPr>
        <w:suppressAutoHyphens/>
        <w:spacing w:after="160" w:line="259" w:lineRule="auto"/>
        <w:contextualSpacing/>
        <w:rPr>
          <w:szCs w:val="18"/>
        </w:rPr>
      </w:pPr>
      <w:r>
        <w:rPr>
          <w:szCs w:val="18"/>
        </w:rPr>
        <w:t>Vraag 5</w:t>
      </w:r>
    </w:p>
    <w:p w:rsidR="003E7EA7" w:rsidP="0025349D" w:rsidRDefault="00000000" w14:paraId="794A2F6C" w14:textId="77777777">
      <w:pPr>
        <w:suppressAutoHyphens/>
        <w:spacing w:after="160" w:line="259" w:lineRule="auto"/>
        <w:contextualSpacing/>
        <w:rPr>
          <w:szCs w:val="18"/>
        </w:rPr>
      </w:pPr>
      <w:r w:rsidRPr="003E094C">
        <w:rPr>
          <w:szCs w:val="18"/>
        </w:rPr>
        <w:t>Wat is uw standpunt over het bestuur van de betreffende instellingen als zij niet gekwalificeerd personeel aannemen of onvoldoende trainen voor dergelijke situaties?</w:t>
      </w:r>
    </w:p>
    <w:p w:rsidR="00F34724" w:rsidP="0025349D" w:rsidRDefault="00F34724" w14:paraId="2E0A4656" w14:textId="77777777">
      <w:pPr>
        <w:suppressAutoHyphens/>
        <w:contextualSpacing/>
      </w:pPr>
    </w:p>
    <w:p w:rsidRPr="00A84BF5" w:rsidR="003E7EA7" w:rsidP="0025349D" w:rsidRDefault="00000000" w14:paraId="5B390DB5" w14:textId="77777777">
      <w:pPr>
        <w:suppressAutoHyphens/>
        <w:contextualSpacing/>
      </w:pPr>
      <w:r w:rsidRPr="00A84BF5">
        <w:t>Antwoord vraag 5</w:t>
      </w:r>
    </w:p>
    <w:p w:rsidR="003E7EA7" w:rsidP="0025349D" w:rsidRDefault="00000000" w14:paraId="36CFC8FF" w14:textId="77777777">
      <w:pPr>
        <w:suppressAutoHyphens/>
        <w:contextualSpacing/>
      </w:pPr>
      <w:r w:rsidRPr="00A84BF5">
        <w:t>Ik kan geen uitspraken doen over het handelen van een bestuur. In het algemeen kan ik melden dat jeugdigen en hun ouders recht hebben op zorg van goede kwaliteit</w:t>
      </w:r>
      <w:r>
        <w:t xml:space="preserve"> die voldoet aan professionele standaarden. </w:t>
      </w:r>
      <w:r w:rsidRPr="00A84BF5">
        <w:t xml:space="preserve">Zoals ik in het antwoord op vraag 4 aangaf, is het bestuur van een instelling eindverantwoordelijk voor onder andere de kwaliteit van de zorg. De Nederlandse Zorgautoriteit (NZa) en de IGJ hebben gezamenlijk het kader ‘Goed Bestuur’ ontwikkeld, </w:t>
      </w:r>
      <w:r w:rsidR="00896E8C">
        <w:t>dat</w:t>
      </w:r>
      <w:r w:rsidRPr="00A84BF5">
        <w:t xml:space="preserve"> geldt voor alle </w:t>
      </w:r>
      <w:r w:rsidRPr="00A84BF5">
        <w:lastRenderedPageBreak/>
        <w:t>zorgaanbieders, ongeacht de omvang of organisatiestructuur. Dit kader is gebaseerd op wetgeving, veldnormen en goede voorbeelden. </w:t>
      </w:r>
      <w:r>
        <w:t xml:space="preserve">Ook de Governancecode Zorg biedt bestuurders en toezichthouders een instrument </w:t>
      </w:r>
      <w:r w:rsidRPr="00955A2F">
        <w:t>om de governance zo in te richten dat die bijdraagt aan het waarborgen van goede</w:t>
      </w:r>
      <w:r>
        <w:t xml:space="preserve"> jeugdhulp. </w:t>
      </w:r>
      <w:r w:rsidRPr="00A84BF5">
        <w:t xml:space="preserve">Het is de taak van de </w:t>
      </w:r>
      <w:r>
        <w:t>r</w:t>
      </w:r>
      <w:r w:rsidRPr="00A84BF5">
        <w:t xml:space="preserve">aad van </w:t>
      </w:r>
      <w:r>
        <w:t>t</w:t>
      </w:r>
      <w:r w:rsidRPr="00A84BF5">
        <w:t xml:space="preserve">oezicht om toezicht </w:t>
      </w:r>
      <w:r>
        <w:t xml:space="preserve">te </w:t>
      </w:r>
      <w:r w:rsidRPr="00A84BF5">
        <w:t xml:space="preserve">houden op het </w:t>
      </w:r>
      <w:r>
        <w:t>beleid</w:t>
      </w:r>
      <w:r w:rsidRPr="00A84BF5">
        <w:t xml:space="preserve"> van het bestuur van een instelling</w:t>
      </w:r>
      <w:r>
        <w:t xml:space="preserve"> en de algemene gang van zaken</w:t>
      </w:r>
      <w:r w:rsidRPr="00A84BF5">
        <w:t xml:space="preserve">. </w:t>
      </w:r>
      <w:r w:rsidRPr="0000684F">
        <w:t>Een raad van toezicht kan een bestuurder, waarvan de raad oordeelt dat d</w:t>
      </w:r>
      <w:r w:rsidR="00233ABC">
        <w:t>eze</w:t>
      </w:r>
      <w:r w:rsidRPr="0000684F">
        <w:t xml:space="preserve"> niet goed functioneert</w:t>
      </w:r>
      <w:r>
        <w:t>, schorsen of</w:t>
      </w:r>
      <w:r w:rsidRPr="0000684F">
        <w:t xml:space="preserve"> ontslaan. Goede controle van de raad van toezicht</w:t>
      </w:r>
      <w:r>
        <w:t>, door bijvoorbeeld periodiek contact met medezeggenschapsorganen uit de organisatie,</w:t>
      </w:r>
      <w:r w:rsidRPr="0000684F">
        <w:t xml:space="preserve"> verkleint</w:t>
      </w:r>
      <w:r>
        <w:t xml:space="preserve"> h</w:t>
      </w:r>
      <w:r w:rsidRPr="0000684F">
        <w:t xml:space="preserve">et risico op incidenten binnen </w:t>
      </w:r>
      <w:r>
        <w:t>instellingen.</w:t>
      </w:r>
      <w:bookmarkEnd w:id="7"/>
    </w:p>
    <w:p w:rsidRPr="003E094C" w:rsidR="004704C0" w:rsidP="0025349D" w:rsidRDefault="004704C0" w14:paraId="5C5EBC39" w14:textId="77777777">
      <w:pPr>
        <w:suppressAutoHyphens/>
        <w:spacing w:after="160" w:line="259" w:lineRule="auto"/>
        <w:contextualSpacing/>
        <w:rPr>
          <w:szCs w:val="18"/>
        </w:rPr>
      </w:pPr>
    </w:p>
    <w:p w:rsidR="004704C0" w:rsidP="0025349D" w:rsidRDefault="00000000" w14:paraId="3967AB87" w14:textId="77777777">
      <w:pPr>
        <w:suppressAutoHyphens/>
        <w:spacing w:after="160" w:line="259" w:lineRule="auto"/>
        <w:contextualSpacing/>
        <w:rPr>
          <w:szCs w:val="18"/>
        </w:rPr>
      </w:pPr>
      <w:r>
        <w:rPr>
          <w:szCs w:val="18"/>
        </w:rPr>
        <w:t>Vraag 6</w:t>
      </w:r>
    </w:p>
    <w:p w:rsidR="004704C0" w:rsidP="0025349D" w:rsidRDefault="00000000" w14:paraId="592C2532" w14:textId="77777777">
      <w:pPr>
        <w:suppressAutoHyphens/>
        <w:spacing w:after="160" w:line="259" w:lineRule="auto"/>
        <w:contextualSpacing/>
        <w:rPr>
          <w:szCs w:val="18"/>
        </w:rPr>
      </w:pPr>
      <w:r w:rsidRPr="003E094C">
        <w:rPr>
          <w:szCs w:val="18"/>
        </w:rPr>
        <w:t>Bent u van mening dat hier de bestuurdersaansprakelijkheid zou moeten gelden en bestuurders, als zij niet voldoende maatregelen nemen om dergelijke incidenten te voorkomen, ook bij de rechter aansprakelijk gesteld moeten kunnen worden? Kunt u uw mening onderbouwen?</w:t>
      </w:r>
    </w:p>
    <w:p w:rsidR="00F34724" w:rsidP="0025349D" w:rsidRDefault="00F34724" w14:paraId="0D9BD020" w14:textId="77777777">
      <w:pPr>
        <w:suppressAutoHyphens/>
        <w:spacing w:after="160" w:line="259" w:lineRule="auto"/>
        <w:contextualSpacing/>
        <w:rPr>
          <w:szCs w:val="18"/>
        </w:rPr>
      </w:pPr>
    </w:p>
    <w:p w:rsidR="00F32C87" w:rsidP="0025349D" w:rsidRDefault="00000000" w14:paraId="2D8C10C0" w14:textId="77777777">
      <w:pPr>
        <w:suppressAutoHyphens/>
        <w:spacing w:after="160" w:line="259" w:lineRule="auto"/>
        <w:contextualSpacing/>
        <w:rPr>
          <w:szCs w:val="18"/>
        </w:rPr>
      </w:pPr>
      <w:r>
        <w:rPr>
          <w:szCs w:val="18"/>
        </w:rPr>
        <w:t>Antwoord vraag 6</w:t>
      </w:r>
    </w:p>
    <w:p w:rsidRPr="00AA1796" w:rsidR="003E7EA7" w:rsidP="0025349D" w:rsidRDefault="00000000" w14:paraId="716B6745" w14:textId="77777777">
      <w:pPr>
        <w:suppressAutoHyphens/>
        <w:spacing w:after="160" w:line="259" w:lineRule="auto"/>
        <w:contextualSpacing/>
        <w:rPr>
          <w:szCs w:val="18"/>
        </w:rPr>
      </w:pPr>
      <w:r w:rsidRPr="00AA1796">
        <w:rPr>
          <w:szCs w:val="18"/>
        </w:rPr>
        <w:t xml:space="preserve">De hoofdregel is dat de organisatie wordt aangesproken en niet de bestuurder(s).  Bestuurdersaansprakelijkheid is derhalve een uitzondering. In sommige situaties is het evenwel gerechtvaardigd dat een bestuurder persoonlijk aansprakelijk gesteld wordt. Dit kan zich onder andere voordoen als personen of organisaties schade hebben geleden als gevolg van het handelen (of nalaten) van een bestuurder. </w:t>
      </w:r>
    </w:p>
    <w:p w:rsidRPr="00AA1796" w:rsidR="003E7EA7" w:rsidP="0025349D" w:rsidRDefault="00000000" w14:paraId="4065B3E2" w14:textId="77777777">
      <w:pPr>
        <w:suppressAutoHyphens/>
        <w:spacing w:after="160" w:line="259" w:lineRule="auto"/>
        <w:contextualSpacing/>
        <w:rPr>
          <w:szCs w:val="18"/>
        </w:rPr>
      </w:pPr>
      <w:r w:rsidRPr="00AA1796">
        <w:rPr>
          <w:szCs w:val="18"/>
        </w:rPr>
        <w:t xml:space="preserve">Van bestuurdersaansprakelijkheid is in dat geval sprake als wordt voldaan aan de vereisten van artikel 6:162 BW (onrechtmatige daad) en de bestuurder een voor hem/haar geldende norm zodanig heeft geschonden dat hem persoonlijk een ‘ernstig verwijt’ kan worden gemaakt. </w:t>
      </w:r>
    </w:p>
    <w:p w:rsidR="00F34724" w:rsidP="0025349D" w:rsidRDefault="00000000" w14:paraId="18B2BBA5" w14:textId="77777777">
      <w:pPr>
        <w:suppressAutoHyphens/>
        <w:spacing w:after="160" w:line="259" w:lineRule="auto"/>
        <w:contextualSpacing/>
        <w:rPr>
          <w:szCs w:val="18"/>
        </w:rPr>
      </w:pPr>
      <w:r w:rsidRPr="00AA1796">
        <w:rPr>
          <w:szCs w:val="18"/>
        </w:rPr>
        <w:t>Of aan deze criteria wordt voldaan als de bestuurder nalaat maatregelen te treffen</w:t>
      </w:r>
      <w:r w:rsidRPr="00AA1796">
        <w:t xml:space="preserve"> </w:t>
      </w:r>
      <w:r w:rsidRPr="00AA1796">
        <w:rPr>
          <w:szCs w:val="18"/>
        </w:rPr>
        <w:t xml:space="preserve">om incidenten te voorkomen, hangt af van de omstandigheden en is in een voorkomend geval ter beoordeling aan de rechter. In </w:t>
      </w:r>
      <w:r w:rsidR="00233ABC">
        <w:rPr>
          <w:szCs w:val="18"/>
        </w:rPr>
        <w:t>a</w:t>
      </w:r>
      <w:r w:rsidRPr="00AA1796">
        <w:rPr>
          <w:szCs w:val="18"/>
        </w:rPr>
        <w:t>lgeme</w:t>
      </w:r>
      <w:r w:rsidR="00233ABC">
        <w:rPr>
          <w:szCs w:val="18"/>
        </w:rPr>
        <w:t>ne zin</w:t>
      </w:r>
      <w:r w:rsidRPr="00AA1796">
        <w:rPr>
          <w:szCs w:val="18"/>
        </w:rPr>
        <w:t xml:space="preserve"> is hierop geen bevestigend antwoord te geven.</w:t>
      </w:r>
    </w:p>
    <w:p w:rsidR="00F32C87" w:rsidP="0025349D" w:rsidRDefault="00F32C87" w14:paraId="1BD57AEA" w14:textId="77777777">
      <w:pPr>
        <w:suppressAutoHyphens/>
        <w:spacing w:after="160" w:line="259" w:lineRule="auto"/>
        <w:contextualSpacing/>
        <w:rPr>
          <w:szCs w:val="18"/>
        </w:rPr>
      </w:pPr>
    </w:p>
    <w:p w:rsidR="003E7EA7" w:rsidP="0025349D" w:rsidRDefault="00000000" w14:paraId="67D931E8" w14:textId="77777777">
      <w:pPr>
        <w:suppressAutoHyphens/>
        <w:spacing w:after="160" w:line="259" w:lineRule="auto"/>
        <w:contextualSpacing/>
        <w:rPr>
          <w:szCs w:val="18"/>
        </w:rPr>
      </w:pPr>
      <w:r>
        <w:rPr>
          <w:szCs w:val="18"/>
        </w:rPr>
        <w:t>Vraag 7</w:t>
      </w:r>
    </w:p>
    <w:p w:rsidR="003E7EA7" w:rsidP="0025349D" w:rsidRDefault="00000000" w14:paraId="125C7563" w14:textId="77777777">
      <w:pPr>
        <w:suppressAutoHyphens/>
        <w:spacing w:after="160" w:line="259" w:lineRule="auto"/>
        <w:contextualSpacing/>
        <w:rPr>
          <w:szCs w:val="18"/>
        </w:rPr>
      </w:pPr>
      <w:r w:rsidRPr="003E094C">
        <w:rPr>
          <w:szCs w:val="18"/>
        </w:rPr>
        <w:t>Indien u het ermee eens bent, welke maatregelen gaat u nemen om te zorgen dat dit kan?</w:t>
      </w:r>
    </w:p>
    <w:p w:rsidR="00F34724" w:rsidP="0025349D" w:rsidRDefault="00F34724" w14:paraId="00102438" w14:textId="77777777">
      <w:pPr>
        <w:suppressAutoHyphens/>
        <w:spacing w:after="160" w:line="259" w:lineRule="auto"/>
        <w:contextualSpacing/>
        <w:rPr>
          <w:szCs w:val="18"/>
        </w:rPr>
      </w:pPr>
    </w:p>
    <w:p w:rsidR="00F34724" w:rsidP="0025349D" w:rsidRDefault="00000000" w14:paraId="064A363D" w14:textId="77777777">
      <w:pPr>
        <w:suppressAutoHyphens/>
        <w:spacing w:after="160" w:line="259" w:lineRule="auto"/>
        <w:contextualSpacing/>
        <w:rPr>
          <w:szCs w:val="18"/>
        </w:rPr>
      </w:pPr>
      <w:r>
        <w:rPr>
          <w:szCs w:val="18"/>
        </w:rPr>
        <w:t>Antwoord vraag 7</w:t>
      </w:r>
    </w:p>
    <w:p w:rsidR="003E7EA7" w:rsidP="0025349D" w:rsidRDefault="00000000" w14:paraId="680F76FC" w14:textId="77777777">
      <w:pPr>
        <w:suppressAutoHyphens/>
        <w:spacing w:after="160" w:line="259" w:lineRule="auto"/>
        <w:contextualSpacing/>
        <w:rPr>
          <w:szCs w:val="18"/>
        </w:rPr>
      </w:pPr>
      <w:r w:rsidRPr="00AA1796">
        <w:rPr>
          <w:szCs w:val="18"/>
        </w:rPr>
        <w:t>Uit het antwoord op vraag 6 volgt dat personen of organisaties die schade hebben geleden door het handelen of nalaten van een bestuurder van een rechtspersoon, de bestuurder aansprakelijk kunnen stellen. Of een bestuurder in een concreet geval daadwerkelijk aansprakelijk is, hangt af van de omstandigheden en is ter beoordeling aan de rechter.</w:t>
      </w:r>
      <w:r>
        <w:rPr>
          <w:szCs w:val="18"/>
        </w:rPr>
        <w:t xml:space="preserve"> </w:t>
      </w:r>
    </w:p>
    <w:p w:rsidR="00F34724" w:rsidP="0025349D" w:rsidRDefault="00F34724" w14:paraId="34548B37" w14:textId="77777777">
      <w:pPr>
        <w:suppressAutoHyphens/>
        <w:spacing w:after="160" w:line="259" w:lineRule="auto"/>
        <w:contextualSpacing/>
        <w:rPr>
          <w:szCs w:val="18"/>
        </w:rPr>
      </w:pPr>
    </w:p>
    <w:p w:rsidR="003E7EA7" w:rsidP="0025349D" w:rsidRDefault="00000000" w14:paraId="2A6D934D" w14:textId="77777777">
      <w:pPr>
        <w:suppressAutoHyphens/>
        <w:spacing w:after="160" w:line="259" w:lineRule="auto"/>
        <w:contextualSpacing/>
        <w:rPr>
          <w:szCs w:val="18"/>
        </w:rPr>
      </w:pPr>
      <w:r>
        <w:rPr>
          <w:szCs w:val="18"/>
        </w:rPr>
        <w:t>Vraag 8</w:t>
      </w:r>
    </w:p>
    <w:p w:rsidR="003E7EA7" w:rsidP="0025349D" w:rsidRDefault="00000000" w14:paraId="48B8AE0A" w14:textId="77777777">
      <w:pPr>
        <w:suppressAutoHyphens/>
        <w:spacing w:after="160" w:line="259" w:lineRule="auto"/>
        <w:contextualSpacing/>
        <w:rPr>
          <w:szCs w:val="18"/>
        </w:rPr>
      </w:pPr>
      <w:r w:rsidRPr="003E094C">
        <w:rPr>
          <w:szCs w:val="18"/>
        </w:rPr>
        <w:t>Indien u het niet eens bent met hetgeen in vraag 6 is gesteld: waarom niet?</w:t>
      </w:r>
    </w:p>
    <w:p w:rsidR="0011451B" w:rsidP="0025349D" w:rsidRDefault="0011451B" w14:paraId="6FF990E5" w14:textId="77777777">
      <w:pPr>
        <w:suppressAutoHyphens/>
        <w:spacing w:after="160" w:line="259" w:lineRule="auto"/>
        <w:contextualSpacing/>
        <w:rPr>
          <w:szCs w:val="18"/>
        </w:rPr>
      </w:pPr>
    </w:p>
    <w:p w:rsidR="003E7EA7" w:rsidP="0025349D" w:rsidRDefault="00000000" w14:paraId="5438842C" w14:textId="77777777">
      <w:pPr>
        <w:suppressAutoHyphens/>
        <w:spacing w:after="160" w:line="259" w:lineRule="auto"/>
        <w:contextualSpacing/>
        <w:rPr>
          <w:szCs w:val="18"/>
        </w:rPr>
      </w:pPr>
      <w:r>
        <w:rPr>
          <w:szCs w:val="18"/>
        </w:rPr>
        <w:t>Antwoord vraag 8</w:t>
      </w:r>
    </w:p>
    <w:p w:rsidR="00437F59" w:rsidP="0025349D" w:rsidRDefault="00000000" w14:paraId="67DC2343" w14:textId="77777777">
      <w:pPr>
        <w:suppressAutoHyphens/>
        <w:spacing w:after="160" w:line="259" w:lineRule="auto"/>
        <w:contextualSpacing/>
        <w:rPr>
          <w:szCs w:val="18"/>
        </w:rPr>
      </w:pPr>
      <w:r w:rsidRPr="00AA1796">
        <w:rPr>
          <w:szCs w:val="18"/>
        </w:rPr>
        <w:t>Uit het antwoord op vraag 6 volgt dat het aansprakelijk stellen van de bestuurder van een rechtspersoon door de persoon of organisatie die schade heeft geleden in het algemeen mogelijk is. Of de bestuurder in een concreet geval daadwerkelijk aansprakelijk is, hangt af van de omstandigheden en is ter beoordeling aan de rechter.</w:t>
      </w:r>
      <w:r>
        <w:rPr>
          <w:szCs w:val="18"/>
        </w:rPr>
        <w:t xml:space="preserve">  </w:t>
      </w:r>
    </w:p>
    <w:p w:rsidR="00E6048C" w:rsidP="0025349D" w:rsidRDefault="00000000" w14:paraId="6CE3EB72" w14:textId="62AB7CB5">
      <w:pPr>
        <w:suppressAutoHyphens/>
        <w:spacing w:after="160" w:line="259" w:lineRule="auto"/>
        <w:contextualSpacing/>
        <w:rPr>
          <w:szCs w:val="18"/>
        </w:rPr>
      </w:pPr>
      <w:r>
        <w:rPr>
          <w:szCs w:val="18"/>
        </w:rPr>
        <w:lastRenderedPageBreak/>
        <w:t>Vraag 9</w:t>
      </w:r>
    </w:p>
    <w:p w:rsidR="004704C0" w:rsidP="0025349D" w:rsidRDefault="00000000" w14:paraId="7ECC755D" w14:textId="77777777">
      <w:pPr>
        <w:suppressAutoHyphens/>
        <w:spacing w:after="160" w:line="259" w:lineRule="auto"/>
        <w:contextualSpacing/>
        <w:rPr>
          <w:szCs w:val="18"/>
        </w:rPr>
      </w:pPr>
      <w:r w:rsidRPr="003E094C">
        <w:rPr>
          <w:szCs w:val="18"/>
        </w:rPr>
        <w:t>De Kamer ontvangt regelmatig signalen dat jongeren die aangifte willen doen tegen de instelling of medewerkers van de instelling wegens mishandeling of geweld, door de politie worden geadviseerd dit niet te doen of dat aangiften stelselmatig worden opgelegd of geseponeerd: wat vindt u hiervan?</w:t>
      </w:r>
    </w:p>
    <w:p w:rsidR="0011451B" w:rsidP="0025349D" w:rsidRDefault="0011451B" w14:paraId="04BF61DB" w14:textId="77777777">
      <w:pPr>
        <w:suppressAutoHyphens/>
        <w:spacing w:after="160" w:line="259" w:lineRule="auto"/>
        <w:contextualSpacing/>
        <w:rPr>
          <w:szCs w:val="18"/>
        </w:rPr>
      </w:pPr>
    </w:p>
    <w:p w:rsidR="00E6048C" w:rsidP="0025349D" w:rsidRDefault="00000000" w14:paraId="3D19C5C8" w14:textId="77777777">
      <w:pPr>
        <w:suppressAutoHyphens/>
        <w:spacing w:after="160" w:line="259" w:lineRule="auto"/>
        <w:contextualSpacing/>
        <w:rPr>
          <w:szCs w:val="18"/>
        </w:rPr>
      </w:pPr>
      <w:r>
        <w:rPr>
          <w:szCs w:val="18"/>
        </w:rPr>
        <w:t>Antwoord vraag 9</w:t>
      </w:r>
    </w:p>
    <w:p w:rsidRPr="00271668" w:rsidR="00271668" w:rsidP="0025349D" w:rsidRDefault="00000000" w14:paraId="20C55E7A" w14:textId="77777777">
      <w:pPr>
        <w:suppressAutoHyphens/>
        <w:spacing w:after="160" w:line="259" w:lineRule="auto"/>
        <w:contextualSpacing/>
        <w:rPr>
          <w:szCs w:val="18"/>
        </w:rPr>
      </w:pPr>
      <w:r w:rsidRPr="00271668">
        <w:rPr>
          <w:szCs w:val="18"/>
        </w:rPr>
        <w:t>Iedereen heeft altijd het recht om aangifte te doen indien men slachtoffer is van een strafbaar feit. Bij een melding door een jongere bij de politie gaat de politie in gesprek met het slachtoffer om te bezien hoe deze het beste kan worden geholpen en uitleg te geven over de opties. Daarin komt ook het proces van aangifte en bewijsvoering ter sprake.</w:t>
      </w:r>
    </w:p>
    <w:p w:rsidRPr="00271668" w:rsidR="00271668" w:rsidP="0025349D" w:rsidRDefault="00000000" w14:paraId="4EC63979" w14:textId="77777777">
      <w:pPr>
        <w:suppressAutoHyphens/>
        <w:spacing w:after="160" w:line="259" w:lineRule="auto"/>
        <w:contextualSpacing/>
        <w:rPr>
          <w:szCs w:val="18"/>
        </w:rPr>
      </w:pPr>
      <w:r w:rsidRPr="00271668">
        <w:rPr>
          <w:szCs w:val="18"/>
        </w:rPr>
        <w:t>Er zijn ook andere manieren</w:t>
      </w:r>
      <w:r w:rsidR="00233ABC">
        <w:rPr>
          <w:szCs w:val="18"/>
        </w:rPr>
        <w:t xml:space="preserve"> om</w:t>
      </w:r>
      <w:r w:rsidRPr="00271668">
        <w:rPr>
          <w:szCs w:val="18"/>
        </w:rPr>
        <w:t xml:space="preserve"> als jongere individuele erkenning en genoegdoening te verkrijgen. In mijn antwoorden van 8 november 2024 op vragen van het lid Westerveld (</w:t>
      </w:r>
      <w:r w:rsidR="00233ABC">
        <w:rPr>
          <w:szCs w:val="18"/>
        </w:rPr>
        <w:t>GL/</w:t>
      </w:r>
      <w:r w:rsidRPr="00271668">
        <w:rPr>
          <w:szCs w:val="18"/>
        </w:rPr>
        <w:t>PvdA) ben ik hierop ingegaan.</w:t>
      </w:r>
      <w:r>
        <w:rPr>
          <w:rStyle w:val="Voetnootmarkering"/>
          <w:szCs w:val="18"/>
        </w:rPr>
        <w:footnoteReference w:id="3"/>
      </w:r>
      <w:r w:rsidRPr="00271668">
        <w:rPr>
          <w:szCs w:val="18"/>
        </w:rPr>
        <w:t xml:space="preserve"> Dit kan op verschillende manieren. Bijvoorbeeld doordat een instelling excuses maakt voor leed dat een jeugdige bij hen heeft ondervonden, of een gesprek tussen jeugdigen en hun oud-behandelaars. Een andere mogelijkheid is via de klachtenregeling van de instelling. De jongere kan de instelling civielrechtelijk aanspreken en zo nodig een gerechtelijke procedure te starten. In dat geval is het uiteindelijk aan de rechter om te beoordelen of sprake is van onrechtmatig handelen.</w:t>
      </w:r>
    </w:p>
    <w:p w:rsidRPr="00271668" w:rsidR="00271668" w:rsidP="0025349D" w:rsidRDefault="00000000" w14:paraId="2597B7EB" w14:textId="77777777">
      <w:pPr>
        <w:suppressAutoHyphens/>
        <w:spacing w:after="160" w:line="259" w:lineRule="auto"/>
        <w:contextualSpacing/>
        <w:rPr>
          <w:szCs w:val="18"/>
        </w:rPr>
      </w:pPr>
      <w:r w:rsidRPr="00271668">
        <w:rPr>
          <w:szCs w:val="18"/>
        </w:rPr>
        <w:t>Het recht op een eerlijk proces is opgenomen in onze grondwet en diverse internationale (mensenrechten) verdragen. Dit recht geldt ook voor jongeren die te maken hebben gehad met ongeoorloofd geweld. Jongeren kunnen daarbij op een laagdrempelige wijze worden ondersteund door bijvoorbeeld de kinderen- en jongerenrechtswinkel en Jeugdstem.</w:t>
      </w:r>
    </w:p>
    <w:p w:rsidRPr="00F32C87" w:rsidR="0011451B" w:rsidP="0025349D" w:rsidRDefault="00000000" w14:paraId="4877677F" w14:textId="77777777">
      <w:pPr>
        <w:suppressAutoHyphens/>
        <w:spacing w:after="160" w:line="259" w:lineRule="auto"/>
        <w:contextualSpacing/>
        <w:rPr>
          <w:szCs w:val="18"/>
        </w:rPr>
      </w:pPr>
      <w:r w:rsidRPr="00271668">
        <w:rPr>
          <w:szCs w:val="18"/>
        </w:rPr>
        <w:t>Het is uiteindelijk aan het O</w:t>
      </w:r>
      <w:r w:rsidR="00816A94">
        <w:rPr>
          <w:szCs w:val="18"/>
        </w:rPr>
        <w:t xml:space="preserve">penbaar </w:t>
      </w:r>
      <w:r w:rsidRPr="00271668">
        <w:rPr>
          <w:szCs w:val="18"/>
        </w:rPr>
        <w:t>M</w:t>
      </w:r>
      <w:r w:rsidR="00816A94">
        <w:rPr>
          <w:szCs w:val="18"/>
        </w:rPr>
        <w:t>inisterie (OM)</w:t>
      </w:r>
      <w:r w:rsidRPr="00271668">
        <w:rPr>
          <w:szCs w:val="18"/>
        </w:rPr>
        <w:t xml:space="preserve"> te beslissen of het tot een vervolging komt.</w:t>
      </w:r>
    </w:p>
    <w:p w:rsidR="00271668" w:rsidP="0025349D" w:rsidRDefault="00271668" w14:paraId="27CA44A9" w14:textId="77777777">
      <w:pPr>
        <w:suppressAutoHyphens/>
        <w:spacing w:after="160" w:line="259" w:lineRule="auto"/>
        <w:contextualSpacing/>
        <w:rPr>
          <w:szCs w:val="18"/>
        </w:rPr>
      </w:pPr>
    </w:p>
    <w:p w:rsidR="00E6048C" w:rsidP="0025349D" w:rsidRDefault="00000000" w14:paraId="15B8D2DA" w14:textId="77777777">
      <w:pPr>
        <w:suppressAutoHyphens/>
        <w:spacing w:after="160" w:line="259" w:lineRule="auto"/>
        <w:contextualSpacing/>
        <w:rPr>
          <w:szCs w:val="18"/>
        </w:rPr>
      </w:pPr>
      <w:r>
        <w:rPr>
          <w:szCs w:val="18"/>
        </w:rPr>
        <w:t>Vraag 10</w:t>
      </w:r>
    </w:p>
    <w:p w:rsidR="00E6048C" w:rsidP="0025349D" w:rsidRDefault="00000000" w14:paraId="6E7DA54C" w14:textId="77777777">
      <w:pPr>
        <w:suppressAutoHyphens/>
        <w:spacing w:after="160" w:line="259" w:lineRule="auto"/>
        <w:contextualSpacing/>
        <w:rPr>
          <w:szCs w:val="18"/>
        </w:rPr>
      </w:pPr>
      <w:r w:rsidRPr="003E094C">
        <w:rPr>
          <w:szCs w:val="18"/>
        </w:rPr>
        <w:t>Bent u van mening dat als kwetsbare jongeren binnen een beoogd beschermde en veilige omgeving geconfronteerd worden met dergelijk geweld, zij altijd aangifte moeten kunnen doen van strafbare handelingen? Kunt u uw antwoord motiveren?</w:t>
      </w:r>
    </w:p>
    <w:p w:rsidR="00271668" w:rsidP="0025349D" w:rsidRDefault="00271668" w14:paraId="653B45F9" w14:textId="77777777">
      <w:pPr>
        <w:suppressAutoHyphens/>
        <w:spacing w:after="160" w:line="259" w:lineRule="auto"/>
        <w:contextualSpacing/>
        <w:rPr>
          <w:szCs w:val="18"/>
        </w:rPr>
      </w:pPr>
    </w:p>
    <w:p w:rsidRPr="003E094C" w:rsidR="004704C0" w:rsidP="0025349D" w:rsidRDefault="00000000" w14:paraId="2DF85AEB" w14:textId="77777777">
      <w:pPr>
        <w:suppressAutoHyphens/>
        <w:spacing w:after="160" w:line="259" w:lineRule="auto"/>
        <w:contextualSpacing/>
        <w:rPr>
          <w:szCs w:val="18"/>
        </w:rPr>
      </w:pPr>
      <w:r>
        <w:rPr>
          <w:szCs w:val="18"/>
        </w:rPr>
        <w:t>Antwoord vraag 10</w:t>
      </w:r>
      <w:r w:rsidRPr="003E094C">
        <w:rPr>
          <w:szCs w:val="18"/>
        </w:rPr>
        <w:br/>
      </w:r>
      <w:r w:rsidRPr="00271668" w:rsidR="00271668">
        <w:rPr>
          <w:szCs w:val="18"/>
        </w:rPr>
        <w:t>Zie het antwoord op vraag 9.</w:t>
      </w:r>
    </w:p>
    <w:p w:rsidR="0011451B" w:rsidP="0025349D" w:rsidRDefault="0011451B" w14:paraId="2BC4ADB5" w14:textId="77777777">
      <w:pPr>
        <w:suppressAutoHyphens/>
        <w:spacing w:after="160" w:line="259" w:lineRule="auto"/>
        <w:contextualSpacing/>
        <w:rPr>
          <w:szCs w:val="18"/>
        </w:rPr>
      </w:pPr>
    </w:p>
    <w:p w:rsidR="00E6048C" w:rsidP="0025349D" w:rsidRDefault="00000000" w14:paraId="3348C568" w14:textId="77777777">
      <w:pPr>
        <w:suppressAutoHyphens/>
        <w:spacing w:after="160" w:line="259" w:lineRule="auto"/>
        <w:contextualSpacing/>
        <w:rPr>
          <w:szCs w:val="18"/>
        </w:rPr>
      </w:pPr>
      <w:r>
        <w:rPr>
          <w:szCs w:val="18"/>
        </w:rPr>
        <w:t>Vraag 11</w:t>
      </w:r>
    </w:p>
    <w:p w:rsidR="0011451B" w:rsidP="0025349D" w:rsidRDefault="00000000" w14:paraId="09C9F9A8" w14:textId="77777777">
      <w:pPr>
        <w:suppressAutoHyphens/>
        <w:spacing w:after="160" w:line="259" w:lineRule="auto"/>
        <w:contextualSpacing/>
        <w:rPr>
          <w:szCs w:val="18"/>
        </w:rPr>
      </w:pPr>
      <w:r w:rsidRPr="003E094C">
        <w:rPr>
          <w:szCs w:val="18"/>
        </w:rPr>
        <w:t>In het verlengde van vraag 6: bent u van mening dat ook hier de bestuurdersaansprakelijkheid moet gelden? Kunt u uw antwoord motiveren?</w:t>
      </w:r>
    </w:p>
    <w:p w:rsidR="003E7EA7" w:rsidP="0025349D" w:rsidRDefault="003E7EA7" w14:paraId="247B5176" w14:textId="77777777">
      <w:pPr>
        <w:suppressAutoHyphens/>
        <w:spacing w:after="160" w:line="259" w:lineRule="auto"/>
        <w:contextualSpacing/>
        <w:rPr>
          <w:szCs w:val="18"/>
        </w:rPr>
      </w:pPr>
    </w:p>
    <w:p w:rsidR="0011451B" w:rsidP="0025349D" w:rsidRDefault="00000000" w14:paraId="29F0F4E2" w14:textId="77777777">
      <w:pPr>
        <w:suppressAutoHyphens/>
        <w:spacing w:after="160" w:line="259" w:lineRule="auto"/>
        <w:contextualSpacing/>
        <w:rPr>
          <w:szCs w:val="18"/>
        </w:rPr>
      </w:pPr>
      <w:r>
        <w:rPr>
          <w:szCs w:val="18"/>
        </w:rPr>
        <w:t>Antwoord vraag 11</w:t>
      </w:r>
    </w:p>
    <w:p w:rsidRPr="00F32C87" w:rsidR="003E7EA7" w:rsidP="0025349D" w:rsidRDefault="00000000" w14:paraId="1BEF53DA" w14:textId="77777777">
      <w:pPr>
        <w:suppressAutoHyphens/>
        <w:spacing w:after="160" w:line="259" w:lineRule="auto"/>
        <w:contextualSpacing/>
        <w:rPr>
          <w:szCs w:val="18"/>
        </w:rPr>
      </w:pPr>
      <w:r w:rsidRPr="00F32C87">
        <w:rPr>
          <w:szCs w:val="18"/>
        </w:rPr>
        <w:t xml:space="preserve">Uit het antwoord op vraag 6 volgt dat van (externe) bestuurdersaansprakelijkheid sprake is als wordt voldaan aan de vereisten van artikel 6:162 BW (onrechtmatige daad) en de bestuurder een voor hem/haar geldende norm zodanig heeft geschonden dat hem persoonlijk een ‘ernstig verwijt’ kan worden gemaakt. </w:t>
      </w:r>
    </w:p>
    <w:p w:rsidR="004704C0" w:rsidP="0025349D" w:rsidRDefault="00000000" w14:paraId="47708C31" w14:textId="77777777">
      <w:pPr>
        <w:suppressAutoHyphens/>
        <w:spacing w:after="160" w:line="259" w:lineRule="auto"/>
        <w:contextualSpacing/>
        <w:rPr>
          <w:szCs w:val="18"/>
        </w:rPr>
      </w:pPr>
      <w:r w:rsidRPr="00F32C87">
        <w:rPr>
          <w:szCs w:val="18"/>
        </w:rPr>
        <w:t xml:space="preserve">Of aan deze criteria wordt voldaan hangt af van de omstandigheden en is in een voorkomend geval ter beoordeling aan de rechter. In </w:t>
      </w:r>
      <w:r w:rsidR="00233ABC">
        <w:rPr>
          <w:szCs w:val="18"/>
        </w:rPr>
        <w:t>algemene zin</w:t>
      </w:r>
      <w:r w:rsidRPr="00F32C87">
        <w:rPr>
          <w:szCs w:val="18"/>
        </w:rPr>
        <w:t xml:space="preserve"> is hierop geen bevestigend antwoord te geven.</w:t>
      </w:r>
      <w:r w:rsidRPr="00863017">
        <w:rPr>
          <w:szCs w:val="18"/>
        </w:rPr>
        <w:t xml:space="preserve">    </w:t>
      </w:r>
      <w:r w:rsidRPr="009459EF">
        <w:rPr>
          <w:szCs w:val="18"/>
        </w:rPr>
        <w:br/>
      </w:r>
    </w:p>
    <w:p w:rsidRPr="009459EF" w:rsidR="00437F59" w:rsidP="0025349D" w:rsidRDefault="00437F59" w14:paraId="182C27DF" w14:textId="77777777">
      <w:pPr>
        <w:suppressAutoHyphens/>
        <w:spacing w:after="160" w:line="259" w:lineRule="auto"/>
        <w:contextualSpacing/>
        <w:rPr>
          <w:szCs w:val="18"/>
        </w:rPr>
      </w:pPr>
    </w:p>
    <w:p w:rsidR="00E6048C" w:rsidP="0025349D" w:rsidRDefault="00000000" w14:paraId="7F817999" w14:textId="0341B6AE">
      <w:pPr>
        <w:suppressAutoHyphens/>
        <w:spacing w:after="160" w:line="259" w:lineRule="auto"/>
        <w:contextualSpacing/>
        <w:rPr>
          <w:szCs w:val="18"/>
        </w:rPr>
      </w:pPr>
      <w:r w:rsidRPr="00E6048C">
        <w:rPr>
          <w:szCs w:val="18"/>
        </w:rPr>
        <w:lastRenderedPageBreak/>
        <w:t>Vra</w:t>
      </w:r>
      <w:r>
        <w:rPr>
          <w:szCs w:val="18"/>
        </w:rPr>
        <w:t>ag 12</w:t>
      </w:r>
    </w:p>
    <w:p w:rsidR="00E6048C" w:rsidP="0025349D" w:rsidRDefault="00000000" w14:paraId="2522D539" w14:textId="77777777">
      <w:pPr>
        <w:suppressAutoHyphens/>
        <w:spacing w:after="160" w:line="259" w:lineRule="auto"/>
        <w:contextualSpacing/>
        <w:rPr>
          <w:szCs w:val="18"/>
        </w:rPr>
      </w:pPr>
      <w:r w:rsidRPr="003E094C">
        <w:rPr>
          <w:szCs w:val="18"/>
        </w:rPr>
        <w:t>Vindt u dat de overheid, die een verzwaarde zorgplicht heeft als kinderen op grond van een kinderbeschermingsmaatregel worden geplaatst in een accommodatie voor jeugdzorg, kinderen mag blijven plaatsen in instellingen die er blijk van geven dat zij de fysieke veiligheid van kinderen niet borgen? Kunt u uw antwoord motiveren?</w:t>
      </w:r>
    </w:p>
    <w:p w:rsidR="0011451B" w:rsidP="0025349D" w:rsidRDefault="0011451B" w14:paraId="445AC240" w14:textId="77777777">
      <w:pPr>
        <w:suppressAutoHyphens/>
        <w:spacing w:after="160" w:line="259" w:lineRule="auto"/>
        <w:contextualSpacing/>
        <w:rPr>
          <w:szCs w:val="18"/>
        </w:rPr>
      </w:pPr>
    </w:p>
    <w:p w:rsidRPr="003E094C" w:rsidR="004704C0" w:rsidP="0025349D" w:rsidRDefault="00000000" w14:paraId="68DAE338" w14:textId="77777777">
      <w:pPr>
        <w:suppressAutoHyphens/>
        <w:spacing w:after="160" w:line="259" w:lineRule="auto"/>
        <w:contextualSpacing/>
        <w:rPr>
          <w:szCs w:val="18"/>
        </w:rPr>
      </w:pPr>
      <w:r>
        <w:rPr>
          <w:szCs w:val="18"/>
        </w:rPr>
        <w:t>Antwoord vraag 12</w:t>
      </w:r>
      <w:r w:rsidRPr="003E094C">
        <w:rPr>
          <w:szCs w:val="18"/>
        </w:rPr>
        <w:br/>
      </w:r>
      <w:r w:rsidR="00436976">
        <w:rPr>
          <w:szCs w:val="18"/>
        </w:rPr>
        <w:t>De IGJ houdt toezicht op de kwaliteit van de jeugdhulpinstellingen, waaronder of sprake is van een veilige situatie</w:t>
      </w:r>
      <w:r w:rsidR="00816A94">
        <w:rPr>
          <w:szCs w:val="18"/>
        </w:rPr>
        <w:t xml:space="preserve">. </w:t>
      </w:r>
      <w:r w:rsidR="00EE4C1F">
        <w:rPr>
          <w:szCs w:val="18"/>
        </w:rPr>
        <w:t>Als daarvan geen sprake is dient de instelling</w:t>
      </w:r>
      <w:r w:rsidR="00436976">
        <w:rPr>
          <w:szCs w:val="18"/>
        </w:rPr>
        <w:t xml:space="preserve"> in opdracht van de IGJ een verbeterplan op</w:t>
      </w:r>
      <w:r w:rsidR="00EE4C1F">
        <w:rPr>
          <w:szCs w:val="18"/>
        </w:rPr>
        <w:t xml:space="preserve"> te </w:t>
      </w:r>
      <w:r w:rsidR="00436976">
        <w:rPr>
          <w:szCs w:val="18"/>
        </w:rPr>
        <w:t>stellen</w:t>
      </w:r>
      <w:r w:rsidR="00EE4C1F">
        <w:rPr>
          <w:szCs w:val="18"/>
        </w:rPr>
        <w:t>. Bij een laag vertrouwen (in de verbeterkracht) kan de inspectie andere interventies inzetten, zoals verscherpt toezicht of een aanwijzing. Als de directe veiligheid van kinderen in het geding is, informeert de IGJ de plaatsende instanties daarover.</w:t>
      </w:r>
      <w:r w:rsidR="00436976">
        <w:rPr>
          <w:szCs w:val="18"/>
        </w:rPr>
        <w:t xml:space="preserve"> </w:t>
      </w:r>
    </w:p>
    <w:p w:rsidR="0011451B" w:rsidP="0025349D" w:rsidRDefault="0011451B" w14:paraId="304BD09C" w14:textId="77777777">
      <w:pPr>
        <w:suppressAutoHyphens/>
        <w:spacing w:after="160" w:line="259" w:lineRule="auto"/>
        <w:contextualSpacing/>
        <w:rPr>
          <w:szCs w:val="18"/>
        </w:rPr>
      </w:pPr>
    </w:p>
    <w:p w:rsidR="00E6048C" w:rsidP="0025349D" w:rsidRDefault="00000000" w14:paraId="678EAE69" w14:textId="77777777">
      <w:pPr>
        <w:suppressAutoHyphens/>
        <w:spacing w:after="160" w:line="259" w:lineRule="auto"/>
        <w:contextualSpacing/>
        <w:rPr>
          <w:szCs w:val="18"/>
        </w:rPr>
      </w:pPr>
      <w:r>
        <w:rPr>
          <w:szCs w:val="18"/>
        </w:rPr>
        <w:t>Vraag 13</w:t>
      </w:r>
    </w:p>
    <w:p w:rsidR="00E6048C" w:rsidP="0025349D" w:rsidRDefault="00000000" w14:paraId="67C5E5C2" w14:textId="77777777">
      <w:pPr>
        <w:suppressAutoHyphens/>
        <w:spacing w:after="160" w:line="259" w:lineRule="auto"/>
        <w:contextualSpacing/>
        <w:rPr>
          <w:szCs w:val="18"/>
        </w:rPr>
      </w:pPr>
      <w:r w:rsidRPr="003E094C">
        <w:rPr>
          <w:szCs w:val="18"/>
        </w:rPr>
        <w:t>Klopt het dat de IGJ rapporteert</w:t>
      </w:r>
      <w:r>
        <w:rPr>
          <w:rStyle w:val="Voetnootmarkering"/>
          <w:szCs w:val="18"/>
        </w:rPr>
        <w:footnoteReference w:id="4"/>
      </w:r>
      <w:r w:rsidRPr="003E094C">
        <w:rPr>
          <w:szCs w:val="18"/>
        </w:rPr>
        <w:t xml:space="preserve"> dat de ombouw van gesloten jeugdzorg door de keten niet of onvoldoende wordt opgepakt en daarover haar zorgen uit? Bent u op de hoogte dat de Rijksuniversiteit Groningen beschikt over een onderzoeksopzet om een alternatief uit te werken door de geslotenheid die nodig kan zijn, te bieden in het kader van de Wet verplichte geestelijke gezondheidszorg en de Wet zorg en dwang? Overweegt u, gelet op de zorgen van de IGJ, aan deze universiteit een onderzoeksopdracht te geven?</w:t>
      </w:r>
    </w:p>
    <w:p w:rsidR="00193E73" w:rsidP="0025349D" w:rsidRDefault="00193E73" w14:paraId="2E0C27BB" w14:textId="77777777">
      <w:pPr>
        <w:suppressAutoHyphens/>
        <w:spacing w:after="160" w:line="259" w:lineRule="auto"/>
        <w:contextualSpacing/>
        <w:rPr>
          <w:szCs w:val="18"/>
        </w:rPr>
      </w:pPr>
    </w:p>
    <w:p w:rsidR="00E6048C" w:rsidP="0025349D" w:rsidRDefault="00000000" w14:paraId="235D0C20" w14:textId="77777777">
      <w:pPr>
        <w:suppressAutoHyphens/>
        <w:spacing w:after="160" w:line="259" w:lineRule="auto"/>
        <w:contextualSpacing/>
        <w:rPr>
          <w:szCs w:val="18"/>
        </w:rPr>
      </w:pPr>
      <w:r>
        <w:rPr>
          <w:szCs w:val="18"/>
        </w:rPr>
        <w:t>Antwoord vraag 13</w:t>
      </w:r>
    </w:p>
    <w:p w:rsidRPr="00E6048C" w:rsidR="004704C0" w:rsidP="0025349D" w:rsidRDefault="00000000" w14:paraId="43A6DD46" w14:textId="77777777">
      <w:pPr>
        <w:suppressAutoHyphens/>
        <w:spacing w:after="160" w:line="259" w:lineRule="auto"/>
        <w:contextualSpacing/>
        <w:rPr>
          <w:szCs w:val="18"/>
        </w:rPr>
      </w:pPr>
      <w:r>
        <w:rPr>
          <w:szCs w:val="18"/>
        </w:rPr>
        <w:t xml:space="preserve">Het klopt dat IGJ haar zorgen geuit heeft </w:t>
      </w:r>
      <w:r w:rsidR="004F017C">
        <w:rPr>
          <w:szCs w:val="18"/>
        </w:rPr>
        <w:t xml:space="preserve">dat de ombouw van de </w:t>
      </w:r>
      <w:r>
        <w:rPr>
          <w:szCs w:val="18"/>
        </w:rPr>
        <w:t>gesloten jeugdhulp</w:t>
      </w:r>
      <w:r w:rsidR="00700ECD">
        <w:rPr>
          <w:szCs w:val="18"/>
        </w:rPr>
        <w:t xml:space="preserve"> </w:t>
      </w:r>
      <w:r w:rsidR="004F017C">
        <w:rPr>
          <w:szCs w:val="18"/>
        </w:rPr>
        <w:t>onvoldoende gepaard gaat met de opbouw van alternatieve vormen van hulp.</w:t>
      </w:r>
      <w:r>
        <w:rPr>
          <w:szCs w:val="18"/>
        </w:rPr>
        <w:t xml:space="preserve"> Ik heb u daarover eerder geïnformeerd.</w:t>
      </w:r>
      <w:r>
        <w:rPr>
          <w:rStyle w:val="Voetnootmarkering"/>
          <w:szCs w:val="18"/>
        </w:rPr>
        <w:footnoteReference w:id="5"/>
      </w:r>
      <w:r>
        <w:rPr>
          <w:szCs w:val="18"/>
        </w:rPr>
        <w:t xml:space="preserve"> Ik ken de onderzoeksopzet van de Rijksuniversiteit Groningen niet. Ik zal daar navraag naar doen.</w:t>
      </w:r>
      <w:r w:rsidRPr="00E6048C">
        <w:rPr>
          <w:szCs w:val="18"/>
        </w:rPr>
        <w:br/>
      </w:r>
    </w:p>
    <w:p w:rsidR="003E7EA7" w:rsidP="0025349D" w:rsidRDefault="00000000" w14:paraId="7383A25D" w14:textId="77777777">
      <w:pPr>
        <w:suppressAutoHyphens/>
        <w:spacing w:after="160" w:line="259" w:lineRule="auto"/>
        <w:contextualSpacing/>
        <w:rPr>
          <w:rFonts w:ascii="Tahoma" w:hAnsi="Tahoma" w:cs="Tahoma"/>
          <w:szCs w:val="18"/>
        </w:rPr>
      </w:pPr>
      <w:r>
        <w:rPr>
          <w:rFonts w:ascii="Tahoma" w:hAnsi="Tahoma" w:cs="Tahoma"/>
          <w:szCs w:val="18"/>
        </w:rPr>
        <w:t>Vraag 14</w:t>
      </w:r>
    </w:p>
    <w:p w:rsidR="003E7EA7" w:rsidP="0025349D" w:rsidRDefault="00000000" w14:paraId="1BF8C51F" w14:textId="77777777">
      <w:pPr>
        <w:suppressAutoHyphens/>
        <w:spacing w:after="160" w:line="259" w:lineRule="auto"/>
        <w:contextualSpacing/>
        <w:rPr>
          <w:szCs w:val="18"/>
        </w:rPr>
      </w:pPr>
      <w:r w:rsidRPr="003E094C">
        <w:rPr>
          <w:szCs w:val="18"/>
        </w:rPr>
        <w:t>Bent u bereid de wet aan te scherpen, zodat mishandeling en andere zaken in de jeugdzorg grond zijn voor een forse strafverzwaring, omdat deze jongeren aan de instellingen zijn toevertrouwd en zij daarvoor betaald worden met publiek geld? </w:t>
      </w:r>
      <w:r w:rsidRPr="003E094C">
        <w:rPr>
          <w:szCs w:val="18"/>
        </w:rPr>
        <w:br/>
      </w:r>
    </w:p>
    <w:p w:rsidRPr="00D672C4" w:rsidR="003E7EA7" w:rsidP="0025349D" w:rsidRDefault="00000000" w14:paraId="31AEE924" w14:textId="77777777">
      <w:pPr>
        <w:suppressAutoHyphens/>
        <w:spacing w:after="160" w:line="259" w:lineRule="auto"/>
        <w:contextualSpacing/>
        <w:rPr>
          <w:szCs w:val="18"/>
        </w:rPr>
      </w:pPr>
      <w:r w:rsidRPr="00EE4C1F">
        <w:rPr>
          <w:szCs w:val="18"/>
        </w:rPr>
        <w:t>Antwoord vraag 14</w:t>
      </w:r>
    </w:p>
    <w:p w:rsidRPr="00700ECD" w:rsidR="00700ECD" w:rsidP="0025349D" w:rsidRDefault="00000000" w14:paraId="1E32CA5E" w14:textId="77777777">
      <w:pPr>
        <w:suppressAutoHyphens/>
        <w:spacing w:after="160" w:line="259" w:lineRule="auto"/>
        <w:contextualSpacing/>
        <w:rPr>
          <w:szCs w:val="18"/>
        </w:rPr>
      </w:pPr>
      <w:r w:rsidRPr="00700ECD">
        <w:rPr>
          <w:szCs w:val="18"/>
        </w:rPr>
        <w:t xml:space="preserve">Het is uiteraard van groot belang dat gevallen van mishandeling in de jeugdzorg, waarbij sprake is van een afhankelijkheidsrelatie tussen de minderjarige en degene aan wiens zorg hij is toevertrouwd, passend worden bestraft. Met de Wet herwaardering strafbaarstelling actuele delictsvormen, die op 1 januari 2020 in werking is getreden, is de strafverzwaringsgrond bij mishandeling van een minderjarige in een afhankelijkheidsrelatie dan ook uitgebreid tot andere personen dan directe familieleden tot wie het kind in een afhankelijkheidsrelatie verkeert, zoals personen werkzaam in zorginstellingen, internaten, op scholen en in de buitenschoolse opvang. Deze strafverzwaringsgrond kan van toepassing zijn op medewerkers in de jeugdzorg. In dergelijke gevallen kan de gevangenisstraf die is gesteld op het gepleegde misdrijf met een derde worden verhoogd (artikel 304, eerste lid, aanhef en onderdeel 1, Sr). Ook als een minderjarige stelselmatig wordt mishandeld, kan de gevangenisstraf die op het misdrijf is gesteld, met een </w:t>
      </w:r>
      <w:r w:rsidRPr="00700ECD">
        <w:rPr>
          <w:szCs w:val="18"/>
        </w:rPr>
        <w:lastRenderedPageBreak/>
        <w:t>derde worden verhoogd (artikel 304, eerste lid, aanhef en onderdeel 2, Sr). Deze strafverzwaringsgrond is met dezelfde wet geïntroduceerd, zodat bij langdurige mishandeling met vaak grote impact op slachtoffers een zwaardere straf kan worden opgelegd.</w:t>
      </w:r>
    </w:p>
    <w:p w:rsidR="007D75E9" w:rsidP="0025349D" w:rsidRDefault="007D75E9" w14:paraId="1D8A4C25" w14:textId="77777777">
      <w:pPr>
        <w:suppressAutoHyphens/>
        <w:spacing w:after="160" w:line="259" w:lineRule="auto"/>
        <w:contextualSpacing/>
        <w:rPr>
          <w:szCs w:val="18"/>
        </w:rPr>
      </w:pPr>
    </w:p>
    <w:p w:rsidR="003E7EA7" w:rsidP="0025349D" w:rsidRDefault="00000000" w14:paraId="5D97F2AB" w14:textId="77777777">
      <w:pPr>
        <w:suppressAutoHyphens/>
        <w:spacing w:after="160" w:line="259" w:lineRule="auto"/>
        <w:contextualSpacing/>
        <w:rPr>
          <w:szCs w:val="18"/>
        </w:rPr>
      </w:pPr>
      <w:r>
        <w:rPr>
          <w:szCs w:val="18"/>
        </w:rPr>
        <w:t>Vraag 15</w:t>
      </w:r>
    </w:p>
    <w:p w:rsidR="003E7EA7" w:rsidP="0025349D" w:rsidRDefault="00000000" w14:paraId="2945720C" w14:textId="77777777">
      <w:pPr>
        <w:suppressAutoHyphens/>
        <w:spacing w:after="160" w:line="259" w:lineRule="auto"/>
        <w:contextualSpacing/>
        <w:rPr>
          <w:szCs w:val="18"/>
        </w:rPr>
      </w:pPr>
      <w:r w:rsidRPr="003E094C">
        <w:rPr>
          <w:szCs w:val="18"/>
        </w:rPr>
        <w:t>Bent u bereid om standaard schadevergoedingen vast te stellen voor jongeren bij overtreding van verboden? </w:t>
      </w:r>
    </w:p>
    <w:p w:rsidR="007D75E9" w:rsidP="0025349D" w:rsidRDefault="007D75E9" w14:paraId="68350DB9" w14:textId="77777777">
      <w:pPr>
        <w:suppressAutoHyphens/>
        <w:spacing w:after="160" w:line="259" w:lineRule="auto"/>
        <w:contextualSpacing/>
        <w:rPr>
          <w:szCs w:val="18"/>
          <w:highlight w:val="yellow"/>
        </w:rPr>
      </w:pPr>
    </w:p>
    <w:p w:rsidR="003E7EA7" w:rsidP="0025349D" w:rsidRDefault="00000000" w14:paraId="565C6A77" w14:textId="77777777">
      <w:pPr>
        <w:suppressAutoHyphens/>
        <w:spacing w:after="160" w:line="259" w:lineRule="auto"/>
        <w:contextualSpacing/>
        <w:rPr>
          <w:szCs w:val="18"/>
        </w:rPr>
      </w:pPr>
      <w:r w:rsidRPr="00EE4C1F">
        <w:rPr>
          <w:szCs w:val="18"/>
        </w:rPr>
        <w:t>Antwoord vraag 15</w:t>
      </w:r>
    </w:p>
    <w:p w:rsidR="003E7EA7" w:rsidP="0025349D" w:rsidRDefault="00000000" w14:paraId="326D4587" w14:textId="77777777">
      <w:pPr>
        <w:suppressAutoHyphens/>
        <w:spacing w:after="160" w:line="259" w:lineRule="auto"/>
        <w:contextualSpacing/>
        <w:rPr>
          <w:szCs w:val="18"/>
        </w:rPr>
      </w:pPr>
      <w:r>
        <w:rPr>
          <w:szCs w:val="18"/>
        </w:rPr>
        <w:t>Ik zie vooralsnog geen aanleiding om de bestaande mogelijkheden tot het verkrijgen van een vergoeding verder uit te breiden. Op dit moment kent ons systeem namelijk al verschillende mogelijkheden om een schadevergoeding of tegemoetkoming te krijgen.</w:t>
      </w:r>
    </w:p>
    <w:p w:rsidRPr="00DE3A30" w:rsidR="003E7EA7" w:rsidP="0025349D" w:rsidRDefault="00000000" w14:paraId="25110DE8" w14:textId="77777777">
      <w:pPr>
        <w:suppressAutoHyphens/>
        <w:spacing w:after="160" w:line="259" w:lineRule="auto"/>
        <w:contextualSpacing/>
        <w:rPr>
          <w:szCs w:val="18"/>
        </w:rPr>
      </w:pPr>
      <w:r>
        <w:rPr>
          <w:szCs w:val="18"/>
        </w:rPr>
        <w:t xml:space="preserve">Indien sprake is van (im)materiële schade kan dit worden verhaald op de degene die deze schade heeft veroorzaakt. </w:t>
      </w:r>
      <w:r w:rsidRPr="00973C5B">
        <w:rPr>
          <w:szCs w:val="18"/>
        </w:rPr>
        <w:t xml:space="preserve">Dit kan in een civiele procedure, maar dit kan ook tijdens </w:t>
      </w:r>
      <w:r>
        <w:rPr>
          <w:szCs w:val="18"/>
        </w:rPr>
        <w:t>een eventuele</w:t>
      </w:r>
      <w:r w:rsidRPr="00973C5B">
        <w:rPr>
          <w:szCs w:val="18"/>
        </w:rPr>
        <w:t xml:space="preserve"> strafrechtelijke procedure. </w:t>
      </w:r>
      <w:r>
        <w:rPr>
          <w:szCs w:val="18"/>
        </w:rPr>
        <w:t>In het strafrechtelijk kader is het mogelijk om je als benadeelde partij te voegen in het strafproces. Als benadeelde partij kan je de rechter verzoeken om een vergoeding van (im)materiële schade. In een civiele procedure is het mogelijk om een schadevergoeding te verzoeken in het kader van een onrechtmatige daad. In zowel de strafrechtelijke als civiele procedure is het de rechter die beslist over d</w:t>
      </w:r>
      <w:r w:rsidRPr="00973C5B">
        <w:rPr>
          <w:szCs w:val="18"/>
        </w:rPr>
        <w:t>e eventuele toe te kennen schadevergoeding.</w:t>
      </w:r>
      <w:r w:rsidRPr="00973C5B">
        <w:rPr>
          <w:b/>
          <w:bCs/>
          <w:szCs w:val="18"/>
        </w:rPr>
        <w:t> </w:t>
      </w:r>
    </w:p>
    <w:p w:rsidR="003E7EA7" w:rsidP="0025349D" w:rsidRDefault="00000000" w14:paraId="1A4F4A29" w14:textId="77777777">
      <w:pPr>
        <w:suppressAutoHyphens/>
        <w:spacing w:after="160" w:line="259" w:lineRule="auto"/>
        <w:contextualSpacing/>
        <w:rPr>
          <w:szCs w:val="18"/>
        </w:rPr>
      </w:pPr>
      <w:r>
        <w:rPr>
          <w:szCs w:val="18"/>
        </w:rPr>
        <w:t xml:space="preserve">Daarnaast kan een slachtoffer zich wenden tot het Schadefonds Geweldsmisdrijven. Onder bepaalde voorwaarden kent het Schadefonds een financiële tegemoetkoming toe. Zo moet er onder andere sprake zijn van een geweldsmisdrijf met opzet of een seksueel misdrijf waaruit ernstig lichamelijk of psychisch letsel is voortgekomen. De tegemoetkoming wordt alleen toegekend indien </w:t>
      </w:r>
      <w:r w:rsidRPr="00DE3A30">
        <w:rPr>
          <w:szCs w:val="18"/>
        </w:rPr>
        <w:t>de dader of een verzekering</w:t>
      </w:r>
      <w:r>
        <w:rPr>
          <w:szCs w:val="18"/>
        </w:rPr>
        <w:t xml:space="preserve"> de schade reeds vergoedt</w:t>
      </w:r>
      <w:r w:rsidRPr="00DE3A30">
        <w:rPr>
          <w:szCs w:val="18"/>
        </w:rPr>
        <w:t>.</w:t>
      </w:r>
    </w:p>
    <w:p w:rsidRPr="00700ECD" w:rsidR="00700ECD" w:rsidP="0025349D" w:rsidRDefault="00000000" w14:paraId="6EDCC84E" w14:textId="77777777">
      <w:pPr>
        <w:suppressAutoHyphens/>
        <w:spacing w:after="160" w:line="259" w:lineRule="auto"/>
        <w:contextualSpacing/>
        <w:rPr>
          <w:szCs w:val="18"/>
        </w:rPr>
      </w:pPr>
      <w:r w:rsidRPr="00700ECD">
        <w:rPr>
          <w:szCs w:val="18"/>
        </w:rPr>
        <w:t xml:space="preserve">Daarnaast kunnen slachtoffers van een gewelds- of seksueel misdrijf een aanvraag voor een tegemoetkoming indienen bij het Schadefonds. Er gelden wel een aantal voorwaarden om in aanmerking te komen voor een tegemoetkoming. Zo moet er o.a. sprake zijn van een geweldsmisdrijf met opzet of een seksueel misdrijf, dient er sprake te zijn van ernstig of lichamelijk letsel, dient het misdrijf in Nederland te hebben plaatsgevonden en is relevant of een slachtoffer een eigen aandeel heeft in het gebeurde. </w:t>
      </w:r>
    </w:p>
    <w:p w:rsidR="00700ECD" w:rsidP="0025349D" w:rsidRDefault="00700ECD" w14:paraId="26FD4821" w14:textId="77777777">
      <w:pPr>
        <w:suppressAutoHyphens/>
        <w:spacing w:after="160" w:line="259" w:lineRule="auto"/>
        <w:contextualSpacing/>
        <w:rPr>
          <w:szCs w:val="18"/>
        </w:rPr>
      </w:pPr>
    </w:p>
    <w:p w:rsidRPr="003E094C" w:rsidR="004704C0" w:rsidP="0025349D" w:rsidRDefault="004704C0" w14:paraId="5DC4F420" w14:textId="77777777">
      <w:pPr>
        <w:suppressAutoHyphens/>
        <w:spacing w:after="160" w:line="259" w:lineRule="auto"/>
        <w:contextualSpacing/>
        <w:rPr>
          <w:szCs w:val="18"/>
        </w:rPr>
      </w:pPr>
    </w:p>
    <w:p w:rsidRPr="003E094C" w:rsidR="004704C0" w:rsidP="0025349D" w:rsidRDefault="00000000" w14:paraId="67D65D2B" w14:textId="77777777">
      <w:pPr>
        <w:suppressAutoHyphens/>
        <w:contextualSpacing/>
        <w:rPr>
          <w:szCs w:val="18"/>
        </w:rPr>
      </w:pPr>
      <w:r w:rsidRPr="003E094C">
        <w:rPr>
          <w:szCs w:val="18"/>
        </w:rPr>
        <w:t> </w:t>
      </w:r>
      <w:r w:rsidRPr="003E094C">
        <w:rPr>
          <w:szCs w:val="18"/>
        </w:rPr>
        <w:br/>
      </w:r>
    </w:p>
    <w:p w:rsidRPr="003E094C" w:rsidR="004704C0" w:rsidP="0025349D" w:rsidRDefault="00000000" w14:paraId="25C129E4" w14:textId="77777777">
      <w:pPr>
        <w:suppressAutoHyphens/>
        <w:contextualSpacing/>
        <w:rPr>
          <w:szCs w:val="18"/>
        </w:rPr>
      </w:pPr>
      <w:r w:rsidRPr="003E094C">
        <w:rPr>
          <w:szCs w:val="18"/>
        </w:rPr>
        <w:br/>
      </w:r>
    </w:p>
    <w:p w:rsidRPr="003E094C" w:rsidR="004704C0" w:rsidP="0025349D" w:rsidRDefault="004704C0" w14:paraId="7E70DF8C" w14:textId="77777777">
      <w:pPr>
        <w:suppressAutoHyphens/>
        <w:contextualSpacing/>
        <w:rPr>
          <w:szCs w:val="18"/>
        </w:rPr>
      </w:pPr>
    </w:p>
    <w:p w:rsidR="004704C0" w:rsidP="0025349D" w:rsidRDefault="004704C0" w14:paraId="4B3D0840" w14:textId="77777777">
      <w:pPr>
        <w:suppressAutoHyphens/>
        <w:contextualSpacing/>
      </w:pPr>
    </w:p>
    <w:sectPr w:rsidR="004704C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F43E" w14:textId="77777777" w:rsidR="00D55204" w:rsidRDefault="00D55204">
      <w:pPr>
        <w:spacing w:line="240" w:lineRule="auto"/>
      </w:pPr>
      <w:r>
        <w:separator/>
      </w:r>
    </w:p>
  </w:endnote>
  <w:endnote w:type="continuationSeparator" w:id="0">
    <w:p w14:paraId="74876F9B" w14:textId="77777777" w:rsidR="00D55204" w:rsidRDefault="00D55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24E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235544A" wp14:editId="42EF5E5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E3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35544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A3E3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AD8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402358B" wp14:editId="13CD19D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0E2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02358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490E2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A91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E645EBD" wp14:editId="2B933D2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F417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645EB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AEF417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F42A" w14:textId="77777777" w:rsidR="00D55204" w:rsidRDefault="00D55204">
      <w:pPr>
        <w:spacing w:line="240" w:lineRule="auto"/>
      </w:pPr>
      <w:r>
        <w:separator/>
      </w:r>
    </w:p>
  </w:footnote>
  <w:footnote w:type="continuationSeparator" w:id="0">
    <w:p w14:paraId="10F826C6" w14:textId="77777777" w:rsidR="00D55204" w:rsidRDefault="00D55204">
      <w:pPr>
        <w:spacing w:line="240" w:lineRule="auto"/>
      </w:pPr>
      <w:r>
        <w:continuationSeparator/>
      </w:r>
    </w:p>
  </w:footnote>
  <w:footnote w:id="1">
    <w:p w14:paraId="4A9D8F08" w14:textId="77777777" w:rsidR="00E6048C" w:rsidRPr="00437F59" w:rsidRDefault="00000000">
      <w:pPr>
        <w:pStyle w:val="Voetnoottekst"/>
        <w:rPr>
          <w:sz w:val="16"/>
          <w:szCs w:val="16"/>
        </w:rPr>
      </w:pPr>
      <w:r w:rsidRPr="00437F59">
        <w:rPr>
          <w:rStyle w:val="Voetnootmarkering"/>
          <w:sz w:val="16"/>
          <w:szCs w:val="16"/>
        </w:rPr>
        <w:footnoteRef/>
      </w:r>
      <w:r w:rsidRPr="00437F59">
        <w:rPr>
          <w:sz w:val="16"/>
          <w:szCs w:val="16"/>
        </w:rPr>
        <w:t xml:space="preserve"> </w:t>
      </w:r>
      <w:r w:rsidR="0016799E" w:rsidRPr="00437F59">
        <w:rPr>
          <w:sz w:val="16"/>
          <w:szCs w:val="16"/>
        </w:rPr>
        <w:t xml:space="preserve">Tweede Kamer, </w:t>
      </w:r>
      <w:r w:rsidRPr="00437F59">
        <w:rPr>
          <w:sz w:val="16"/>
          <w:szCs w:val="16"/>
        </w:rPr>
        <w:t xml:space="preserve">vergaderjaar 2024-2025, </w:t>
      </w:r>
      <w:r w:rsidR="0016799E" w:rsidRPr="00437F59">
        <w:rPr>
          <w:sz w:val="16"/>
          <w:szCs w:val="16"/>
        </w:rPr>
        <w:t xml:space="preserve">Aanhangsel </w:t>
      </w:r>
      <w:r w:rsidRPr="00437F59">
        <w:rPr>
          <w:sz w:val="16"/>
          <w:szCs w:val="16"/>
        </w:rPr>
        <w:t xml:space="preserve"> 466</w:t>
      </w:r>
    </w:p>
  </w:footnote>
  <w:footnote w:id="2">
    <w:p w14:paraId="1984F08A" w14:textId="77777777" w:rsidR="003E7EA7" w:rsidRDefault="00000000" w:rsidP="003E7EA7">
      <w:pPr>
        <w:pStyle w:val="Voetnoottekst"/>
      </w:pPr>
      <w:r w:rsidRPr="00437F59">
        <w:rPr>
          <w:rStyle w:val="Voetnootmarkering"/>
          <w:sz w:val="16"/>
          <w:szCs w:val="16"/>
        </w:rPr>
        <w:footnoteRef/>
      </w:r>
      <w:r w:rsidRPr="00437F59">
        <w:rPr>
          <w:sz w:val="16"/>
          <w:szCs w:val="16"/>
        </w:rPr>
        <w:t xml:space="preserve"> Kamerstukken II 2024/25, 31 839, nr.1034 (motie lid Westerveld) en Handelingen II 2024/23, nr. 31 839, item 1049.</w:t>
      </w:r>
    </w:p>
  </w:footnote>
  <w:footnote w:id="3">
    <w:p w14:paraId="1C0C8E50" w14:textId="77777777" w:rsidR="00271668" w:rsidRPr="00437F59" w:rsidRDefault="00000000">
      <w:pPr>
        <w:pStyle w:val="Voetnoottekst"/>
        <w:rPr>
          <w:sz w:val="16"/>
          <w:szCs w:val="16"/>
        </w:rPr>
      </w:pPr>
      <w:r w:rsidRPr="00437F59">
        <w:rPr>
          <w:rStyle w:val="Voetnootmarkering"/>
          <w:sz w:val="16"/>
          <w:szCs w:val="16"/>
        </w:rPr>
        <w:footnoteRef/>
      </w:r>
      <w:r w:rsidRPr="00437F59">
        <w:rPr>
          <w:sz w:val="16"/>
          <w:szCs w:val="16"/>
        </w:rPr>
        <w:t xml:space="preserve"> </w:t>
      </w:r>
      <w:r w:rsidR="0016799E" w:rsidRPr="00437F59">
        <w:rPr>
          <w:sz w:val="16"/>
          <w:szCs w:val="16"/>
        </w:rPr>
        <w:t>Tweede Kamer, vergaderjaar 2024-2025, Aanhangsel 512</w:t>
      </w:r>
    </w:p>
  </w:footnote>
  <w:footnote w:id="4">
    <w:p w14:paraId="28BC6509" w14:textId="77777777" w:rsidR="00E6048C" w:rsidRPr="00437F59" w:rsidRDefault="00000000">
      <w:pPr>
        <w:pStyle w:val="Voetnoottekst"/>
        <w:rPr>
          <w:sz w:val="16"/>
          <w:szCs w:val="18"/>
        </w:rPr>
      </w:pPr>
      <w:r w:rsidRPr="00437F59">
        <w:rPr>
          <w:rStyle w:val="Voetnootmarkering"/>
          <w:sz w:val="16"/>
          <w:szCs w:val="18"/>
        </w:rPr>
        <w:footnoteRef/>
      </w:r>
      <w:r w:rsidRPr="00437F59">
        <w:rPr>
          <w:sz w:val="16"/>
          <w:szCs w:val="18"/>
        </w:rPr>
        <w:t xml:space="preserve"> </w:t>
      </w:r>
      <w:r w:rsidRPr="00437F59">
        <w:rPr>
          <w:sz w:val="16"/>
          <w:szCs w:val="16"/>
        </w:rPr>
        <w:t>IGJ, 5 november 2024, https://www.igj.nl/actueel/nieuws/2024/11/05/grote-zorgen-af--en-ombouw-gesloten-jeugdzorg-hulp-aan-jongeren-is-niet-op-orde.</w:t>
      </w:r>
    </w:p>
  </w:footnote>
  <w:footnote w:id="5">
    <w:p w14:paraId="5E7CD92B" w14:textId="77777777" w:rsidR="00463ACF" w:rsidRDefault="00000000" w:rsidP="00463ACF">
      <w:pPr>
        <w:pStyle w:val="Voetnoottekst"/>
      </w:pPr>
      <w:r w:rsidRPr="00437F59">
        <w:rPr>
          <w:rStyle w:val="Voetnootmarkering"/>
          <w:sz w:val="16"/>
          <w:szCs w:val="18"/>
        </w:rPr>
        <w:footnoteRef/>
      </w:r>
      <w:r w:rsidRPr="00437F59">
        <w:rPr>
          <w:sz w:val="16"/>
          <w:szCs w:val="18"/>
        </w:rPr>
        <w:t xml:space="preserve"> Kamerstukken II 20245-2025, </w:t>
      </w:r>
      <w:r w:rsidRPr="00437F59">
        <w:rPr>
          <w:rFonts w:cs="Arial"/>
          <w:color w:val="132439"/>
          <w:sz w:val="16"/>
          <w:szCs w:val="18"/>
          <w:shd w:val="clear" w:color="auto" w:fill="FFFFFF"/>
        </w:rPr>
        <w:t>31839 nr. 1031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1E8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7256B59" wp14:editId="1193FD1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7EED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256B5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307EED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9DA8" w14:textId="77777777" w:rsidR="00F860AE" w:rsidRDefault="00000000">
    <w:pPr>
      <w:pStyle w:val="Koptekst"/>
    </w:pPr>
    <w:r>
      <w:rPr>
        <w:noProof/>
      </w:rPr>
      <w:drawing>
        <wp:anchor distT="0" distB="0" distL="114300" distR="114300" simplePos="0" relativeHeight="251657216" behindDoc="0" locked="0" layoutInCell="1" allowOverlap="1" wp14:anchorId="75621BD2" wp14:editId="4FD242C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5E8D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0586698" wp14:editId="6A64A5B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9D98D" w14:textId="77777777" w:rsidR="00F860AE" w:rsidRDefault="00000000" w:rsidP="00A97BB8">
                          <w:pPr>
                            <w:pStyle w:val="Afzendgegevens"/>
                          </w:pPr>
                          <w:r>
                            <w:t>Bezoekadres:</w:t>
                          </w:r>
                        </w:p>
                        <w:p w14:paraId="597BF47A" w14:textId="77777777" w:rsidR="00F860AE" w:rsidRDefault="00000000" w:rsidP="00A97BB8">
                          <w:pPr>
                            <w:pStyle w:val="Afzendgegevens"/>
                          </w:pPr>
                          <w:r>
                            <w:t>Parnassusplein 5</w:t>
                          </w:r>
                        </w:p>
                        <w:p w14:paraId="035EC8B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46A02B" w14:textId="77777777" w:rsidR="00F860AE" w:rsidRDefault="00000000" w:rsidP="00A97BB8">
                          <w:pPr>
                            <w:pStyle w:val="Afzendgegevens"/>
                            <w:tabs>
                              <w:tab w:val="left" w:pos="170"/>
                            </w:tabs>
                          </w:pPr>
                          <w:r>
                            <w:t>T</w:t>
                          </w:r>
                          <w:r>
                            <w:tab/>
                            <w:t>070 340 79 11</w:t>
                          </w:r>
                        </w:p>
                        <w:p w14:paraId="3E7B7859" w14:textId="77777777" w:rsidR="00F860AE" w:rsidRDefault="00000000" w:rsidP="00A97BB8">
                          <w:pPr>
                            <w:pStyle w:val="Afzendgegevens"/>
                            <w:tabs>
                              <w:tab w:val="left" w:pos="170"/>
                            </w:tabs>
                          </w:pPr>
                          <w:r>
                            <w:t>F</w:t>
                          </w:r>
                          <w:r>
                            <w:tab/>
                            <w:t>070 340 78 34</w:t>
                          </w:r>
                        </w:p>
                        <w:p w14:paraId="156B2FB8" w14:textId="6B347487" w:rsidR="00F860AE" w:rsidRDefault="00000000" w:rsidP="00437F59">
                          <w:pPr>
                            <w:pStyle w:val="Afzendgegevens"/>
                          </w:pPr>
                          <w:hyperlink r:id="rId2" w:history="1">
                            <w:r w:rsidR="00437F59" w:rsidRPr="000C457E">
                              <w:rPr>
                                <w:rStyle w:val="Hyperlink"/>
                              </w:rPr>
                              <w:t>www.rijksoverheid.nl</w:t>
                            </w:r>
                          </w:hyperlink>
                        </w:p>
                        <w:p w14:paraId="0034B4E3" w14:textId="77777777" w:rsidR="00437F59" w:rsidRDefault="00437F59" w:rsidP="00437F59">
                          <w:pPr>
                            <w:pStyle w:val="Afzendgegevens"/>
                          </w:pPr>
                        </w:p>
                        <w:p w14:paraId="535C8CA2" w14:textId="77777777" w:rsidR="00437F59" w:rsidRDefault="00437F59" w:rsidP="00437F59">
                          <w:pPr>
                            <w:pStyle w:val="Afzendgegevens"/>
                          </w:pPr>
                        </w:p>
                        <w:p w14:paraId="4C1267C8" w14:textId="77777777" w:rsidR="00F860AE" w:rsidRDefault="00000000" w:rsidP="00A97BB8">
                          <w:pPr>
                            <w:pStyle w:val="Afzendgegevenskopjes"/>
                          </w:pPr>
                          <w:r>
                            <w:t>Ons kenmerk</w:t>
                          </w:r>
                        </w:p>
                        <w:p w14:paraId="7D720D27" w14:textId="36FD0798" w:rsidR="00F860AE" w:rsidRDefault="00000000" w:rsidP="00437F59">
                          <w:pPr>
                            <w:pStyle w:val="Huisstijl-Referentiegegevens"/>
                          </w:pPr>
                          <w:r>
                            <w:t>4068215-1079559-J</w:t>
                          </w:r>
                        </w:p>
                        <w:p w14:paraId="729CC590" w14:textId="77777777" w:rsidR="00437F59" w:rsidRDefault="00437F59" w:rsidP="00437F59">
                          <w:pPr>
                            <w:pStyle w:val="Huisstijl-Referentiegegevens"/>
                          </w:pPr>
                        </w:p>
                        <w:p w14:paraId="1B6F817D" w14:textId="77777777" w:rsidR="00F860AE" w:rsidRDefault="00000000" w:rsidP="00A97BB8">
                          <w:pPr>
                            <w:pStyle w:val="Afzendgegevenskopjes"/>
                          </w:pPr>
                          <w:r>
                            <w:t>Bijlagen</w:t>
                          </w:r>
                        </w:p>
                        <w:p w14:paraId="3D550284" w14:textId="03540A52" w:rsidR="00F860AE" w:rsidRDefault="00000000" w:rsidP="00437F59">
                          <w:pPr>
                            <w:pStyle w:val="Afzendgegevens"/>
                          </w:pPr>
                          <w:bookmarkStart w:id="3" w:name="bmkBijlagen"/>
                          <w:bookmarkEnd w:id="3"/>
                          <w:r>
                            <w:t>1</w:t>
                          </w:r>
                        </w:p>
                        <w:p w14:paraId="463C4F35" w14:textId="77777777" w:rsidR="00437F59" w:rsidRDefault="00437F59" w:rsidP="00437F59">
                          <w:pPr>
                            <w:pStyle w:val="Afzendgegevens"/>
                          </w:pPr>
                        </w:p>
                        <w:p w14:paraId="014E495D" w14:textId="77777777" w:rsidR="00F860AE" w:rsidRDefault="00000000" w:rsidP="00A97BB8">
                          <w:pPr>
                            <w:pStyle w:val="Afzendgegevenskopjes"/>
                          </w:pPr>
                          <w:r>
                            <w:t>Datum document</w:t>
                          </w:r>
                        </w:p>
                        <w:p w14:paraId="31EABD29" w14:textId="12B77495" w:rsidR="00F860AE" w:rsidRDefault="00437F59" w:rsidP="00437F59">
                          <w:pPr>
                            <w:spacing w:line="180" w:lineRule="atLeast"/>
                            <w:rPr>
                              <w:rFonts w:eastAsia="SimSun"/>
                              <w:sz w:val="13"/>
                              <w:szCs w:val="13"/>
                            </w:rPr>
                          </w:pPr>
                          <w:bookmarkStart w:id="4" w:name="bmkUwBrief"/>
                          <w:bookmarkEnd w:id="4"/>
                          <w:r>
                            <w:rPr>
                              <w:rFonts w:eastAsia="SimSun"/>
                              <w:sz w:val="13"/>
                              <w:szCs w:val="13"/>
                            </w:rPr>
                            <w:t>26 februari 2025</w:t>
                          </w:r>
                        </w:p>
                        <w:p w14:paraId="56F7BD9A" w14:textId="77777777" w:rsidR="00437F59" w:rsidRDefault="00437F59" w:rsidP="00437F59">
                          <w:pPr>
                            <w:spacing w:line="180" w:lineRule="atLeast"/>
                            <w:rPr>
                              <w:rFonts w:eastAsia="SimSun"/>
                              <w:sz w:val="13"/>
                              <w:szCs w:val="13"/>
                            </w:rPr>
                          </w:pPr>
                        </w:p>
                        <w:p w14:paraId="0113106F" w14:textId="77777777" w:rsidR="00437F59" w:rsidRDefault="00437F59" w:rsidP="00437F59">
                          <w:pPr>
                            <w:spacing w:line="180" w:lineRule="atLeast"/>
                            <w:rPr>
                              <w:rFonts w:eastAsia="SimSun"/>
                              <w:sz w:val="13"/>
                              <w:szCs w:val="13"/>
                            </w:rPr>
                          </w:pPr>
                        </w:p>
                        <w:p w14:paraId="295E84FA" w14:textId="77777777" w:rsidR="00437F59" w:rsidRPr="00437F59" w:rsidRDefault="00437F59" w:rsidP="00437F59">
                          <w:pPr>
                            <w:spacing w:line="180" w:lineRule="atLeast"/>
                            <w:rPr>
                              <w:rFonts w:eastAsia="SimSun"/>
                              <w:sz w:val="13"/>
                            </w:rPr>
                          </w:pPr>
                        </w:p>
                        <w:p w14:paraId="1567983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058669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DD9D98D" w14:textId="77777777" w:rsidR="00F860AE" w:rsidRDefault="00000000" w:rsidP="00A97BB8">
                    <w:pPr>
                      <w:pStyle w:val="Afzendgegevens"/>
                    </w:pPr>
                    <w:r>
                      <w:t>Bezoekadres:</w:t>
                    </w:r>
                  </w:p>
                  <w:p w14:paraId="597BF47A" w14:textId="77777777" w:rsidR="00F860AE" w:rsidRDefault="00000000" w:rsidP="00A97BB8">
                    <w:pPr>
                      <w:pStyle w:val="Afzendgegevens"/>
                    </w:pPr>
                    <w:r>
                      <w:t>Parnassusplein 5</w:t>
                    </w:r>
                  </w:p>
                  <w:p w14:paraId="035EC8B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46A02B" w14:textId="77777777" w:rsidR="00F860AE" w:rsidRDefault="00000000" w:rsidP="00A97BB8">
                    <w:pPr>
                      <w:pStyle w:val="Afzendgegevens"/>
                      <w:tabs>
                        <w:tab w:val="left" w:pos="170"/>
                      </w:tabs>
                    </w:pPr>
                    <w:r>
                      <w:t>T</w:t>
                    </w:r>
                    <w:r>
                      <w:tab/>
                      <w:t>070 340 79 11</w:t>
                    </w:r>
                  </w:p>
                  <w:p w14:paraId="3E7B7859" w14:textId="77777777" w:rsidR="00F860AE" w:rsidRDefault="00000000" w:rsidP="00A97BB8">
                    <w:pPr>
                      <w:pStyle w:val="Afzendgegevens"/>
                      <w:tabs>
                        <w:tab w:val="left" w:pos="170"/>
                      </w:tabs>
                    </w:pPr>
                    <w:r>
                      <w:t>F</w:t>
                    </w:r>
                    <w:r>
                      <w:tab/>
                      <w:t>070 340 78 34</w:t>
                    </w:r>
                  </w:p>
                  <w:p w14:paraId="156B2FB8" w14:textId="6B347487" w:rsidR="00F860AE" w:rsidRDefault="00000000" w:rsidP="00437F59">
                    <w:pPr>
                      <w:pStyle w:val="Afzendgegevens"/>
                    </w:pPr>
                    <w:hyperlink r:id="rId3" w:history="1">
                      <w:r w:rsidR="00437F59" w:rsidRPr="000C457E">
                        <w:rPr>
                          <w:rStyle w:val="Hyperlink"/>
                        </w:rPr>
                        <w:t>www.rijksoverheid.nl</w:t>
                      </w:r>
                    </w:hyperlink>
                  </w:p>
                  <w:p w14:paraId="0034B4E3" w14:textId="77777777" w:rsidR="00437F59" w:rsidRDefault="00437F59" w:rsidP="00437F59">
                    <w:pPr>
                      <w:pStyle w:val="Afzendgegevens"/>
                    </w:pPr>
                  </w:p>
                  <w:p w14:paraId="535C8CA2" w14:textId="77777777" w:rsidR="00437F59" w:rsidRDefault="00437F59" w:rsidP="00437F59">
                    <w:pPr>
                      <w:pStyle w:val="Afzendgegevens"/>
                    </w:pPr>
                  </w:p>
                  <w:p w14:paraId="4C1267C8" w14:textId="77777777" w:rsidR="00F860AE" w:rsidRDefault="00000000" w:rsidP="00A97BB8">
                    <w:pPr>
                      <w:pStyle w:val="Afzendgegevenskopjes"/>
                    </w:pPr>
                    <w:r>
                      <w:t>Ons kenmerk</w:t>
                    </w:r>
                  </w:p>
                  <w:p w14:paraId="7D720D27" w14:textId="36FD0798" w:rsidR="00F860AE" w:rsidRDefault="00000000" w:rsidP="00437F59">
                    <w:pPr>
                      <w:pStyle w:val="Huisstijl-Referentiegegevens"/>
                    </w:pPr>
                    <w:r>
                      <w:t>4068215-1079559-J</w:t>
                    </w:r>
                  </w:p>
                  <w:p w14:paraId="729CC590" w14:textId="77777777" w:rsidR="00437F59" w:rsidRDefault="00437F59" w:rsidP="00437F59">
                    <w:pPr>
                      <w:pStyle w:val="Huisstijl-Referentiegegevens"/>
                    </w:pPr>
                  </w:p>
                  <w:p w14:paraId="1B6F817D" w14:textId="77777777" w:rsidR="00F860AE" w:rsidRDefault="00000000" w:rsidP="00A97BB8">
                    <w:pPr>
                      <w:pStyle w:val="Afzendgegevenskopjes"/>
                    </w:pPr>
                    <w:r>
                      <w:t>Bijlagen</w:t>
                    </w:r>
                  </w:p>
                  <w:p w14:paraId="3D550284" w14:textId="03540A52" w:rsidR="00F860AE" w:rsidRDefault="00000000" w:rsidP="00437F59">
                    <w:pPr>
                      <w:pStyle w:val="Afzendgegevens"/>
                    </w:pPr>
                    <w:bookmarkStart w:id="5" w:name="bmkBijlagen"/>
                    <w:bookmarkEnd w:id="5"/>
                    <w:r>
                      <w:t>1</w:t>
                    </w:r>
                  </w:p>
                  <w:p w14:paraId="463C4F35" w14:textId="77777777" w:rsidR="00437F59" w:rsidRDefault="00437F59" w:rsidP="00437F59">
                    <w:pPr>
                      <w:pStyle w:val="Afzendgegevens"/>
                    </w:pPr>
                  </w:p>
                  <w:p w14:paraId="014E495D" w14:textId="77777777" w:rsidR="00F860AE" w:rsidRDefault="00000000" w:rsidP="00A97BB8">
                    <w:pPr>
                      <w:pStyle w:val="Afzendgegevenskopjes"/>
                    </w:pPr>
                    <w:r>
                      <w:t>Datum document</w:t>
                    </w:r>
                  </w:p>
                  <w:p w14:paraId="31EABD29" w14:textId="12B77495" w:rsidR="00F860AE" w:rsidRDefault="00437F59" w:rsidP="00437F59">
                    <w:pPr>
                      <w:spacing w:line="180" w:lineRule="atLeast"/>
                      <w:rPr>
                        <w:rFonts w:eastAsia="SimSun"/>
                        <w:sz w:val="13"/>
                        <w:szCs w:val="13"/>
                      </w:rPr>
                    </w:pPr>
                    <w:bookmarkStart w:id="6" w:name="bmkUwBrief"/>
                    <w:bookmarkEnd w:id="6"/>
                    <w:r>
                      <w:rPr>
                        <w:rFonts w:eastAsia="SimSun"/>
                        <w:sz w:val="13"/>
                        <w:szCs w:val="13"/>
                      </w:rPr>
                      <w:t>26 februari 2025</w:t>
                    </w:r>
                  </w:p>
                  <w:p w14:paraId="56F7BD9A" w14:textId="77777777" w:rsidR="00437F59" w:rsidRDefault="00437F59" w:rsidP="00437F59">
                    <w:pPr>
                      <w:spacing w:line="180" w:lineRule="atLeast"/>
                      <w:rPr>
                        <w:rFonts w:eastAsia="SimSun"/>
                        <w:sz w:val="13"/>
                        <w:szCs w:val="13"/>
                      </w:rPr>
                    </w:pPr>
                  </w:p>
                  <w:p w14:paraId="0113106F" w14:textId="77777777" w:rsidR="00437F59" w:rsidRDefault="00437F59" w:rsidP="00437F59">
                    <w:pPr>
                      <w:spacing w:line="180" w:lineRule="atLeast"/>
                      <w:rPr>
                        <w:rFonts w:eastAsia="SimSun"/>
                        <w:sz w:val="13"/>
                        <w:szCs w:val="13"/>
                      </w:rPr>
                    </w:pPr>
                  </w:p>
                  <w:p w14:paraId="295E84FA" w14:textId="77777777" w:rsidR="00437F59" w:rsidRPr="00437F59" w:rsidRDefault="00437F59" w:rsidP="00437F59">
                    <w:pPr>
                      <w:spacing w:line="180" w:lineRule="atLeast"/>
                      <w:rPr>
                        <w:rFonts w:eastAsia="SimSun"/>
                        <w:sz w:val="13"/>
                      </w:rPr>
                    </w:pPr>
                  </w:p>
                  <w:p w14:paraId="1567983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4A0" w14:textId="77777777" w:rsidR="00F860AE" w:rsidRDefault="00F860AE">
    <w:pPr>
      <w:pStyle w:val="Koptekst"/>
    </w:pPr>
  </w:p>
  <w:p w14:paraId="3FA13EA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E752FFC"/>
    <w:multiLevelType w:val="hybridMultilevel"/>
    <w:tmpl w:val="3F18E7CA"/>
    <w:lvl w:ilvl="0" w:tplc="16A8AF6A">
      <w:start w:val="1"/>
      <w:numFmt w:val="decimal"/>
      <w:lvlText w:val="%1."/>
      <w:lvlJc w:val="left"/>
      <w:pPr>
        <w:ind w:left="720" w:hanging="360"/>
      </w:pPr>
    </w:lvl>
    <w:lvl w:ilvl="1" w:tplc="1CBA5C26">
      <w:start w:val="1"/>
      <w:numFmt w:val="lowerLetter"/>
      <w:lvlText w:val="%2."/>
      <w:lvlJc w:val="left"/>
      <w:pPr>
        <w:ind w:left="1440" w:hanging="360"/>
      </w:pPr>
    </w:lvl>
    <w:lvl w:ilvl="2" w:tplc="8A1030B6">
      <w:start w:val="1"/>
      <w:numFmt w:val="lowerRoman"/>
      <w:lvlText w:val="%3."/>
      <w:lvlJc w:val="right"/>
      <w:pPr>
        <w:ind w:left="2160" w:hanging="180"/>
      </w:pPr>
    </w:lvl>
    <w:lvl w:ilvl="3" w:tplc="16DE8296">
      <w:start w:val="1"/>
      <w:numFmt w:val="decimal"/>
      <w:lvlText w:val="%4."/>
      <w:lvlJc w:val="left"/>
      <w:pPr>
        <w:ind w:left="2880" w:hanging="360"/>
      </w:pPr>
    </w:lvl>
    <w:lvl w:ilvl="4" w:tplc="3BC43E82">
      <w:start w:val="1"/>
      <w:numFmt w:val="lowerLetter"/>
      <w:lvlText w:val="%5."/>
      <w:lvlJc w:val="left"/>
      <w:pPr>
        <w:ind w:left="3600" w:hanging="360"/>
      </w:pPr>
    </w:lvl>
    <w:lvl w:ilvl="5" w:tplc="778CCC16">
      <w:start w:val="1"/>
      <w:numFmt w:val="lowerRoman"/>
      <w:lvlText w:val="%6."/>
      <w:lvlJc w:val="right"/>
      <w:pPr>
        <w:ind w:left="4320" w:hanging="180"/>
      </w:pPr>
    </w:lvl>
    <w:lvl w:ilvl="6" w:tplc="F5D80810">
      <w:start w:val="1"/>
      <w:numFmt w:val="decimal"/>
      <w:lvlText w:val="%7."/>
      <w:lvlJc w:val="left"/>
      <w:pPr>
        <w:ind w:left="5040" w:hanging="360"/>
      </w:pPr>
    </w:lvl>
    <w:lvl w:ilvl="7" w:tplc="BFF813CE">
      <w:start w:val="1"/>
      <w:numFmt w:val="lowerLetter"/>
      <w:lvlText w:val="%8."/>
      <w:lvlJc w:val="left"/>
      <w:pPr>
        <w:ind w:left="5760" w:hanging="360"/>
      </w:pPr>
    </w:lvl>
    <w:lvl w:ilvl="8" w:tplc="3B1C1096">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42000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84F"/>
    <w:rsid w:val="00023D1B"/>
    <w:rsid w:val="00024097"/>
    <w:rsid w:val="0003701D"/>
    <w:rsid w:val="0004156C"/>
    <w:rsid w:val="00044264"/>
    <w:rsid w:val="000443E7"/>
    <w:rsid w:val="00054CC0"/>
    <w:rsid w:val="00067C7F"/>
    <w:rsid w:val="000905C8"/>
    <w:rsid w:val="00091E11"/>
    <w:rsid w:val="000A2587"/>
    <w:rsid w:val="000C3852"/>
    <w:rsid w:val="000C6771"/>
    <w:rsid w:val="000D3311"/>
    <w:rsid w:val="000E4C38"/>
    <w:rsid w:val="000F262C"/>
    <w:rsid w:val="000F2F05"/>
    <w:rsid w:val="000F3F37"/>
    <w:rsid w:val="00106D6E"/>
    <w:rsid w:val="00111ABC"/>
    <w:rsid w:val="00112CD5"/>
    <w:rsid w:val="0011451B"/>
    <w:rsid w:val="00117AEC"/>
    <w:rsid w:val="00126768"/>
    <w:rsid w:val="00132B19"/>
    <w:rsid w:val="00147903"/>
    <w:rsid w:val="0015027E"/>
    <w:rsid w:val="00166333"/>
    <w:rsid w:val="0016799E"/>
    <w:rsid w:val="0017367B"/>
    <w:rsid w:val="00180FCE"/>
    <w:rsid w:val="0018245B"/>
    <w:rsid w:val="00191A6E"/>
    <w:rsid w:val="00193E73"/>
    <w:rsid w:val="001C22D9"/>
    <w:rsid w:val="001E37CA"/>
    <w:rsid w:val="001E4AA7"/>
    <w:rsid w:val="00206CA2"/>
    <w:rsid w:val="00211CA7"/>
    <w:rsid w:val="00214C80"/>
    <w:rsid w:val="00233ABC"/>
    <w:rsid w:val="0025349D"/>
    <w:rsid w:val="00261464"/>
    <w:rsid w:val="0026437C"/>
    <w:rsid w:val="00271668"/>
    <w:rsid w:val="002772AE"/>
    <w:rsid w:val="0027737A"/>
    <w:rsid w:val="00282965"/>
    <w:rsid w:val="00283FB4"/>
    <w:rsid w:val="002937FB"/>
    <w:rsid w:val="002A273F"/>
    <w:rsid w:val="002A4808"/>
    <w:rsid w:val="002A7945"/>
    <w:rsid w:val="002A7FF7"/>
    <w:rsid w:val="002C728A"/>
    <w:rsid w:val="002E382F"/>
    <w:rsid w:val="002F6A89"/>
    <w:rsid w:val="00305A22"/>
    <w:rsid w:val="00312E83"/>
    <w:rsid w:val="00323A44"/>
    <w:rsid w:val="0032468A"/>
    <w:rsid w:val="00330C81"/>
    <w:rsid w:val="003408F7"/>
    <w:rsid w:val="00340D11"/>
    <w:rsid w:val="00342416"/>
    <w:rsid w:val="003565EF"/>
    <w:rsid w:val="00375EAB"/>
    <w:rsid w:val="003833D7"/>
    <w:rsid w:val="00394BD1"/>
    <w:rsid w:val="003977E9"/>
    <w:rsid w:val="003A0FCD"/>
    <w:rsid w:val="003E094C"/>
    <w:rsid w:val="003E2C01"/>
    <w:rsid w:val="003E7EA7"/>
    <w:rsid w:val="003F281F"/>
    <w:rsid w:val="00420166"/>
    <w:rsid w:val="00436976"/>
    <w:rsid w:val="00437F59"/>
    <w:rsid w:val="00440752"/>
    <w:rsid w:val="00443B68"/>
    <w:rsid w:val="00463ACF"/>
    <w:rsid w:val="004704C0"/>
    <w:rsid w:val="004868E0"/>
    <w:rsid w:val="00492631"/>
    <w:rsid w:val="00494227"/>
    <w:rsid w:val="00496DB3"/>
    <w:rsid w:val="004B5A41"/>
    <w:rsid w:val="004C28CC"/>
    <w:rsid w:val="004D3EE4"/>
    <w:rsid w:val="004E50FC"/>
    <w:rsid w:val="004F017C"/>
    <w:rsid w:val="004F4498"/>
    <w:rsid w:val="004F7466"/>
    <w:rsid w:val="00506C21"/>
    <w:rsid w:val="00515414"/>
    <w:rsid w:val="00517B4B"/>
    <w:rsid w:val="00525092"/>
    <w:rsid w:val="00537EB3"/>
    <w:rsid w:val="00547739"/>
    <w:rsid w:val="00553742"/>
    <w:rsid w:val="00586002"/>
    <w:rsid w:val="0059310D"/>
    <w:rsid w:val="005A273B"/>
    <w:rsid w:val="005A668A"/>
    <w:rsid w:val="005B38EC"/>
    <w:rsid w:val="005C4279"/>
    <w:rsid w:val="005C55B1"/>
    <w:rsid w:val="00603892"/>
    <w:rsid w:val="00605234"/>
    <w:rsid w:val="006339DB"/>
    <w:rsid w:val="00634D71"/>
    <w:rsid w:val="00635330"/>
    <w:rsid w:val="00652905"/>
    <w:rsid w:val="0065343A"/>
    <w:rsid w:val="00656DE0"/>
    <w:rsid w:val="0066023B"/>
    <w:rsid w:val="00664686"/>
    <w:rsid w:val="00670F32"/>
    <w:rsid w:val="00670F96"/>
    <w:rsid w:val="00674CA6"/>
    <w:rsid w:val="00680FCF"/>
    <w:rsid w:val="006B5B89"/>
    <w:rsid w:val="006C0CC8"/>
    <w:rsid w:val="006C13F4"/>
    <w:rsid w:val="006D4913"/>
    <w:rsid w:val="006D6ABE"/>
    <w:rsid w:val="006E07B5"/>
    <w:rsid w:val="00700ECD"/>
    <w:rsid w:val="00716611"/>
    <w:rsid w:val="00721401"/>
    <w:rsid w:val="007275B8"/>
    <w:rsid w:val="00727E4A"/>
    <w:rsid w:val="0073235A"/>
    <w:rsid w:val="0075008E"/>
    <w:rsid w:val="007539FC"/>
    <w:rsid w:val="00754BBC"/>
    <w:rsid w:val="00756CC5"/>
    <w:rsid w:val="007605B0"/>
    <w:rsid w:val="00773942"/>
    <w:rsid w:val="00784C16"/>
    <w:rsid w:val="00794A93"/>
    <w:rsid w:val="007C0BC6"/>
    <w:rsid w:val="007D6882"/>
    <w:rsid w:val="007D75E9"/>
    <w:rsid w:val="007E13A5"/>
    <w:rsid w:val="007F5AEE"/>
    <w:rsid w:val="007F63F2"/>
    <w:rsid w:val="00803A9A"/>
    <w:rsid w:val="00803C7D"/>
    <w:rsid w:val="00816A94"/>
    <w:rsid w:val="008232FE"/>
    <w:rsid w:val="0082399F"/>
    <w:rsid w:val="00850932"/>
    <w:rsid w:val="008570F5"/>
    <w:rsid w:val="00860207"/>
    <w:rsid w:val="00861D19"/>
    <w:rsid w:val="00863017"/>
    <w:rsid w:val="00891202"/>
    <w:rsid w:val="00895C36"/>
    <w:rsid w:val="00896E8C"/>
    <w:rsid w:val="00897378"/>
    <w:rsid w:val="00897ABA"/>
    <w:rsid w:val="008A42E7"/>
    <w:rsid w:val="008E5C66"/>
    <w:rsid w:val="008E6F4B"/>
    <w:rsid w:val="008F5C23"/>
    <w:rsid w:val="009071A4"/>
    <w:rsid w:val="00907302"/>
    <w:rsid w:val="00907AC4"/>
    <w:rsid w:val="009368F6"/>
    <w:rsid w:val="009459EF"/>
    <w:rsid w:val="00955A2F"/>
    <w:rsid w:val="00956464"/>
    <w:rsid w:val="0096086B"/>
    <w:rsid w:val="009608D3"/>
    <w:rsid w:val="009615EB"/>
    <w:rsid w:val="0096635E"/>
    <w:rsid w:val="009666F4"/>
    <w:rsid w:val="00973C5B"/>
    <w:rsid w:val="0097481D"/>
    <w:rsid w:val="009945B3"/>
    <w:rsid w:val="009A0B66"/>
    <w:rsid w:val="009B7B79"/>
    <w:rsid w:val="009C1DFC"/>
    <w:rsid w:val="009C7C72"/>
    <w:rsid w:val="009D12B1"/>
    <w:rsid w:val="009D1389"/>
    <w:rsid w:val="009E49D6"/>
    <w:rsid w:val="00A00443"/>
    <w:rsid w:val="00A0347D"/>
    <w:rsid w:val="00A1272F"/>
    <w:rsid w:val="00A1671E"/>
    <w:rsid w:val="00A257D1"/>
    <w:rsid w:val="00A439C2"/>
    <w:rsid w:val="00A46115"/>
    <w:rsid w:val="00A75276"/>
    <w:rsid w:val="00A84BF5"/>
    <w:rsid w:val="00A907B9"/>
    <w:rsid w:val="00A97BB8"/>
    <w:rsid w:val="00AA1796"/>
    <w:rsid w:val="00AA4ED7"/>
    <w:rsid w:val="00AB4A9A"/>
    <w:rsid w:val="00AB6116"/>
    <w:rsid w:val="00AC17D5"/>
    <w:rsid w:val="00AC2BFA"/>
    <w:rsid w:val="00AE5E7A"/>
    <w:rsid w:val="00AE6241"/>
    <w:rsid w:val="00AF5B80"/>
    <w:rsid w:val="00B03BC7"/>
    <w:rsid w:val="00B147E1"/>
    <w:rsid w:val="00B25223"/>
    <w:rsid w:val="00B4064E"/>
    <w:rsid w:val="00B42A63"/>
    <w:rsid w:val="00B43456"/>
    <w:rsid w:val="00B452FA"/>
    <w:rsid w:val="00B54A56"/>
    <w:rsid w:val="00B55170"/>
    <w:rsid w:val="00B566C7"/>
    <w:rsid w:val="00B6471C"/>
    <w:rsid w:val="00B65DEA"/>
    <w:rsid w:val="00B83641"/>
    <w:rsid w:val="00B963F2"/>
    <w:rsid w:val="00BA0AFD"/>
    <w:rsid w:val="00BA19A7"/>
    <w:rsid w:val="00BC75A2"/>
    <w:rsid w:val="00BD1C7F"/>
    <w:rsid w:val="00BE11D3"/>
    <w:rsid w:val="00BE363F"/>
    <w:rsid w:val="00BE3ABA"/>
    <w:rsid w:val="00BF1E5F"/>
    <w:rsid w:val="00C2219A"/>
    <w:rsid w:val="00C2746E"/>
    <w:rsid w:val="00C45528"/>
    <w:rsid w:val="00C742D7"/>
    <w:rsid w:val="00C76AFD"/>
    <w:rsid w:val="00C9417E"/>
    <w:rsid w:val="00C943B7"/>
    <w:rsid w:val="00CA1B94"/>
    <w:rsid w:val="00CA481F"/>
    <w:rsid w:val="00CB09AE"/>
    <w:rsid w:val="00CC2EDD"/>
    <w:rsid w:val="00CF2030"/>
    <w:rsid w:val="00D0069C"/>
    <w:rsid w:val="00D01419"/>
    <w:rsid w:val="00D1126F"/>
    <w:rsid w:val="00D11661"/>
    <w:rsid w:val="00D22737"/>
    <w:rsid w:val="00D2667D"/>
    <w:rsid w:val="00D324DD"/>
    <w:rsid w:val="00D55204"/>
    <w:rsid w:val="00D66608"/>
    <w:rsid w:val="00D672C4"/>
    <w:rsid w:val="00D74EDF"/>
    <w:rsid w:val="00D81FF9"/>
    <w:rsid w:val="00D82490"/>
    <w:rsid w:val="00D87848"/>
    <w:rsid w:val="00D97A0B"/>
    <w:rsid w:val="00DB5161"/>
    <w:rsid w:val="00DC5645"/>
    <w:rsid w:val="00DE3A30"/>
    <w:rsid w:val="00E00E6C"/>
    <w:rsid w:val="00E156E0"/>
    <w:rsid w:val="00E16A2A"/>
    <w:rsid w:val="00E16C64"/>
    <w:rsid w:val="00E37BF6"/>
    <w:rsid w:val="00E50235"/>
    <w:rsid w:val="00E57FE4"/>
    <w:rsid w:val="00E6048C"/>
    <w:rsid w:val="00E703F4"/>
    <w:rsid w:val="00E73AF7"/>
    <w:rsid w:val="00EA6D30"/>
    <w:rsid w:val="00EB2F0F"/>
    <w:rsid w:val="00EB49A6"/>
    <w:rsid w:val="00ED6774"/>
    <w:rsid w:val="00EE4C1F"/>
    <w:rsid w:val="00EE6EBB"/>
    <w:rsid w:val="00F01F8C"/>
    <w:rsid w:val="00F06AF8"/>
    <w:rsid w:val="00F20C99"/>
    <w:rsid w:val="00F306B5"/>
    <w:rsid w:val="00F32C87"/>
    <w:rsid w:val="00F34724"/>
    <w:rsid w:val="00F358D8"/>
    <w:rsid w:val="00F364BC"/>
    <w:rsid w:val="00F36B68"/>
    <w:rsid w:val="00F60FF6"/>
    <w:rsid w:val="00F75E56"/>
    <w:rsid w:val="00F800DA"/>
    <w:rsid w:val="00F860AE"/>
    <w:rsid w:val="00F93113"/>
    <w:rsid w:val="00FB3314"/>
    <w:rsid w:val="00FC4A2B"/>
    <w:rsid w:val="00FF01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7C35D"/>
  <w15:chartTrackingRefBased/>
  <w15:docId w15:val="{0EBABB9B-1B53-4E26-9F9E-145893DE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E6048C"/>
    <w:rPr>
      <w:vertAlign w:val="superscript"/>
    </w:rPr>
  </w:style>
  <w:style w:type="character" w:customStyle="1" w:styleId="VoetnoottekstChar">
    <w:name w:val="Voetnoottekst Char"/>
    <w:basedOn w:val="Standaardalinea-lettertype"/>
    <w:link w:val="Voetnoottekst"/>
    <w:uiPriority w:val="99"/>
    <w:semiHidden/>
    <w:rsid w:val="003E7EA7"/>
    <w:rPr>
      <w:rFonts w:ascii="Verdana" w:hAnsi="Verdana"/>
      <w:sz w:val="18"/>
    </w:rPr>
  </w:style>
  <w:style w:type="character" w:styleId="Verwijzingopmerking">
    <w:name w:val="annotation reference"/>
    <w:basedOn w:val="Standaardalinea-lettertype"/>
    <w:unhideWhenUsed/>
    <w:rsid w:val="003E7EA7"/>
    <w:rPr>
      <w:sz w:val="16"/>
      <w:szCs w:val="16"/>
    </w:rPr>
  </w:style>
  <w:style w:type="character" w:customStyle="1" w:styleId="TekstopmerkingChar">
    <w:name w:val="Tekst opmerking Char"/>
    <w:basedOn w:val="Standaardalinea-lettertype"/>
    <w:link w:val="Tekstopmerking"/>
    <w:rsid w:val="003E7EA7"/>
    <w:rPr>
      <w:rFonts w:ascii="Verdana" w:hAnsi="Verdana"/>
      <w:sz w:val="18"/>
    </w:rPr>
  </w:style>
  <w:style w:type="paragraph" w:styleId="Onderwerpvanopmerking">
    <w:name w:val="annotation subject"/>
    <w:basedOn w:val="Tekstopmerking"/>
    <w:next w:val="Tekstopmerking"/>
    <w:link w:val="OnderwerpvanopmerkingChar"/>
    <w:semiHidden/>
    <w:unhideWhenUsed/>
    <w:rsid w:val="003E7EA7"/>
    <w:rPr>
      <w:b/>
      <w:bCs/>
      <w:sz w:val="20"/>
    </w:rPr>
  </w:style>
  <w:style w:type="character" w:customStyle="1" w:styleId="OnderwerpvanopmerkingChar">
    <w:name w:val="Onderwerp van opmerking Char"/>
    <w:basedOn w:val="TekstopmerkingChar"/>
    <w:link w:val="Onderwerpvanopmerking"/>
    <w:semiHidden/>
    <w:rsid w:val="003E7EA7"/>
    <w:rPr>
      <w:rFonts w:ascii="Verdana" w:hAnsi="Verdana"/>
      <w:b/>
      <w:bCs/>
      <w:sz w:val="18"/>
    </w:rPr>
  </w:style>
  <w:style w:type="paragraph" w:styleId="Revisie">
    <w:name w:val="Revision"/>
    <w:hidden/>
    <w:uiPriority w:val="99"/>
    <w:semiHidden/>
    <w:rsid w:val="00AE6241"/>
    <w:rPr>
      <w:rFonts w:ascii="Verdana" w:hAnsi="Verdana"/>
      <w:sz w:val="18"/>
    </w:rPr>
  </w:style>
  <w:style w:type="character" w:styleId="Hyperlink">
    <w:name w:val="Hyperlink"/>
    <w:basedOn w:val="Standaardalinea-lettertype"/>
    <w:rsid w:val="00437F59"/>
    <w:rPr>
      <w:color w:val="0563C1" w:themeColor="hyperlink"/>
      <w:u w:val="single"/>
    </w:rPr>
  </w:style>
  <w:style w:type="character" w:styleId="Onopgelostemelding">
    <w:name w:val="Unresolved Mention"/>
    <w:basedOn w:val="Standaardalinea-lettertype"/>
    <w:uiPriority w:val="99"/>
    <w:semiHidden/>
    <w:unhideWhenUsed/>
    <w:rsid w:val="00437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2645</ap:Words>
  <ap:Characters>14549</ap:Characters>
  <ap:DocSecurity>0</ap:DocSecurity>
  <ap:Lines>121</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2025-03-24T09:45:00.0000000Z</lastPrinted>
  <dcterms:created xsi:type="dcterms:W3CDTF">2025-04-01T14:31:00.0000000Z</dcterms:created>
  <dcterms:modified xsi:type="dcterms:W3CDTF">2025-04-01T14:31:00.0000000Z</dcterms:modified>
  <dc:description>------------------------</dc:description>
  <dc:subject/>
  <dc:title/>
  <keywords/>
  <version/>
  <category/>
</coreProperties>
</file>