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20F6" w:rsidR="00D76341" w:rsidP="00052867" w:rsidRDefault="00D76341" w14:paraId="7AABC680" w14:textId="7ACA5113">
      <w:pPr>
        <w:spacing w:after="160" w:line="259" w:lineRule="auto"/>
        <w:rPr>
          <w:rFonts w:eastAsiaTheme="minorHAnsi" w:cstheme="minorBidi"/>
          <w:b/>
          <w:bCs/>
          <w:kern w:val="2"/>
          <w:lang w:eastAsia="en-US"/>
          <w14:ligatures w14:val="standardContextual"/>
        </w:rPr>
      </w:pPr>
      <w:bookmarkStart w:name="_GoBack" w:id="0"/>
      <w:bookmarkEnd w:id="0"/>
      <w:r w:rsidRPr="005720F6">
        <w:rPr>
          <w:rFonts w:eastAsiaTheme="minorHAnsi" w:cstheme="minorBidi"/>
          <w:b/>
          <w:bCs/>
          <w:kern w:val="2"/>
          <w:lang w:eastAsia="en-US"/>
          <w14:ligatures w14:val="standardContextual"/>
        </w:rPr>
        <w:t xml:space="preserve">Bijlage 1. Korte beschrijving </w:t>
      </w:r>
      <w:r w:rsidR="005720F6">
        <w:rPr>
          <w:rFonts w:eastAsiaTheme="minorHAnsi" w:cstheme="minorBidi"/>
          <w:b/>
          <w:bCs/>
          <w:kern w:val="2"/>
          <w:lang w:eastAsia="en-US"/>
          <w14:ligatures w14:val="standardContextual"/>
        </w:rPr>
        <w:t>beleid</w:t>
      </w:r>
      <w:r w:rsidRPr="005720F6">
        <w:rPr>
          <w:rFonts w:eastAsiaTheme="minorHAnsi" w:cstheme="minorBidi"/>
          <w:b/>
          <w:bCs/>
          <w:kern w:val="2"/>
          <w:lang w:eastAsia="en-US"/>
          <w14:ligatures w14:val="standardContextual"/>
        </w:rPr>
        <w:t xml:space="preserve">sinstrumenten </w:t>
      </w:r>
      <w:r w:rsidR="003071F0">
        <w:rPr>
          <w:rFonts w:eastAsiaTheme="minorHAnsi" w:cstheme="minorBidi"/>
          <w:b/>
          <w:bCs/>
          <w:kern w:val="2"/>
          <w:lang w:eastAsia="en-US"/>
          <w14:ligatures w14:val="standardContextual"/>
        </w:rPr>
        <w:t>doeltreffendheid en doelmatigheid</w:t>
      </w:r>
    </w:p>
    <w:p w:rsidRPr="005720F6" w:rsidR="00D76341" w:rsidP="00052867" w:rsidRDefault="00D76341" w14:paraId="4C65294F" w14:textId="77777777">
      <w:pPr>
        <w:spacing w:after="160" w:line="259" w:lineRule="auto"/>
        <w:rPr>
          <w:rFonts w:eastAsiaTheme="minorHAnsi" w:cstheme="minorBidi"/>
          <w:b/>
          <w:bCs/>
          <w:kern w:val="2"/>
          <w:lang w:eastAsia="en-US"/>
          <w14:ligatures w14:val="standardContextual"/>
        </w:rPr>
      </w:pPr>
    </w:p>
    <w:p w:rsidRPr="005720F6" w:rsidR="00052867" w:rsidP="00052867" w:rsidRDefault="00052867" w14:paraId="48612798" w14:textId="6FE557C6">
      <w:pPr>
        <w:spacing w:after="160" w:line="259" w:lineRule="auto"/>
        <w:rPr>
          <w:rFonts w:eastAsiaTheme="minorHAnsi" w:cstheme="minorBidi"/>
          <w:b/>
          <w:bCs/>
          <w:kern w:val="2"/>
          <w:lang w:eastAsia="en-US"/>
          <w14:ligatures w14:val="standardContextual"/>
        </w:rPr>
      </w:pPr>
      <w:r w:rsidRPr="005720F6">
        <w:rPr>
          <w:rFonts w:eastAsiaTheme="minorHAnsi" w:cstheme="minorBidi"/>
          <w:b/>
          <w:bCs/>
          <w:kern w:val="2"/>
          <w:lang w:eastAsia="en-US"/>
          <w14:ligatures w14:val="standardContextual"/>
        </w:rPr>
        <w:t>Strategische Evaluatie Agenda</w:t>
      </w:r>
    </w:p>
    <w:p w:rsidRPr="005720F6" w:rsidR="00052867" w:rsidP="00052867" w:rsidRDefault="00052867" w14:paraId="5238D2A7" w14:textId="0AE23A94">
      <w:pPr>
        <w:autoSpaceDN/>
        <w:spacing w:after="160" w:line="259" w:lineRule="auto"/>
        <w:jc w:val="both"/>
        <w:textAlignment w:val="auto"/>
        <w:rPr>
          <w:rFonts w:eastAsiaTheme="minorHAnsi" w:cstheme="minorBidi"/>
          <w:color w:val="auto"/>
          <w:kern w:val="2"/>
          <w:lang w:eastAsia="en-US"/>
          <w14:ligatures w14:val="standardContextual"/>
        </w:rPr>
      </w:pPr>
      <w:r w:rsidRPr="005720F6">
        <w:rPr>
          <w:rFonts w:eastAsiaTheme="minorHAnsi" w:cstheme="minorBidi"/>
          <w:color w:val="auto"/>
          <w:kern w:val="2"/>
          <w:lang w:eastAsia="en-US"/>
          <w14:ligatures w14:val="standardContextual"/>
        </w:rPr>
        <w:t xml:space="preserve">De Strategische Evaluatie Agenda (SEA) geeft over een periode van 4-7 jaar de planning van </w:t>
      </w:r>
      <w:r w:rsidR="00EE272E">
        <w:rPr>
          <w:rFonts w:eastAsiaTheme="minorHAnsi" w:cstheme="minorBidi"/>
          <w:color w:val="auto"/>
          <w:kern w:val="2"/>
          <w:lang w:eastAsia="en-US"/>
          <w14:ligatures w14:val="standardContextual"/>
        </w:rPr>
        <w:t>(</w:t>
      </w:r>
      <w:r w:rsidRPr="005720F6">
        <w:rPr>
          <w:rFonts w:eastAsiaTheme="minorHAnsi" w:cstheme="minorBidi"/>
          <w:color w:val="auto"/>
          <w:kern w:val="2"/>
          <w:lang w:eastAsia="en-US"/>
          <w14:ligatures w14:val="standardContextual"/>
        </w:rPr>
        <w:t>evaluatie</w:t>
      </w:r>
      <w:r w:rsidR="00EE272E">
        <w:rPr>
          <w:rFonts w:eastAsiaTheme="minorHAnsi" w:cstheme="minorBidi"/>
          <w:color w:val="auto"/>
          <w:kern w:val="2"/>
          <w:lang w:eastAsia="en-US"/>
          <w14:ligatures w14:val="standardContextual"/>
        </w:rPr>
        <w:t>)</w:t>
      </w:r>
      <w:r w:rsidRPr="005720F6">
        <w:rPr>
          <w:rFonts w:eastAsiaTheme="minorHAnsi" w:cstheme="minorBidi"/>
          <w:color w:val="auto"/>
          <w:kern w:val="2"/>
          <w:lang w:eastAsia="en-US"/>
          <w14:ligatures w14:val="standardContextual"/>
        </w:rPr>
        <w:t>onderzoeken (ex ante, ex durante en ex post) op alle relevante beleidsthema’s binnen een departement  weer. De SEA heeft als doel tijdig relevante en bruikbare inzichten te verkrijgen voor het verbeteren van beleid en daarmee een grotere maatschappelijke toegevoegde waarde</w:t>
      </w:r>
      <w:r w:rsidRPr="005720F6" w:rsidR="000532FE">
        <w:rPr>
          <w:rFonts w:eastAsiaTheme="minorHAnsi" w:cstheme="minorBidi"/>
          <w:color w:val="auto"/>
          <w:kern w:val="2"/>
          <w:lang w:eastAsia="en-US"/>
          <w14:ligatures w14:val="standardContextual"/>
        </w:rPr>
        <w:t xml:space="preserve"> van beleid</w:t>
      </w:r>
      <w:r w:rsidRPr="005720F6">
        <w:rPr>
          <w:rFonts w:eastAsiaTheme="minorHAnsi" w:cstheme="minorBidi"/>
          <w:color w:val="auto"/>
          <w:kern w:val="2"/>
          <w:lang w:eastAsia="en-US"/>
          <w14:ligatures w14:val="standardContextual"/>
        </w:rPr>
        <w:t>. Aan het eind van de 4-7 jaar worden in de Periodieke Rapportage op basis van eerder uitgevoerd SEA-onderzoek conclusies getrokken over de (voorwaarden voor) doeltreffendheid en doelmatigheid van uitgevoerd beleid.</w:t>
      </w:r>
    </w:p>
    <w:p w:rsidRPr="005720F6" w:rsidR="00052867" w:rsidP="00052867" w:rsidRDefault="00052867" w14:paraId="16E5C33D" w14:textId="77777777">
      <w:pPr>
        <w:autoSpaceDN/>
        <w:spacing w:line="259" w:lineRule="auto"/>
        <w:jc w:val="both"/>
        <w:textAlignment w:val="auto"/>
        <w:rPr>
          <w:rFonts w:eastAsiaTheme="minorHAnsi" w:cstheme="minorBidi"/>
          <w:color w:val="auto"/>
          <w:kern w:val="2"/>
          <w:lang w:eastAsia="en-US"/>
          <w14:ligatures w14:val="standardContextual"/>
        </w:rPr>
      </w:pPr>
      <w:r w:rsidRPr="005720F6">
        <w:rPr>
          <w:rFonts w:eastAsiaTheme="minorHAnsi" w:cstheme="minorBidi"/>
          <w:color w:val="auto"/>
          <w:kern w:val="2"/>
          <w:lang w:eastAsia="en-US"/>
          <w14:ligatures w14:val="standardContextual"/>
        </w:rPr>
        <w:t>De SEA is wettelijk verplicht. De vereisten waaraan de SEA, Periodieke Rapportages en overige verplichte evaluatieonderzoeken moeten voldoen zijn vastgelegd in de Regeling Periodiek Evaluatieonderzoek (</w:t>
      </w:r>
      <w:hyperlink w:history="1" r:id="rId7">
        <w:r w:rsidRPr="005720F6">
          <w:rPr>
            <w:rStyle w:val="Hyperlink"/>
            <w:rFonts w:eastAsiaTheme="minorHAnsi" w:cstheme="minorBidi"/>
            <w:kern w:val="2"/>
            <w:lang w:eastAsia="en-US"/>
            <w14:ligatures w14:val="standardContextual"/>
          </w:rPr>
          <w:t>RPE</w:t>
        </w:r>
      </w:hyperlink>
      <w:r w:rsidRPr="005720F6">
        <w:rPr>
          <w:rFonts w:eastAsiaTheme="minorHAnsi" w:cstheme="minorBidi"/>
          <w:color w:val="auto"/>
          <w:kern w:val="2"/>
          <w:lang w:eastAsia="en-US"/>
          <w14:ligatures w14:val="standardContextual"/>
        </w:rPr>
        <w:t>).</w:t>
      </w:r>
    </w:p>
    <w:p w:rsidRPr="005720F6" w:rsidR="007852AF" w:rsidP="00052867" w:rsidRDefault="007852AF" w14:paraId="7ADAEB06" w14:textId="77777777">
      <w:pPr>
        <w:autoSpaceDN/>
        <w:spacing w:line="259" w:lineRule="auto"/>
        <w:jc w:val="both"/>
        <w:textAlignment w:val="auto"/>
        <w:rPr>
          <w:rFonts w:eastAsiaTheme="minorHAnsi" w:cstheme="minorBidi"/>
          <w:color w:val="auto"/>
          <w:kern w:val="2"/>
          <w:lang w:eastAsia="en-US"/>
          <w14:ligatures w14:val="standardContextual"/>
        </w:rPr>
      </w:pPr>
    </w:p>
    <w:p w:rsidR="005720F6" w:rsidP="005720F6" w:rsidRDefault="007852AF" w14:paraId="2F0D1865" w14:textId="77777777">
      <w:pPr>
        <w:autoSpaceDN/>
        <w:spacing w:after="160" w:line="259" w:lineRule="auto"/>
        <w:jc w:val="both"/>
        <w:textAlignment w:val="auto"/>
        <w:rPr>
          <w:rFonts w:eastAsiaTheme="minorHAnsi" w:cstheme="minorBidi"/>
          <w:color w:val="auto"/>
          <w:kern w:val="2"/>
          <w:lang w:eastAsia="en-US"/>
          <w14:ligatures w14:val="standardContextual"/>
        </w:rPr>
      </w:pPr>
      <w:r w:rsidRPr="005720F6">
        <w:rPr>
          <w:rFonts w:eastAsiaTheme="minorHAnsi" w:cstheme="minorBidi"/>
          <w:color w:val="auto"/>
          <w:kern w:val="2"/>
          <w:lang w:eastAsia="en-US"/>
          <w14:ligatures w14:val="standardContextual"/>
        </w:rPr>
        <w:t xml:space="preserve">De SEA van JenV wordt jaarlijks geüpdatet in de begroting (zie </w:t>
      </w:r>
      <w:hyperlink w:history="1" r:id="rId8">
        <w:r w:rsidRPr="005720F6">
          <w:rPr>
            <w:rStyle w:val="Hyperlink"/>
            <w:rFonts w:eastAsiaTheme="minorHAnsi" w:cstheme="minorBidi"/>
            <w:kern w:val="2"/>
            <w:lang w:eastAsia="en-US"/>
            <w14:ligatures w14:val="standardContextual"/>
          </w:rPr>
          <w:t>2.5</w:t>
        </w:r>
      </w:hyperlink>
      <w:r w:rsidRPr="005720F6">
        <w:rPr>
          <w:rFonts w:eastAsiaTheme="minorHAnsi" w:cstheme="minorBidi"/>
          <w:color w:val="auto"/>
          <w:kern w:val="2"/>
          <w:lang w:eastAsia="en-US"/>
          <w14:ligatures w14:val="standardContextual"/>
        </w:rPr>
        <w:t xml:space="preserve"> en </w:t>
      </w:r>
      <w:hyperlink w:history="1" r:id="rId9">
        <w:r w:rsidRPr="005720F6">
          <w:rPr>
            <w:rStyle w:val="Hyperlink"/>
            <w:rFonts w:eastAsiaTheme="minorHAnsi" w:cstheme="minorBidi"/>
            <w:kern w:val="2"/>
            <w:lang w:eastAsia="en-US"/>
            <w14:ligatures w14:val="standardContextual"/>
          </w:rPr>
          <w:t>bijlage 5</w:t>
        </w:r>
      </w:hyperlink>
      <w:r w:rsidRPr="005720F6">
        <w:rPr>
          <w:rFonts w:eastAsiaTheme="minorHAnsi" w:cstheme="minorBidi"/>
          <w:color w:val="auto"/>
          <w:kern w:val="2"/>
          <w:lang w:eastAsia="en-US"/>
          <w14:ligatures w14:val="standardContextual"/>
        </w:rPr>
        <w:t xml:space="preserve">). De voortgang van de SEA wordt bijgehouden in het Jaarverslag (zie </w:t>
      </w:r>
      <w:hyperlink w:history="1" r:id="rId10">
        <w:r w:rsidRPr="005720F6">
          <w:rPr>
            <w:rStyle w:val="Hyperlink"/>
            <w:rFonts w:eastAsiaTheme="minorHAnsi" w:cstheme="minorBidi"/>
            <w:kern w:val="2"/>
            <w:lang w:eastAsia="en-US"/>
            <w14:ligatures w14:val="standardContextual"/>
          </w:rPr>
          <w:t>bijlage 3</w:t>
        </w:r>
      </w:hyperlink>
      <w:r w:rsidRPr="005720F6">
        <w:rPr>
          <w:rFonts w:eastAsiaTheme="minorHAnsi" w:cstheme="minorBidi"/>
          <w:color w:val="auto"/>
          <w:kern w:val="2"/>
          <w:lang w:eastAsia="en-US"/>
          <w14:ligatures w14:val="standardContextual"/>
        </w:rPr>
        <w:t xml:space="preserve">). </w:t>
      </w:r>
    </w:p>
    <w:p w:rsidR="005720F6" w:rsidP="005720F6" w:rsidRDefault="005720F6" w14:paraId="1BDC834F" w14:textId="77777777">
      <w:pPr>
        <w:autoSpaceDN/>
        <w:spacing w:line="259" w:lineRule="auto"/>
        <w:jc w:val="both"/>
        <w:textAlignment w:val="auto"/>
        <w:rPr>
          <w:rFonts w:eastAsiaTheme="minorHAnsi" w:cstheme="minorBidi"/>
          <w:color w:val="auto"/>
          <w:kern w:val="2"/>
          <w:lang w:eastAsia="en-US"/>
          <w14:ligatures w14:val="standardContextual"/>
        </w:rPr>
      </w:pPr>
    </w:p>
    <w:p w:rsidRPr="005720F6" w:rsidR="00052867" w:rsidP="005720F6" w:rsidRDefault="00052867" w14:paraId="149E495F" w14:textId="246D9AE8">
      <w:pPr>
        <w:autoSpaceDN/>
        <w:spacing w:after="160" w:line="259" w:lineRule="auto"/>
        <w:jc w:val="both"/>
        <w:textAlignment w:val="auto"/>
        <w:rPr>
          <w:rFonts w:eastAsiaTheme="minorHAnsi" w:cstheme="minorBidi"/>
          <w:b/>
          <w:bCs/>
          <w:color w:val="auto"/>
          <w:kern w:val="2"/>
          <w:lang w:eastAsia="en-US"/>
          <w14:ligatures w14:val="standardContextual"/>
        </w:rPr>
      </w:pPr>
      <w:r w:rsidRPr="005720F6">
        <w:rPr>
          <w:rFonts w:eastAsiaTheme="minorHAnsi" w:cstheme="minorBidi"/>
          <w:b/>
          <w:bCs/>
          <w:color w:val="auto"/>
          <w:kern w:val="2"/>
          <w:lang w:eastAsia="en-US"/>
          <w14:ligatures w14:val="standardContextual"/>
        </w:rPr>
        <w:t>Beleidskeuzes uitgelegd (CW3.1)</w:t>
      </w:r>
    </w:p>
    <w:p w:rsidRPr="005720F6" w:rsidR="00052867" w:rsidP="00052867" w:rsidRDefault="00052867" w14:paraId="177183AD" w14:textId="77777777">
      <w:pPr>
        <w:autoSpaceDN/>
        <w:spacing w:after="160" w:line="259" w:lineRule="auto"/>
        <w:jc w:val="both"/>
        <w:textAlignment w:val="auto"/>
        <w:rPr>
          <w:rFonts w:eastAsiaTheme="minorHAnsi" w:cstheme="minorBidi"/>
          <w:color w:val="auto"/>
          <w:kern w:val="2"/>
          <w:lang w:eastAsia="en-US"/>
          <w14:ligatures w14:val="standardContextual"/>
        </w:rPr>
      </w:pPr>
      <w:r w:rsidRPr="005720F6">
        <w:rPr>
          <w:rFonts w:eastAsiaTheme="minorHAnsi" w:cstheme="minorBidi"/>
          <w:color w:val="auto"/>
          <w:kern w:val="2"/>
          <w:lang w:eastAsia="en-US"/>
          <w14:ligatures w14:val="standardContextual"/>
        </w:rPr>
        <w:t xml:space="preserve">Artikel 3.1 van de Comptabiliteitswet (CW3.1) verplicht de ministeries om de Kamer mee te nemen in de afwegingen die hebben geleid tot de keuze voor een beleid of een beleidswijziging. Het gaat erom dat de Kamer goed geïnformeerd wordt over de doelen, de beleidsinstrumenten die worden ingezet, de financiële gevolgen, de verwachte doeltreffendheid en doelmatigheid van een voorstel en hoe het voorstel geëvalueerd wordt. Aan de hand hiervan neemt de politiek een besluit waarmee het beleid wordt bepaald. Bij beleidsvoorstellen met financiële consequenties van € 20 miljoen of meer geldt sinds 1 november 2021 de verplichting om CW3.1 te verwerken in het kader ‘Beleidskeuzes uitgelegd’ en deze op te nemen in de Kamerbrief over het beleidsvoorstel. Hierdoor wordt de onderbouwing van beleidskeuzes beter vindbaar voor Kamerleden en wordt het makkelijker om hierover de juiste vragen te stellen. Ook bij beleidsvoorstellen van minder dan € 20 miljoen per begrotingsjaar dient de uiteindelijke beleidskeuze goed (conform CW3.1) te worden onderbouwd in een Kamerbrief, al is de vorm hier vrij. Bij nieuwe wetgeving moeten de onderdelen van het kader in herkenbare koppen worden opgenomen in de Memorie van Toelichting. </w:t>
      </w:r>
    </w:p>
    <w:p w:rsidRPr="005720F6" w:rsidR="00052867" w:rsidP="00052867" w:rsidRDefault="00052867" w14:paraId="78D5463B" w14:textId="77777777">
      <w:pPr>
        <w:autoSpaceDN/>
        <w:spacing w:after="160" w:line="259" w:lineRule="auto"/>
        <w:jc w:val="both"/>
        <w:textAlignment w:val="auto"/>
        <w:rPr>
          <w:rFonts w:eastAsiaTheme="minorHAnsi" w:cstheme="minorBidi"/>
          <w:color w:val="auto"/>
          <w:kern w:val="2"/>
          <w:lang w:eastAsia="en-US"/>
          <w14:ligatures w14:val="standardContextual"/>
        </w:rPr>
      </w:pPr>
      <w:r w:rsidRPr="005720F6">
        <w:rPr>
          <w:rFonts w:eastAsiaTheme="minorHAnsi" w:cstheme="minorBidi"/>
          <w:color w:val="auto"/>
          <w:kern w:val="2"/>
          <w:lang w:eastAsia="en-US"/>
          <w14:ligatures w14:val="standardContextual"/>
        </w:rPr>
        <w:t>In de evaluatieparagraaf van Beleidskeuzes uitgelegd wordt toegelicht hoe het beleids- of wetsvoorstel zal worden gemonitord en geëvalueerd. Dit onderzoek dient vervolgens verwerkt te worden in de SEA.</w:t>
      </w:r>
    </w:p>
    <w:p w:rsidRPr="005720F6" w:rsidR="00052867" w:rsidP="00052867" w:rsidRDefault="00052867" w14:paraId="763054AE" w14:textId="77777777">
      <w:pPr>
        <w:autoSpaceDN/>
        <w:spacing w:after="160" w:line="259" w:lineRule="auto"/>
        <w:jc w:val="both"/>
        <w:textAlignment w:val="auto"/>
        <w:rPr>
          <w:rFonts w:eastAsiaTheme="minorHAnsi" w:cstheme="minorBidi"/>
          <w:color w:val="auto"/>
          <w:kern w:val="2"/>
          <w:lang w:eastAsia="en-US"/>
          <w14:ligatures w14:val="standardContextual"/>
        </w:rPr>
      </w:pPr>
    </w:p>
    <w:p w:rsidRPr="005720F6" w:rsidR="00052867" w:rsidP="00052867" w:rsidRDefault="00052867" w14:paraId="715AEBA2" w14:textId="77777777">
      <w:pPr>
        <w:autoSpaceDN/>
        <w:spacing w:after="160" w:line="259" w:lineRule="auto"/>
        <w:jc w:val="both"/>
        <w:textAlignment w:val="auto"/>
        <w:rPr>
          <w:rFonts w:eastAsiaTheme="minorHAnsi" w:cstheme="minorBidi"/>
          <w:b/>
          <w:bCs/>
          <w:color w:val="auto"/>
          <w:kern w:val="2"/>
          <w:lang w:eastAsia="en-US"/>
          <w14:ligatures w14:val="standardContextual"/>
        </w:rPr>
      </w:pPr>
      <w:r w:rsidRPr="005720F6">
        <w:rPr>
          <w:rFonts w:eastAsiaTheme="minorHAnsi" w:cstheme="minorBidi"/>
          <w:b/>
          <w:bCs/>
          <w:color w:val="auto"/>
          <w:kern w:val="2"/>
          <w:lang w:eastAsia="en-US"/>
          <w14:ligatures w14:val="standardContextual"/>
        </w:rPr>
        <w:t>Beleidskompas</w:t>
      </w:r>
    </w:p>
    <w:p w:rsidRPr="005720F6" w:rsidR="00052867" w:rsidP="00A35685" w:rsidRDefault="00052867" w14:paraId="151653EC" w14:textId="1BCC2FCF">
      <w:pPr>
        <w:autoSpaceDN/>
        <w:spacing w:after="160" w:line="259" w:lineRule="auto"/>
        <w:jc w:val="both"/>
        <w:textAlignment w:val="auto"/>
      </w:pPr>
      <w:r w:rsidRPr="005720F6">
        <w:rPr>
          <w:rFonts w:eastAsiaTheme="minorHAnsi" w:cstheme="minorBidi"/>
          <w:color w:val="auto"/>
          <w:kern w:val="2"/>
          <w:lang w:eastAsia="en-US"/>
          <w14:ligatures w14:val="standardContextual"/>
        </w:rPr>
        <w:t xml:space="preserve">Sinds 2023 is het Beleidskompas de centrale werkwijze binnen de Rijksoverheid in de beleidsvoorbereidingsfase. </w:t>
      </w:r>
      <w:r w:rsidRPr="005720F6" w:rsidR="00D76341">
        <w:rPr>
          <w:rFonts w:eastAsiaTheme="minorHAnsi" w:cstheme="minorBidi"/>
          <w:color w:val="auto"/>
          <w:kern w:val="2"/>
          <w:lang w:eastAsia="en-US"/>
          <w14:ligatures w14:val="standardContextual"/>
        </w:rPr>
        <w:t xml:space="preserve">Het is </w:t>
      </w:r>
      <w:r w:rsidRPr="005720F6" w:rsidR="00D76341">
        <w:t xml:space="preserve">de opvolger van het Integraal AfwegingsKader voor beleid en wetgeving (IAK). </w:t>
      </w:r>
      <w:r w:rsidRPr="005720F6">
        <w:rPr>
          <w:rFonts w:eastAsiaTheme="minorHAnsi" w:cstheme="minorBidi"/>
          <w:color w:val="auto"/>
          <w:kern w:val="2"/>
          <w:lang w:eastAsia="en-US"/>
          <w14:ligatures w14:val="standardContextual"/>
        </w:rPr>
        <w:t xml:space="preserve">Beleidsambtenaren zijn verplicht bij nieuw of aangepast beleid de vragen van het Beleidskompas te beantwoorden. Hiermee worden de belanghebbenden, het probleem, het beoogde doel, de verschillende beleidsopties om dit doel te bereiken en de gevolgen van deze opties expliciet gemaakt. Ook waarborgt het Beleidskompas de naleving van de verplichte kwaliteitseisen van beleid. Het Beleidskompas levert bovendien de bouwstenen op voor een goed afgewogen CW3.1 onderbouwing. </w:t>
      </w:r>
    </w:p>
    <w:sectPr w:rsidRPr="005720F6" w:rsidR="0005286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3A800" w14:textId="77777777" w:rsidR="00052867" w:rsidRDefault="00052867" w:rsidP="00052867">
      <w:pPr>
        <w:spacing w:line="240" w:lineRule="auto"/>
      </w:pPr>
      <w:r>
        <w:separator/>
      </w:r>
    </w:p>
  </w:endnote>
  <w:endnote w:type="continuationSeparator" w:id="0">
    <w:p w14:paraId="10C504EE" w14:textId="77777777" w:rsidR="00052867" w:rsidRDefault="00052867" w:rsidP="00052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250B0" w14:textId="77777777" w:rsidR="00052867" w:rsidRDefault="00052867" w:rsidP="00052867">
      <w:pPr>
        <w:spacing w:line="240" w:lineRule="auto"/>
      </w:pPr>
      <w:r>
        <w:separator/>
      </w:r>
    </w:p>
  </w:footnote>
  <w:footnote w:type="continuationSeparator" w:id="0">
    <w:p w14:paraId="6D5BBA67" w14:textId="77777777" w:rsidR="00052867" w:rsidRDefault="00052867" w:rsidP="000528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67"/>
    <w:rsid w:val="00052867"/>
    <w:rsid w:val="000532FE"/>
    <w:rsid w:val="00094ADE"/>
    <w:rsid w:val="001212DD"/>
    <w:rsid w:val="001814EA"/>
    <w:rsid w:val="00213075"/>
    <w:rsid w:val="003071F0"/>
    <w:rsid w:val="00407F31"/>
    <w:rsid w:val="0046049B"/>
    <w:rsid w:val="004955AF"/>
    <w:rsid w:val="005720F6"/>
    <w:rsid w:val="005E0A23"/>
    <w:rsid w:val="005E23FF"/>
    <w:rsid w:val="007852AF"/>
    <w:rsid w:val="008E1126"/>
    <w:rsid w:val="00994BDC"/>
    <w:rsid w:val="00A35685"/>
    <w:rsid w:val="00AC107B"/>
    <w:rsid w:val="00D76341"/>
    <w:rsid w:val="00EE2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3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286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052867"/>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52867"/>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52867"/>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52867"/>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052867"/>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052867"/>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052867"/>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052867"/>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052867"/>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8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28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28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28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28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28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8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8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867"/>
    <w:rPr>
      <w:rFonts w:eastAsiaTheme="majorEastAsia" w:cstheme="majorBidi"/>
      <w:color w:val="272727" w:themeColor="text1" w:themeTint="D8"/>
    </w:rPr>
  </w:style>
  <w:style w:type="paragraph" w:styleId="Titel">
    <w:name w:val="Title"/>
    <w:basedOn w:val="Standaard"/>
    <w:next w:val="Standaard"/>
    <w:link w:val="TitelChar"/>
    <w:uiPriority w:val="10"/>
    <w:qFormat/>
    <w:rsid w:val="00052867"/>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528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867"/>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528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867"/>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052867"/>
    <w:rPr>
      <w:i/>
      <w:iCs/>
      <w:color w:val="404040" w:themeColor="text1" w:themeTint="BF"/>
    </w:rPr>
  </w:style>
  <w:style w:type="paragraph" w:styleId="Lijstalinea">
    <w:name w:val="List Paragraph"/>
    <w:basedOn w:val="Standaard"/>
    <w:uiPriority w:val="34"/>
    <w:qFormat/>
    <w:rsid w:val="0005286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052867"/>
    <w:rPr>
      <w:i/>
      <w:iCs/>
      <w:color w:val="0F4761" w:themeColor="accent1" w:themeShade="BF"/>
    </w:rPr>
  </w:style>
  <w:style w:type="paragraph" w:styleId="Duidelijkcitaat">
    <w:name w:val="Intense Quote"/>
    <w:basedOn w:val="Standaard"/>
    <w:next w:val="Standaard"/>
    <w:link w:val="DuidelijkcitaatChar"/>
    <w:uiPriority w:val="30"/>
    <w:qFormat/>
    <w:rsid w:val="00052867"/>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052867"/>
    <w:rPr>
      <w:i/>
      <w:iCs/>
      <w:color w:val="0F4761" w:themeColor="accent1" w:themeShade="BF"/>
    </w:rPr>
  </w:style>
  <w:style w:type="character" w:styleId="Intensieveverwijzing">
    <w:name w:val="Intense Reference"/>
    <w:basedOn w:val="Standaardalinea-lettertype"/>
    <w:uiPriority w:val="32"/>
    <w:qFormat/>
    <w:rsid w:val="00052867"/>
    <w:rPr>
      <w:b/>
      <w:bCs/>
      <w:smallCaps/>
      <w:color w:val="0F4761" w:themeColor="accent1" w:themeShade="BF"/>
      <w:spacing w:val="5"/>
    </w:rPr>
  </w:style>
  <w:style w:type="character" w:styleId="Hyperlink">
    <w:name w:val="Hyperlink"/>
    <w:basedOn w:val="Standaardalinea-lettertype"/>
    <w:uiPriority w:val="99"/>
    <w:unhideWhenUsed/>
    <w:rsid w:val="00052867"/>
    <w:rPr>
      <w:color w:val="467886" w:themeColor="hyperlink"/>
      <w:u w:val="single"/>
    </w:rPr>
  </w:style>
  <w:style w:type="paragraph" w:styleId="Voetnoottekst">
    <w:name w:val="footnote text"/>
    <w:basedOn w:val="Standaard"/>
    <w:link w:val="VoetnoottekstChar"/>
    <w:uiPriority w:val="99"/>
    <w:semiHidden/>
    <w:unhideWhenUsed/>
    <w:rsid w:val="0005286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286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2867"/>
    <w:rPr>
      <w:vertAlign w:val="superscript"/>
    </w:rPr>
  </w:style>
  <w:style w:type="character" w:customStyle="1" w:styleId="UnresolvedMention">
    <w:name w:val="Unresolved Mention"/>
    <w:basedOn w:val="Standaardalinea-lettertype"/>
    <w:uiPriority w:val="99"/>
    <w:semiHidden/>
    <w:unhideWhenUsed/>
    <w:rsid w:val="007852AF"/>
    <w:rPr>
      <w:color w:val="605E5C"/>
      <w:shd w:val="clear" w:color="auto" w:fill="E1DFDD"/>
    </w:rPr>
  </w:style>
  <w:style w:type="paragraph" w:styleId="Revisie">
    <w:name w:val="Revision"/>
    <w:hidden/>
    <w:uiPriority w:val="99"/>
    <w:semiHidden/>
    <w:rsid w:val="007852AF"/>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ww.rijksfinancien.nl/memorie-van-toelichting/2025/OWB/VI/onderdeel/3166794" TargetMode="External" Id="rId8" /><Relationship Type="http://schemas.openxmlformats.org/officeDocument/2006/relationships/settings" Target="settings.xml" Id="rId3" /><Relationship Type="http://schemas.openxmlformats.org/officeDocument/2006/relationships/hyperlink" Target="https://wetten.overheid.nl/BWBR0046970/2022-07-27"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yperlink" Target="https://www.rijksfinancien.nl/jaarverslag/2023/VI/onderdeel/2788652" TargetMode="External" Id="rId10" /><Relationship Type="http://schemas.openxmlformats.org/officeDocument/2006/relationships/webSettings" Target="webSettings.xml" Id="rId4" /><Relationship Type="http://schemas.openxmlformats.org/officeDocument/2006/relationships/hyperlink" Target="https://www.rijksfinancien.nl/memorie-van-toelichting/2025/OWB/VI/onderdeel/316672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549</ap:Words>
  <ap:Characters>3023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2025-04-01T14:44:00.0000000Z</dcterms:created>
  <dcterms:modified xsi:type="dcterms:W3CDTF">2025-04-01T14:44:00.0000000Z</dcterms:modified>
  <version/>
  <category/>
</coreProperties>
</file>