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7189" w:rsidR="00177189" w:rsidRDefault="00754A9C" w14:paraId="18499ECB" w14:textId="2EDAE139">
      <w:pPr>
        <w:rPr>
          <w:rFonts w:ascii="Calibri" w:hAnsi="Calibri" w:cs="Calibri"/>
        </w:rPr>
      </w:pPr>
      <w:r w:rsidRPr="00177189">
        <w:rPr>
          <w:rFonts w:ascii="Calibri" w:hAnsi="Calibri" w:cs="Calibri"/>
        </w:rPr>
        <w:t>28</w:t>
      </w:r>
      <w:r w:rsidRPr="00177189" w:rsidR="00177189">
        <w:rPr>
          <w:rFonts w:ascii="Calibri" w:hAnsi="Calibri" w:cs="Calibri"/>
        </w:rPr>
        <w:t xml:space="preserve"> </w:t>
      </w:r>
      <w:r w:rsidRPr="00177189">
        <w:rPr>
          <w:rFonts w:ascii="Calibri" w:hAnsi="Calibri" w:cs="Calibri"/>
        </w:rPr>
        <w:t>325</w:t>
      </w:r>
      <w:r w:rsidRPr="00177189" w:rsidR="00177189">
        <w:rPr>
          <w:rFonts w:ascii="Calibri" w:hAnsi="Calibri" w:cs="Calibri"/>
        </w:rPr>
        <w:tab/>
      </w:r>
      <w:r w:rsidRPr="00177189" w:rsidR="00177189">
        <w:rPr>
          <w:rFonts w:ascii="Calibri" w:hAnsi="Calibri" w:cs="Calibri"/>
        </w:rPr>
        <w:tab/>
        <w:t xml:space="preserve">Bouwregelgeving </w:t>
      </w:r>
    </w:p>
    <w:p w:rsidRPr="00177189" w:rsidR="00754A9C" w:rsidP="00177189" w:rsidRDefault="00177189" w14:paraId="1D815571" w14:textId="1DFF1D5A">
      <w:pPr>
        <w:ind w:left="1416" w:hanging="1416"/>
        <w:rPr>
          <w:rFonts w:ascii="Calibri" w:hAnsi="Calibri" w:cs="Calibri"/>
        </w:rPr>
      </w:pPr>
      <w:r w:rsidRPr="00177189">
        <w:rPr>
          <w:rFonts w:ascii="Calibri" w:hAnsi="Calibri" w:cs="Calibri"/>
        </w:rPr>
        <w:t xml:space="preserve">Nr. </w:t>
      </w:r>
      <w:r w:rsidRPr="00177189" w:rsidR="00754A9C">
        <w:rPr>
          <w:rFonts w:ascii="Calibri" w:hAnsi="Calibri" w:cs="Calibri"/>
        </w:rPr>
        <w:t>279</w:t>
      </w:r>
      <w:r w:rsidRPr="00177189">
        <w:rPr>
          <w:rFonts w:ascii="Calibri" w:hAnsi="Calibri" w:cs="Calibri"/>
        </w:rPr>
        <w:tab/>
        <w:t>Brief van de minister van Volkshuisvesting en Ruimtelijke Ordening</w:t>
      </w:r>
    </w:p>
    <w:p w:rsidRPr="00177189" w:rsidR="00177189" w:rsidP="00754A9C" w:rsidRDefault="00177189" w14:paraId="4518FE3F" w14:textId="3CFF05B0">
      <w:pPr>
        <w:rPr>
          <w:rFonts w:ascii="Calibri" w:hAnsi="Calibri" w:cs="Calibri"/>
        </w:rPr>
      </w:pPr>
      <w:r w:rsidRPr="00177189">
        <w:rPr>
          <w:rFonts w:ascii="Calibri" w:hAnsi="Calibri" w:cs="Calibri"/>
        </w:rPr>
        <w:t>Aan de Voorzitter van de Tweede Kamer der Staten-Generaal</w:t>
      </w:r>
    </w:p>
    <w:p w:rsidRPr="00177189" w:rsidR="00177189" w:rsidP="00754A9C" w:rsidRDefault="00177189" w14:paraId="2E0925C8" w14:textId="40BC39A1">
      <w:pPr>
        <w:rPr>
          <w:rFonts w:ascii="Calibri" w:hAnsi="Calibri" w:cs="Calibri"/>
        </w:rPr>
      </w:pPr>
      <w:r w:rsidRPr="00177189">
        <w:rPr>
          <w:rFonts w:ascii="Calibri" w:hAnsi="Calibri" w:cs="Calibri"/>
        </w:rPr>
        <w:t>Den Haag, 2 april 2025</w:t>
      </w:r>
    </w:p>
    <w:p w:rsidRPr="00177189" w:rsidR="00754A9C" w:rsidP="00754A9C" w:rsidRDefault="00754A9C" w14:paraId="6C6BA1A5" w14:textId="77777777">
      <w:pPr>
        <w:rPr>
          <w:rFonts w:ascii="Calibri" w:hAnsi="Calibri" w:cs="Calibri"/>
        </w:rPr>
      </w:pPr>
    </w:p>
    <w:p w:rsidRPr="00177189" w:rsidR="00754A9C" w:rsidP="00754A9C" w:rsidRDefault="00754A9C" w14:paraId="58117543" w14:textId="05B784BB">
      <w:pPr>
        <w:rPr>
          <w:rFonts w:ascii="Calibri" w:hAnsi="Calibri" w:cs="Calibri"/>
        </w:rPr>
      </w:pPr>
      <w:r w:rsidRPr="00177189">
        <w:rPr>
          <w:rFonts w:ascii="Calibri" w:hAnsi="Calibri" w:cs="Calibri"/>
        </w:rPr>
        <w:t xml:space="preserve">Bijgaand treft u aan het aangepaste wijzigingsbesluit en de wijzigingsregeling in verband met milieuprestatie gebouwen (MPG) zoals u verzocht toe te sturen voor bespreking op het Commissiedebat Klimaatakkoord Gebouwde Omgeving op 9 april aanstaande. </w:t>
      </w:r>
    </w:p>
    <w:p w:rsidRPr="00177189" w:rsidR="00754A9C" w:rsidP="00754A9C" w:rsidRDefault="00754A9C" w14:paraId="30CC70CB" w14:textId="77777777">
      <w:pPr>
        <w:rPr>
          <w:rFonts w:ascii="Calibri" w:hAnsi="Calibri" w:cs="Calibri"/>
        </w:rPr>
      </w:pPr>
    </w:p>
    <w:p w:rsidRPr="00177189" w:rsidR="00754A9C" w:rsidP="00754A9C" w:rsidRDefault="00754A9C" w14:paraId="2E0FF357" w14:textId="77777777">
      <w:pPr>
        <w:rPr>
          <w:rFonts w:ascii="Calibri" w:hAnsi="Calibri" w:cs="Calibri"/>
        </w:rPr>
      </w:pPr>
      <w:r w:rsidRPr="00177189">
        <w:rPr>
          <w:rFonts w:ascii="Calibri" w:hAnsi="Calibri" w:cs="Calibri"/>
        </w:rPr>
        <w:t xml:space="preserve">Zoals vermeld in mijn brief van 11 december 2024 aan uw Kamer (Kamerstuk 32 847, nr. 1237) heb ik naar aanleiding van de Woontop besloten dat ik de onderdelen, die direct samenhangen met de aanscherping van de milieuprestatie-eis voor woningen, een plek geef in de besluitvorming over het programma ‘Schrappen Tegenstrijdige en Overbodige Eisen in Regelgeving’ (STOER). In feite betekent dit dat de milieuprestatie-eis voor woningen niet wordt aangescherpt met het voorgehangen wijzigingsbesluit, maar enkel wordt herberekend op basis van de herziene Bepalingsmethode Milieuprestatie Bouwwerken. Het betreft daarmee dus een beleidsneutrale omzetting van die eis. Naast die wijziging zijn zowel de nota van toelichting bij het wijzigingsbesluit als de toelichting bij de wijzigingsregeling herzien om ervoor te zorgen dat deze beter aansluiten bij de huidige stand van zaken en worden voorzien van nadere uitleg met het oog op onder meer de gestelde schriftelijke vragen. </w:t>
      </w:r>
    </w:p>
    <w:p w:rsidRPr="00177189" w:rsidR="00754A9C" w:rsidP="00754A9C" w:rsidRDefault="00754A9C" w14:paraId="0555B4EE" w14:textId="77777777">
      <w:pPr>
        <w:rPr>
          <w:rFonts w:ascii="Calibri" w:hAnsi="Calibri" w:cs="Calibri"/>
        </w:rPr>
      </w:pPr>
      <w:r w:rsidRPr="00177189">
        <w:rPr>
          <w:rFonts w:ascii="Calibri" w:hAnsi="Calibri" w:cs="Calibri"/>
        </w:rPr>
        <w:t xml:space="preserve">Later dit jaar zal binnen het programma STOER worden besloten of aanscherping van de milieuprestatie-eis voor woningen alsnog doorgang zal vinden. Mocht dat het geval zijn dan zal dit worden geregeld met een ander wijzigingsbesluit. </w:t>
      </w:r>
    </w:p>
    <w:p w:rsidR="00754A9C" w:rsidP="00754A9C" w:rsidRDefault="00754A9C" w14:paraId="6E11EB16" w14:textId="2E9CA943">
      <w:pPr>
        <w:rPr>
          <w:rFonts w:ascii="Calibri" w:hAnsi="Calibri" w:cs="Calibri"/>
        </w:rPr>
      </w:pPr>
      <w:r w:rsidRPr="00177189">
        <w:rPr>
          <w:rFonts w:ascii="Calibri" w:hAnsi="Calibri" w:cs="Calibri"/>
        </w:rPr>
        <w:t>Tevens zal ik dit jaar bij het aanbieden van de implementatievoorstellen voor de Europese richtlijn energieprestatie van gebouwen (EPBD IV) nader ingaan op de eventuele noodzaak om de milieuprestatie-eisen voor utiliteitsgebouwen bij te stellen vanaf 1 januari 2027.</w:t>
      </w:r>
    </w:p>
    <w:p w:rsidRPr="00177189" w:rsidR="00177189" w:rsidP="00754A9C" w:rsidRDefault="00177189" w14:paraId="319D7466" w14:textId="77777777">
      <w:pPr>
        <w:rPr>
          <w:rFonts w:ascii="Calibri" w:hAnsi="Calibri" w:cs="Calibri"/>
        </w:rPr>
      </w:pPr>
    </w:p>
    <w:p w:rsidRPr="00177189" w:rsidR="00177189" w:rsidP="00177189" w:rsidRDefault="00754A9C" w14:paraId="15700546" w14:textId="77777777">
      <w:pPr>
        <w:pStyle w:val="Geenafstand"/>
        <w:rPr>
          <w:rFonts w:ascii="Calibri" w:hAnsi="Calibri" w:cs="Calibri"/>
        </w:rPr>
      </w:pPr>
      <w:r w:rsidRPr="00177189">
        <w:rPr>
          <w:rFonts w:ascii="Calibri" w:hAnsi="Calibri" w:cs="Calibri"/>
        </w:rPr>
        <w:t>De minister van Volkshuisvesting en Ruimtelijke Ordening,</w:t>
      </w:r>
    </w:p>
    <w:p w:rsidRPr="00177189" w:rsidR="00754A9C" w:rsidP="00177189" w:rsidRDefault="00754A9C" w14:paraId="7BFF0C82" w14:textId="6FBBDF3C">
      <w:pPr>
        <w:pStyle w:val="Geenafstand"/>
        <w:rPr>
          <w:rFonts w:ascii="Calibri" w:hAnsi="Calibri" w:cs="Calibri"/>
        </w:rPr>
      </w:pPr>
      <w:r w:rsidRPr="00177189">
        <w:rPr>
          <w:rFonts w:ascii="Calibri" w:hAnsi="Calibri" w:cs="Calibri"/>
        </w:rPr>
        <w:t>M</w:t>
      </w:r>
      <w:r w:rsidRPr="00177189" w:rsidR="00177189">
        <w:rPr>
          <w:rFonts w:ascii="Calibri" w:hAnsi="Calibri" w:cs="Calibri"/>
        </w:rPr>
        <w:t>.C.G.</w:t>
      </w:r>
      <w:r w:rsidRPr="00177189">
        <w:rPr>
          <w:rFonts w:ascii="Calibri" w:hAnsi="Calibri" w:cs="Calibri"/>
        </w:rPr>
        <w:t xml:space="preserve"> Keijzer</w:t>
      </w:r>
    </w:p>
    <w:p w:rsidRPr="00177189" w:rsidR="00E6311E" w:rsidRDefault="00E6311E" w14:paraId="17F0D8C9" w14:textId="77777777">
      <w:pPr>
        <w:rPr>
          <w:rFonts w:ascii="Calibri" w:hAnsi="Calibri" w:cs="Calibri"/>
        </w:rPr>
      </w:pPr>
    </w:p>
    <w:sectPr w:rsidRPr="00177189" w:rsidR="00E6311E" w:rsidSect="00754A9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14A9" w14:textId="77777777" w:rsidR="00754A9C" w:rsidRDefault="00754A9C" w:rsidP="00754A9C">
      <w:pPr>
        <w:spacing w:after="0" w:line="240" w:lineRule="auto"/>
      </w:pPr>
      <w:r>
        <w:separator/>
      </w:r>
    </w:p>
  </w:endnote>
  <w:endnote w:type="continuationSeparator" w:id="0">
    <w:p w14:paraId="22587C15" w14:textId="77777777" w:rsidR="00754A9C" w:rsidRDefault="00754A9C" w:rsidP="0075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4501" w14:textId="77777777" w:rsidR="00754A9C" w:rsidRPr="00754A9C" w:rsidRDefault="00754A9C" w:rsidP="00754A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1D88" w14:textId="77777777" w:rsidR="00754A9C" w:rsidRPr="00754A9C" w:rsidRDefault="00754A9C" w:rsidP="00754A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343A" w14:textId="77777777" w:rsidR="00754A9C" w:rsidRPr="00754A9C" w:rsidRDefault="00754A9C" w:rsidP="00754A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00F6" w14:textId="77777777" w:rsidR="00754A9C" w:rsidRDefault="00754A9C" w:rsidP="00754A9C">
      <w:pPr>
        <w:spacing w:after="0" w:line="240" w:lineRule="auto"/>
      </w:pPr>
      <w:r>
        <w:separator/>
      </w:r>
    </w:p>
  </w:footnote>
  <w:footnote w:type="continuationSeparator" w:id="0">
    <w:p w14:paraId="0E55C8FB" w14:textId="77777777" w:rsidR="00754A9C" w:rsidRDefault="00754A9C" w:rsidP="00754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2241" w14:textId="77777777" w:rsidR="00754A9C" w:rsidRPr="00754A9C" w:rsidRDefault="00754A9C" w:rsidP="00754A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F27A" w14:textId="77777777" w:rsidR="00754A9C" w:rsidRPr="00754A9C" w:rsidRDefault="00754A9C" w:rsidP="00754A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54A0" w14:textId="77777777" w:rsidR="00754A9C" w:rsidRPr="00754A9C" w:rsidRDefault="00754A9C" w:rsidP="00754A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9C"/>
    <w:rsid w:val="00177189"/>
    <w:rsid w:val="0025703A"/>
    <w:rsid w:val="00342E18"/>
    <w:rsid w:val="004A77E2"/>
    <w:rsid w:val="00754A9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C0CE"/>
  <w15:chartTrackingRefBased/>
  <w15:docId w15:val="{20764B9E-E951-4749-A5E3-87B2C5BC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A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A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A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A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A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A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A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A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A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A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A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A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A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A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A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A9C"/>
    <w:rPr>
      <w:rFonts w:eastAsiaTheme="majorEastAsia" w:cstheme="majorBidi"/>
      <w:color w:val="272727" w:themeColor="text1" w:themeTint="D8"/>
    </w:rPr>
  </w:style>
  <w:style w:type="paragraph" w:styleId="Titel">
    <w:name w:val="Title"/>
    <w:basedOn w:val="Standaard"/>
    <w:next w:val="Standaard"/>
    <w:link w:val="TitelChar"/>
    <w:uiPriority w:val="10"/>
    <w:qFormat/>
    <w:rsid w:val="0075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A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A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A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A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A9C"/>
    <w:rPr>
      <w:i/>
      <w:iCs/>
      <w:color w:val="404040" w:themeColor="text1" w:themeTint="BF"/>
    </w:rPr>
  </w:style>
  <w:style w:type="paragraph" w:styleId="Lijstalinea">
    <w:name w:val="List Paragraph"/>
    <w:basedOn w:val="Standaard"/>
    <w:uiPriority w:val="34"/>
    <w:qFormat/>
    <w:rsid w:val="00754A9C"/>
    <w:pPr>
      <w:ind w:left="720"/>
      <w:contextualSpacing/>
    </w:pPr>
  </w:style>
  <w:style w:type="character" w:styleId="Intensievebenadrukking">
    <w:name w:val="Intense Emphasis"/>
    <w:basedOn w:val="Standaardalinea-lettertype"/>
    <w:uiPriority w:val="21"/>
    <w:qFormat/>
    <w:rsid w:val="00754A9C"/>
    <w:rPr>
      <w:i/>
      <w:iCs/>
      <w:color w:val="0F4761" w:themeColor="accent1" w:themeShade="BF"/>
    </w:rPr>
  </w:style>
  <w:style w:type="paragraph" w:styleId="Duidelijkcitaat">
    <w:name w:val="Intense Quote"/>
    <w:basedOn w:val="Standaard"/>
    <w:next w:val="Standaard"/>
    <w:link w:val="DuidelijkcitaatChar"/>
    <w:uiPriority w:val="30"/>
    <w:qFormat/>
    <w:rsid w:val="0075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A9C"/>
    <w:rPr>
      <w:i/>
      <w:iCs/>
      <w:color w:val="0F4761" w:themeColor="accent1" w:themeShade="BF"/>
    </w:rPr>
  </w:style>
  <w:style w:type="character" w:styleId="Intensieveverwijzing">
    <w:name w:val="Intense Reference"/>
    <w:basedOn w:val="Standaardalinea-lettertype"/>
    <w:uiPriority w:val="32"/>
    <w:qFormat/>
    <w:rsid w:val="00754A9C"/>
    <w:rPr>
      <w:b/>
      <w:bCs/>
      <w:smallCaps/>
      <w:color w:val="0F4761" w:themeColor="accent1" w:themeShade="BF"/>
      <w:spacing w:val="5"/>
    </w:rPr>
  </w:style>
  <w:style w:type="paragraph" w:styleId="Koptekst">
    <w:name w:val="header"/>
    <w:basedOn w:val="Standaard"/>
    <w:link w:val="KoptekstChar"/>
    <w:uiPriority w:val="99"/>
    <w:unhideWhenUsed/>
    <w:rsid w:val="00754A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54A9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54A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54A9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77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304</ap:Words>
  <ap:Characters>1678</ap:Characters>
  <ap:DocSecurity>0</ap:DocSecurity>
  <ap:Lines>13</ap:Lines>
  <ap:Paragraphs>3</ap:Paragraphs>
  <ap:ScaleCrop>false</ap:ScaleCrop>
  <ap:LinksUpToDate>false</ap:LinksUpToDate>
  <ap:CharactersWithSpaces>1979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2025-04-03T14:40:00.0000000Z</dcterms:created>
  <dcterms:modified xsi:type="dcterms:W3CDTF">2025-04-03T14:40:00.0000000Z</dcterms:modified>
  <version/>
  <category/>
</coreProperties>
</file>