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00AA3505" w:rsidTr="00AA3505" w14:paraId="7F88D7D0" w14:textId="77777777">
        <w:tc>
          <w:tcPr>
            <w:tcW w:w="9062" w:type="dxa"/>
            <w:shd w:val="clear" w:color="auto" w:fill="4472C4" w:themeFill="accent1"/>
          </w:tcPr>
          <w:p w:rsidRPr="00AA3505" w:rsidR="00AA3505" w:rsidP="00AA3505" w:rsidRDefault="006B7610" w14:paraId="0156F1DA" w14:textId="2CB3D250">
            <w:pPr>
              <w:rPr>
                <w:rFonts w:ascii="Verdana" w:hAnsi="Verdana"/>
                <w:b/>
                <w:bCs/>
                <w:sz w:val="18"/>
                <w:szCs w:val="18"/>
              </w:rPr>
            </w:pPr>
            <w:r>
              <w:rPr>
                <w:rFonts w:ascii="Verdana" w:hAnsi="Verdana"/>
                <w:b/>
                <w:bCs/>
                <w:color w:val="FFFFFF" w:themeColor="background1"/>
                <w:sz w:val="18"/>
                <w:szCs w:val="18"/>
              </w:rPr>
              <w:t>Fiche 1</w:t>
            </w:r>
            <w:r w:rsidRPr="00AA3505" w:rsidR="00AA3505">
              <w:rPr>
                <w:rFonts w:ascii="Verdana" w:hAnsi="Verdana"/>
                <w:b/>
                <w:bCs/>
                <w:color w:val="FFFFFF" w:themeColor="background1"/>
                <w:sz w:val="18"/>
                <w:szCs w:val="18"/>
              </w:rPr>
              <w:t xml:space="preserve"> – Geen </w:t>
            </w:r>
            <w:r>
              <w:rPr>
                <w:rFonts w:ascii="Verdana" w:hAnsi="Verdana"/>
                <w:b/>
                <w:bCs/>
                <w:color w:val="FFFFFF" w:themeColor="background1"/>
                <w:sz w:val="18"/>
                <w:szCs w:val="18"/>
              </w:rPr>
              <w:t xml:space="preserve">of mindere </w:t>
            </w:r>
            <w:r w:rsidRPr="00AA3505" w:rsidR="00AA3505">
              <w:rPr>
                <w:rFonts w:ascii="Verdana" w:hAnsi="Verdana"/>
                <w:b/>
                <w:bCs/>
                <w:color w:val="FFFFFF" w:themeColor="background1"/>
                <w:sz w:val="18"/>
                <w:szCs w:val="18"/>
              </w:rPr>
              <w:t>verhoging van het forfait in de jaren 2026/2027</w:t>
            </w:r>
          </w:p>
        </w:tc>
      </w:tr>
    </w:tbl>
    <w:p w:rsidR="00092673" w:rsidP="00AA3505" w:rsidRDefault="00092673" w14:paraId="78FD66BA" w14:textId="77777777">
      <w:pPr>
        <w:spacing w:after="0"/>
        <w:rPr>
          <w:rFonts w:ascii="Verdana" w:hAnsi="Verdana"/>
          <w:sz w:val="18"/>
          <w:szCs w:val="18"/>
        </w:rPr>
      </w:pPr>
    </w:p>
    <w:p w:rsidR="006B7610" w:rsidP="006B7610" w:rsidRDefault="006B7610" w14:paraId="193AD6BC" w14:textId="77777777">
      <w:pPr>
        <w:spacing w:after="0"/>
        <w:rPr>
          <w:rFonts w:ascii="Verdana" w:hAnsi="Verdana"/>
          <w:b/>
          <w:bCs/>
          <w:sz w:val="18"/>
          <w:szCs w:val="18"/>
        </w:rPr>
      </w:pPr>
      <w:r>
        <w:rPr>
          <w:rFonts w:ascii="Verdana" w:hAnsi="Verdana"/>
          <w:b/>
          <w:bCs/>
          <w:sz w:val="18"/>
          <w:szCs w:val="18"/>
        </w:rPr>
        <w:t>Uitgangssituatie</w:t>
      </w:r>
    </w:p>
    <w:p w:rsidR="006B7610" w:rsidP="006B7610" w:rsidRDefault="006B7610" w14:paraId="014CB574" w14:textId="77777777">
      <w:pPr>
        <w:pStyle w:val="Lijstalinea"/>
        <w:numPr>
          <w:ilvl w:val="0"/>
          <w:numId w:val="2"/>
        </w:numPr>
        <w:spacing w:after="0"/>
        <w:rPr>
          <w:rFonts w:ascii="Verdana" w:hAnsi="Verdana"/>
          <w:sz w:val="18"/>
          <w:szCs w:val="18"/>
        </w:rPr>
      </w:pPr>
      <w:r>
        <w:rPr>
          <w:rFonts w:ascii="Verdana" w:hAnsi="Verdana"/>
          <w:sz w:val="18"/>
          <w:szCs w:val="18"/>
        </w:rPr>
        <w:t>Een verhoging van het forfait voor overige bezittingen in 2026 en 2027 met 1,78%-punt is als voorlopige invulling voorgesteld om de derving als gevolg van een jaar uitstel van de Wet werkelijk rendement box 3 naar 2028 te dekken. Met deze dekking wordt zo goed mogelijk aangesloten bij de groep belastingplichtigen die het meest profiteren van de tegenbewijsregeling, zodat per saldo het effect zo neutraal mogelijk uitpakt. De verhoging van het forfait maakt geen onderdeel uit van het Wetsvoorstel tegenbewijsregeling box 3, maar zal worden opgenomen in het Belastingplan 2026.</w:t>
      </w:r>
    </w:p>
    <w:p w:rsidRPr="00057EED" w:rsidR="006B7610" w:rsidP="006B7610" w:rsidRDefault="006B7610" w14:paraId="76D9DDBB" w14:textId="77777777">
      <w:pPr>
        <w:pStyle w:val="Lijstalinea"/>
        <w:numPr>
          <w:ilvl w:val="0"/>
          <w:numId w:val="2"/>
        </w:numPr>
        <w:spacing w:after="0"/>
        <w:rPr>
          <w:rFonts w:ascii="Verdana" w:hAnsi="Verdana"/>
          <w:sz w:val="18"/>
          <w:szCs w:val="18"/>
        </w:rPr>
      </w:pPr>
      <w:r>
        <w:rPr>
          <w:rFonts w:ascii="Verdana" w:hAnsi="Verdana"/>
          <w:sz w:val="18"/>
          <w:szCs w:val="18"/>
        </w:rPr>
        <w:t>Het rendementsbegrip in box 3 omvat ook huurinkomsten en voordelen uit eigen gebruik van onroerende zaken. Deze elementen zijn momenteel echter niet opgenomen in de berekeningsmethodiek van het forfait voor overige bezittingen (waaronder onroerende zaken). Door deze elementen wel op te nemen in de berekeningsmethodiek, stijgt het forfait voor alle overige bezittingen.</w:t>
      </w:r>
    </w:p>
    <w:p w:rsidR="006B7610" w:rsidP="006B7610" w:rsidRDefault="006B7610" w14:paraId="1F1C50CA" w14:textId="77777777">
      <w:pPr>
        <w:spacing w:after="0"/>
        <w:rPr>
          <w:rFonts w:ascii="Verdana" w:hAnsi="Verdana"/>
          <w:b/>
          <w:bCs/>
          <w:sz w:val="18"/>
          <w:szCs w:val="18"/>
        </w:rPr>
      </w:pPr>
    </w:p>
    <w:p w:rsidRPr="005D5A65" w:rsidR="006B7610" w:rsidP="006B7610" w:rsidRDefault="006B7610" w14:paraId="1C540C28" w14:textId="77777777">
      <w:pPr>
        <w:spacing w:after="0"/>
        <w:rPr>
          <w:rFonts w:ascii="Verdana" w:hAnsi="Verdana"/>
          <w:b/>
          <w:bCs/>
          <w:sz w:val="18"/>
          <w:szCs w:val="18"/>
        </w:rPr>
      </w:pPr>
      <w:r>
        <w:rPr>
          <w:rFonts w:ascii="Verdana" w:hAnsi="Verdana"/>
          <w:b/>
          <w:bCs/>
          <w:sz w:val="18"/>
          <w:szCs w:val="18"/>
        </w:rPr>
        <w:t>Variant 1 – Geen verhoging van het forfait</w:t>
      </w:r>
    </w:p>
    <w:p w:rsidR="006B7610" w:rsidP="006B7610" w:rsidRDefault="006B7610" w14:paraId="5F632BE7" w14:textId="77777777">
      <w:pPr>
        <w:spacing w:after="0"/>
        <w:rPr>
          <w:rFonts w:ascii="Verdana" w:hAnsi="Verdana"/>
          <w:i/>
          <w:iCs/>
          <w:sz w:val="18"/>
          <w:szCs w:val="18"/>
        </w:rPr>
      </w:pPr>
      <w:r w:rsidRPr="00AA3505">
        <w:rPr>
          <w:rFonts w:ascii="Verdana" w:hAnsi="Verdana"/>
          <w:i/>
          <w:iCs/>
          <w:sz w:val="18"/>
          <w:szCs w:val="18"/>
        </w:rPr>
        <w:t>Omschrijving</w:t>
      </w:r>
    </w:p>
    <w:p w:rsidR="006B7610" w:rsidP="006B7610" w:rsidRDefault="006B7610" w14:paraId="7A9820CB" w14:textId="77777777">
      <w:pPr>
        <w:pStyle w:val="Lijstalinea"/>
        <w:numPr>
          <w:ilvl w:val="0"/>
          <w:numId w:val="2"/>
        </w:numPr>
        <w:spacing w:after="0"/>
        <w:rPr>
          <w:rFonts w:ascii="Verdana" w:hAnsi="Verdana"/>
          <w:sz w:val="18"/>
          <w:szCs w:val="18"/>
        </w:rPr>
      </w:pPr>
      <w:r w:rsidRPr="005D5A65">
        <w:rPr>
          <w:rFonts w:ascii="Verdana" w:hAnsi="Verdana"/>
          <w:sz w:val="18"/>
          <w:szCs w:val="18"/>
        </w:rPr>
        <w:t>Deze uitwerking houdt in dat het forfait</w:t>
      </w:r>
      <w:r>
        <w:rPr>
          <w:rFonts w:ascii="Verdana" w:hAnsi="Verdana"/>
          <w:sz w:val="18"/>
          <w:szCs w:val="18"/>
        </w:rPr>
        <w:t xml:space="preserve"> voor overige bezittingen</w:t>
      </w:r>
      <w:r w:rsidRPr="005D5A65">
        <w:rPr>
          <w:rFonts w:ascii="Verdana" w:hAnsi="Verdana"/>
          <w:sz w:val="18"/>
          <w:szCs w:val="18"/>
        </w:rPr>
        <w:t xml:space="preserve"> in de jaren 2026 en 2027 niet </w:t>
      </w:r>
      <w:r>
        <w:rPr>
          <w:rFonts w:ascii="Verdana" w:hAnsi="Verdana"/>
          <w:sz w:val="18"/>
          <w:szCs w:val="18"/>
        </w:rPr>
        <w:t xml:space="preserve">beleidsmatig </w:t>
      </w:r>
      <w:r w:rsidRPr="005D5A65">
        <w:rPr>
          <w:rFonts w:ascii="Verdana" w:hAnsi="Verdana"/>
          <w:sz w:val="18"/>
          <w:szCs w:val="18"/>
        </w:rPr>
        <w:t>wordt verhoogd.</w:t>
      </w:r>
      <w:r>
        <w:rPr>
          <w:rFonts w:ascii="Verdana" w:hAnsi="Verdana"/>
          <w:sz w:val="18"/>
          <w:szCs w:val="18"/>
        </w:rPr>
        <w:t xml:space="preserve"> Het is ook mogelijk om het forfait enkel in 2027 te verhogen. In 2026 wordt het forfait dan niet verhoogd. </w:t>
      </w:r>
    </w:p>
    <w:p w:rsidRPr="005D5A65" w:rsidR="006B7610" w:rsidP="006B7610" w:rsidRDefault="006B7610" w14:paraId="392F10D2" w14:textId="77777777">
      <w:pPr>
        <w:spacing w:after="0"/>
        <w:rPr>
          <w:rFonts w:ascii="Verdana" w:hAnsi="Verdana"/>
          <w:sz w:val="18"/>
          <w:szCs w:val="18"/>
        </w:rPr>
      </w:pPr>
    </w:p>
    <w:p w:rsidR="006B7610" w:rsidP="006B7610" w:rsidRDefault="006B7610" w14:paraId="5DA5128B" w14:textId="77777777">
      <w:pPr>
        <w:spacing w:after="0"/>
        <w:rPr>
          <w:rFonts w:ascii="Verdana" w:hAnsi="Verdana"/>
          <w:i/>
          <w:iCs/>
          <w:sz w:val="18"/>
          <w:szCs w:val="18"/>
        </w:rPr>
      </w:pPr>
      <w:r w:rsidRPr="00AA3505">
        <w:rPr>
          <w:rFonts w:ascii="Verdana" w:hAnsi="Verdana"/>
          <w:i/>
          <w:iCs/>
          <w:sz w:val="18"/>
          <w:szCs w:val="18"/>
        </w:rPr>
        <w:t>Fiscaal-juridisch</w:t>
      </w:r>
    </w:p>
    <w:p w:rsidR="006B7610" w:rsidP="006B7610" w:rsidRDefault="006B7610" w14:paraId="20C53890" w14:textId="77777777">
      <w:pPr>
        <w:pStyle w:val="Lijstalinea"/>
        <w:numPr>
          <w:ilvl w:val="0"/>
          <w:numId w:val="3"/>
        </w:numPr>
        <w:spacing w:after="0"/>
        <w:rPr>
          <w:rFonts w:ascii="Verdana" w:hAnsi="Verdana"/>
          <w:sz w:val="18"/>
          <w:szCs w:val="18"/>
        </w:rPr>
      </w:pPr>
      <w:r w:rsidRPr="00AF3D1C">
        <w:rPr>
          <w:rFonts w:ascii="Verdana" w:hAnsi="Verdana"/>
          <w:sz w:val="18"/>
          <w:szCs w:val="18"/>
        </w:rPr>
        <w:t xml:space="preserve">Als voor deze variant wordt gekozen blijft de </w:t>
      </w:r>
      <w:r>
        <w:rPr>
          <w:rFonts w:ascii="Verdana" w:hAnsi="Verdana"/>
          <w:sz w:val="18"/>
          <w:szCs w:val="18"/>
        </w:rPr>
        <w:t xml:space="preserve">berekeningsmethodiek van het forfait hetzelfde als nu opgenomen in de wet. Dit is juridisch houdbaar, mits belastingplichtigen met een lager werkelijk rendement dan het forfait tegenbewijs kunnen leveren. Dit wordt geregeld met het Wetsvoorstel tegenbewijsregeling box 3.   </w:t>
      </w:r>
    </w:p>
    <w:p w:rsidRPr="00AF3D1C" w:rsidR="006B7610" w:rsidP="006B7610" w:rsidRDefault="006B7610" w14:paraId="4917AC87" w14:textId="77777777">
      <w:pPr>
        <w:pStyle w:val="Lijstalinea"/>
        <w:spacing w:after="0"/>
        <w:rPr>
          <w:rFonts w:ascii="Verdana" w:hAnsi="Verdana"/>
          <w:sz w:val="18"/>
          <w:szCs w:val="18"/>
        </w:rPr>
      </w:pPr>
    </w:p>
    <w:p w:rsidRPr="00AA3505" w:rsidR="006B7610" w:rsidP="006B7610" w:rsidRDefault="006B7610" w14:paraId="2C428412" w14:textId="77777777">
      <w:pPr>
        <w:spacing w:after="0"/>
        <w:rPr>
          <w:rFonts w:ascii="Verdana" w:hAnsi="Verdana"/>
          <w:sz w:val="18"/>
          <w:szCs w:val="18"/>
        </w:rPr>
      </w:pPr>
      <w:r w:rsidRPr="00AA3505">
        <w:rPr>
          <w:rFonts w:ascii="Verdana" w:hAnsi="Verdana"/>
          <w:i/>
          <w:iCs/>
          <w:sz w:val="18"/>
          <w:szCs w:val="18"/>
        </w:rPr>
        <w:t>Budgettair</w:t>
      </w:r>
    </w:p>
    <w:p w:rsidR="006B7610" w:rsidP="006B7610" w:rsidRDefault="006B7610" w14:paraId="0ED175E4" w14:textId="77777777">
      <w:pPr>
        <w:pStyle w:val="Lijstalinea"/>
        <w:numPr>
          <w:ilvl w:val="0"/>
          <w:numId w:val="3"/>
        </w:numPr>
        <w:spacing w:after="0"/>
        <w:rPr>
          <w:rFonts w:ascii="Verdana" w:hAnsi="Verdana"/>
          <w:sz w:val="18"/>
          <w:szCs w:val="18"/>
        </w:rPr>
      </w:pPr>
      <w:r w:rsidRPr="003910C8">
        <w:rPr>
          <w:rFonts w:ascii="Verdana" w:hAnsi="Verdana"/>
          <w:sz w:val="18"/>
          <w:szCs w:val="18"/>
        </w:rPr>
        <w:t>Het niet verhogen van het forfait op overige bezittingen heeft een budgettair beslag van €</w:t>
      </w:r>
      <w:r>
        <w:rPr>
          <w:rFonts w:ascii="Verdana" w:hAnsi="Verdana"/>
          <w:sz w:val="18"/>
          <w:szCs w:val="18"/>
        </w:rPr>
        <w:t> 1.129</w:t>
      </w:r>
      <w:r w:rsidRPr="003910C8">
        <w:rPr>
          <w:rFonts w:ascii="Verdana" w:hAnsi="Verdana"/>
          <w:sz w:val="18"/>
          <w:szCs w:val="18"/>
        </w:rPr>
        <w:t xml:space="preserve"> miljoen </w:t>
      </w:r>
      <w:r>
        <w:rPr>
          <w:rFonts w:ascii="Verdana" w:hAnsi="Verdana"/>
          <w:sz w:val="18"/>
          <w:szCs w:val="18"/>
        </w:rPr>
        <w:t xml:space="preserve">per jaar </w:t>
      </w:r>
      <w:r w:rsidRPr="003910C8">
        <w:rPr>
          <w:rFonts w:ascii="Verdana" w:hAnsi="Verdana"/>
          <w:sz w:val="18"/>
          <w:szCs w:val="18"/>
        </w:rPr>
        <w:t xml:space="preserve">voor </w:t>
      </w:r>
      <w:r>
        <w:rPr>
          <w:rFonts w:ascii="Verdana" w:hAnsi="Verdana"/>
          <w:sz w:val="18"/>
          <w:szCs w:val="18"/>
        </w:rPr>
        <w:t xml:space="preserve">de jaren </w:t>
      </w:r>
      <w:r w:rsidRPr="003910C8">
        <w:rPr>
          <w:rFonts w:ascii="Verdana" w:hAnsi="Verdana"/>
          <w:sz w:val="18"/>
          <w:szCs w:val="18"/>
        </w:rPr>
        <w:t>2026 en 2027.</w:t>
      </w:r>
    </w:p>
    <w:p w:rsidR="006B7610" w:rsidP="006B7610" w:rsidRDefault="006B7610" w14:paraId="14A46D05" w14:textId="77777777">
      <w:pPr>
        <w:pStyle w:val="Lijstalinea"/>
        <w:numPr>
          <w:ilvl w:val="0"/>
          <w:numId w:val="3"/>
        </w:numPr>
        <w:spacing w:after="0" w:line="256" w:lineRule="auto"/>
        <w:rPr>
          <w:rFonts w:ascii="Verdana" w:hAnsi="Verdana"/>
          <w:sz w:val="18"/>
          <w:szCs w:val="18"/>
        </w:rPr>
      </w:pPr>
      <w:r>
        <w:rPr>
          <w:rFonts w:ascii="Verdana" w:hAnsi="Verdana"/>
          <w:sz w:val="18"/>
          <w:szCs w:val="18"/>
        </w:rPr>
        <w:t xml:space="preserve">Het niet verhogen van het forfait grijpt aan bij alle belastingplichtigen met overige bezittingen (zoals aandelen, obligaties en (verhuurd) vastgoed in box 3).  </w:t>
      </w:r>
    </w:p>
    <w:p w:rsidRPr="003910C8" w:rsidR="006B7610" w:rsidP="006B7610" w:rsidRDefault="006B7610" w14:paraId="02F70D58" w14:textId="77777777">
      <w:pPr>
        <w:spacing w:after="0"/>
        <w:rPr>
          <w:rFonts w:ascii="Verdana" w:hAnsi="Verdana"/>
          <w:sz w:val="18"/>
          <w:szCs w:val="18"/>
        </w:rPr>
      </w:pPr>
    </w:p>
    <w:p w:rsidRPr="00AA3505" w:rsidR="006B7610" w:rsidP="006B7610" w:rsidRDefault="006B7610" w14:paraId="5AC7A91B" w14:textId="77777777">
      <w:pPr>
        <w:spacing w:after="0"/>
        <w:rPr>
          <w:rFonts w:ascii="Verdana" w:hAnsi="Verdana"/>
          <w:i/>
          <w:iCs/>
          <w:sz w:val="18"/>
          <w:szCs w:val="18"/>
        </w:rPr>
      </w:pPr>
      <w:r w:rsidRPr="00AA3505">
        <w:rPr>
          <w:rFonts w:ascii="Verdana" w:hAnsi="Verdana"/>
          <w:i/>
          <w:iCs/>
          <w:sz w:val="18"/>
          <w:szCs w:val="18"/>
        </w:rPr>
        <w:t>Uitvoering</w:t>
      </w:r>
    </w:p>
    <w:p w:rsidRPr="00BC107A" w:rsidR="006B7610" w:rsidP="006B7610" w:rsidRDefault="006B7610" w14:paraId="38AF5D3C" w14:textId="77777777">
      <w:pPr>
        <w:pStyle w:val="Lijstalinea"/>
        <w:numPr>
          <w:ilvl w:val="0"/>
          <w:numId w:val="3"/>
        </w:numPr>
        <w:spacing w:after="0"/>
        <w:rPr>
          <w:rFonts w:ascii="Verdana" w:hAnsi="Verdana"/>
          <w:sz w:val="18"/>
          <w:szCs w:val="18"/>
        </w:rPr>
      </w:pPr>
      <w:r>
        <w:rPr>
          <w:rFonts w:ascii="Verdana" w:hAnsi="Verdana"/>
          <w:sz w:val="18"/>
          <w:szCs w:val="18"/>
        </w:rPr>
        <w:t>Een</w:t>
      </w:r>
      <w:r w:rsidRPr="00CA63C1">
        <w:rPr>
          <w:rFonts w:ascii="Verdana" w:hAnsi="Verdana"/>
          <w:sz w:val="18"/>
          <w:szCs w:val="18"/>
        </w:rPr>
        <w:t xml:space="preserve"> lager forfait </w:t>
      </w:r>
      <w:r>
        <w:rPr>
          <w:rFonts w:ascii="Verdana" w:hAnsi="Verdana"/>
          <w:sz w:val="18"/>
          <w:szCs w:val="18"/>
        </w:rPr>
        <w:t xml:space="preserve">leidt </w:t>
      </w:r>
      <w:r w:rsidRPr="00CA63C1">
        <w:rPr>
          <w:rFonts w:ascii="Verdana" w:hAnsi="Verdana"/>
          <w:sz w:val="18"/>
          <w:szCs w:val="18"/>
        </w:rPr>
        <w:t>ertoe dat minder tegenbewijzen zullen worden ingediend en</w:t>
      </w:r>
      <w:r>
        <w:rPr>
          <w:rFonts w:ascii="Verdana" w:hAnsi="Verdana"/>
          <w:sz w:val="18"/>
          <w:szCs w:val="18"/>
        </w:rPr>
        <w:t xml:space="preserve"> zal</w:t>
      </w:r>
      <w:r w:rsidRPr="00CA63C1">
        <w:rPr>
          <w:rFonts w:ascii="Verdana" w:hAnsi="Verdana"/>
          <w:sz w:val="18"/>
          <w:szCs w:val="18"/>
        </w:rPr>
        <w:t xml:space="preserve"> dus minder capaciteit vergen in de uitvoering.</w:t>
      </w:r>
      <w:r>
        <w:rPr>
          <w:rFonts w:ascii="Verdana" w:hAnsi="Verdana"/>
          <w:sz w:val="18"/>
          <w:szCs w:val="18"/>
        </w:rPr>
        <w:t xml:space="preserve"> </w:t>
      </w:r>
      <w:r w:rsidRPr="00BC107A">
        <w:rPr>
          <w:rFonts w:ascii="Verdana" w:hAnsi="Verdana"/>
          <w:sz w:val="18"/>
          <w:szCs w:val="18"/>
        </w:rPr>
        <w:t>In de uitvoeringstoets bij de Wet tegenbewijsregeling</w:t>
      </w:r>
      <w:r>
        <w:rPr>
          <w:rFonts w:ascii="Verdana" w:hAnsi="Verdana"/>
          <w:sz w:val="18"/>
          <w:szCs w:val="18"/>
        </w:rPr>
        <w:t xml:space="preserve"> box 3</w:t>
      </w:r>
      <w:r w:rsidRPr="00BC107A">
        <w:rPr>
          <w:rFonts w:ascii="Verdana" w:hAnsi="Verdana"/>
          <w:sz w:val="18"/>
          <w:szCs w:val="18"/>
        </w:rPr>
        <w:t xml:space="preserve"> is geen rekening gehouden met een verhoging van het forfait voor de aangifte</w:t>
      </w:r>
      <w:r>
        <w:rPr>
          <w:rFonts w:ascii="Verdana" w:hAnsi="Verdana"/>
          <w:sz w:val="18"/>
          <w:szCs w:val="18"/>
        </w:rPr>
        <w:t>s over de belastingjaren</w:t>
      </w:r>
      <w:r w:rsidRPr="00BC107A">
        <w:rPr>
          <w:rFonts w:ascii="Verdana" w:hAnsi="Verdana"/>
          <w:sz w:val="18"/>
          <w:szCs w:val="18"/>
        </w:rPr>
        <w:t xml:space="preserve"> 2026 en 2027. In de eerste herijking van de uitvoeringstoets (gepland voor </w:t>
      </w:r>
      <w:r>
        <w:rPr>
          <w:rFonts w:ascii="Verdana" w:hAnsi="Verdana"/>
          <w:sz w:val="18"/>
          <w:szCs w:val="18"/>
        </w:rPr>
        <w:t xml:space="preserve">het </w:t>
      </w:r>
      <w:r w:rsidRPr="00BC107A">
        <w:rPr>
          <w:rFonts w:ascii="Verdana" w:hAnsi="Verdana"/>
          <w:sz w:val="18"/>
          <w:szCs w:val="18"/>
        </w:rPr>
        <w:t xml:space="preserve">najaar 2025) zal </w:t>
      </w:r>
      <w:r>
        <w:rPr>
          <w:rFonts w:ascii="Verdana" w:hAnsi="Verdana"/>
          <w:sz w:val="18"/>
          <w:szCs w:val="18"/>
        </w:rPr>
        <w:t>een eventuele verhoging van het forfait</w:t>
      </w:r>
      <w:r w:rsidRPr="00BC107A">
        <w:rPr>
          <w:rFonts w:ascii="Verdana" w:hAnsi="Verdana"/>
          <w:sz w:val="18"/>
          <w:szCs w:val="18"/>
        </w:rPr>
        <w:t xml:space="preserve"> meegenomen </w:t>
      </w:r>
      <w:r>
        <w:rPr>
          <w:rFonts w:ascii="Verdana" w:hAnsi="Verdana"/>
          <w:sz w:val="18"/>
          <w:szCs w:val="18"/>
        </w:rPr>
        <w:t xml:space="preserve">kunnen </w:t>
      </w:r>
      <w:r w:rsidRPr="00BC107A">
        <w:rPr>
          <w:rFonts w:ascii="Verdana" w:hAnsi="Verdana"/>
          <w:sz w:val="18"/>
          <w:szCs w:val="18"/>
        </w:rPr>
        <w:t>worden.</w:t>
      </w:r>
    </w:p>
    <w:p w:rsidRPr="00CA63C1" w:rsidR="006B7610" w:rsidP="006B7610" w:rsidRDefault="006B7610" w14:paraId="3A988AE8" w14:textId="77777777">
      <w:pPr>
        <w:pStyle w:val="Lijstalinea"/>
        <w:numPr>
          <w:ilvl w:val="0"/>
          <w:numId w:val="3"/>
        </w:numPr>
        <w:spacing w:after="0"/>
        <w:rPr>
          <w:rFonts w:ascii="Verdana" w:hAnsi="Verdana"/>
          <w:sz w:val="18"/>
          <w:szCs w:val="18"/>
        </w:rPr>
      </w:pPr>
      <w:r w:rsidRPr="002C3A05">
        <w:rPr>
          <w:rFonts w:ascii="Verdana" w:hAnsi="Verdana"/>
          <w:sz w:val="18"/>
          <w:szCs w:val="18"/>
        </w:rPr>
        <w:t xml:space="preserve">De hoogte van het forfait is een parameterwijziging in het ICT-systeem en kan daarom worden doorgevoerd zonder </w:t>
      </w:r>
      <w:r>
        <w:rPr>
          <w:rFonts w:ascii="Verdana" w:hAnsi="Verdana"/>
          <w:sz w:val="18"/>
          <w:szCs w:val="18"/>
        </w:rPr>
        <w:t xml:space="preserve">extra </w:t>
      </w:r>
      <w:r w:rsidRPr="002C3A05">
        <w:rPr>
          <w:rFonts w:ascii="Verdana" w:hAnsi="Verdana"/>
          <w:sz w:val="18"/>
          <w:szCs w:val="18"/>
        </w:rPr>
        <w:t xml:space="preserve">impact op </w:t>
      </w:r>
      <w:r>
        <w:rPr>
          <w:rFonts w:ascii="Verdana" w:hAnsi="Verdana"/>
          <w:sz w:val="18"/>
          <w:szCs w:val="18"/>
        </w:rPr>
        <w:t>het</w:t>
      </w:r>
      <w:r w:rsidRPr="002C3A05">
        <w:rPr>
          <w:rFonts w:ascii="Verdana" w:hAnsi="Verdana"/>
          <w:sz w:val="18"/>
          <w:szCs w:val="18"/>
        </w:rPr>
        <w:t xml:space="preserve"> </w:t>
      </w:r>
      <w:r>
        <w:rPr>
          <w:rFonts w:ascii="Verdana" w:hAnsi="Verdana"/>
          <w:sz w:val="18"/>
          <w:szCs w:val="18"/>
        </w:rPr>
        <w:t>ICT-portfolio.</w:t>
      </w:r>
    </w:p>
    <w:p w:rsidRPr="000A438F" w:rsidR="006B7610" w:rsidP="006B7610" w:rsidRDefault="006B7610" w14:paraId="0915C465" w14:textId="77777777">
      <w:pPr>
        <w:spacing w:after="0"/>
        <w:rPr>
          <w:rFonts w:ascii="Verdana" w:hAnsi="Verdana"/>
          <w:sz w:val="18"/>
          <w:szCs w:val="18"/>
        </w:rPr>
      </w:pPr>
    </w:p>
    <w:p w:rsidR="006B7610" w:rsidP="006B7610" w:rsidRDefault="006B7610" w14:paraId="231C0F90" w14:textId="77777777">
      <w:pPr>
        <w:spacing w:after="0"/>
        <w:rPr>
          <w:rFonts w:ascii="Verdana" w:hAnsi="Verdana"/>
          <w:b/>
          <w:bCs/>
          <w:sz w:val="18"/>
          <w:szCs w:val="18"/>
        </w:rPr>
      </w:pPr>
      <w:r>
        <w:rPr>
          <w:rFonts w:ascii="Verdana" w:hAnsi="Verdana"/>
          <w:b/>
          <w:bCs/>
          <w:sz w:val="18"/>
          <w:szCs w:val="18"/>
        </w:rPr>
        <w:t>Variant 2 – Mindere verhoging van het forfait</w:t>
      </w:r>
    </w:p>
    <w:p w:rsidR="006B7610" w:rsidP="006B7610" w:rsidRDefault="006B7610" w14:paraId="068DDBFC" w14:textId="77777777">
      <w:pPr>
        <w:spacing w:after="0"/>
        <w:rPr>
          <w:rFonts w:ascii="Verdana" w:hAnsi="Verdana"/>
          <w:i/>
          <w:iCs/>
          <w:sz w:val="18"/>
          <w:szCs w:val="18"/>
        </w:rPr>
      </w:pPr>
      <w:r w:rsidRPr="00AA3505">
        <w:rPr>
          <w:rFonts w:ascii="Verdana" w:hAnsi="Verdana"/>
          <w:i/>
          <w:iCs/>
          <w:sz w:val="18"/>
          <w:szCs w:val="18"/>
        </w:rPr>
        <w:t>Omschrijving</w:t>
      </w:r>
    </w:p>
    <w:p w:rsidR="006B7610" w:rsidP="006B7610" w:rsidRDefault="006B7610" w14:paraId="0B3D0FC4" w14:textId="77777777">
      <w:pPr>
        <w:pStyle w:val="Lijstalinea"/>
        <w:numPr>
          <w:ilvl w:val="0"/>
          <w:numId w:val="2"/>
        </w:numPr>
        <w:spacing w:after="0"/>
        <w:rPr>
          <w:rFonts w:ascii="Verdana" w:hAnsi="Verdana"/>
          <w:sz w:val="18"/>
          <w:szCs w:val="18"/>
        </w:rPr>
      </w:pPr>
      <w:r w:rsidRPr="005D5A65">
        <w:rPr>
          <w:rFonts w:ascii="Verdana" w:hAnsi="Verdana"/>
          <w:sz w:val="18"/>
          <w:szCs w:val="18"/>
        </w:rPr>
        <w:t>Deze uitwerking houdt in dat het forfait</w:t>
      </w:r>
      <w:r>
        <w:rPr>
          <w:rFonts w:ascii="Verdana" w:hAnsi="Verdana"/>
          <w:sz w:val="18"/>
          <w:szCs w:val="18"/>
        </w:rPr>
        <w:t xml:space="preserve"> voor overige bezittingen</w:t>
      </w:r>
      <w:r w:rsidRPr="005D5A65">
        <w:rPr>
          <w:rFonts w:ascii="Verdana" w:hAnsi="Verdana"/>
          <w:sz w:val="18"/>
          <w:szCs w:val="18"/>
        </w:rPr>
        <w:t xml:space="preserve"> </w:t>
      </w:r>
      <w:r>
        <w:rPr>
          <w:rFonts w:ascii="Verdana" w:hAnsi="Verdana"/>
          <w:sz w:val="18"/>
          <w:szCs w:val="18"/>
        </w:rPr>
        <w:t>voor</w:t>
      </w:r>
      <w:r w:rsidRPr="005D5A65">
        <w:rPr>
          <w:rFonts w:ascii="Verdana" w:hAnsi="Verdana"/>
          <w:sz w:val="18"/>
          <w:szCs w:val="18"/>
        </w:rPr>
        <w:t xml:space="preserve"> de jaren 2026 en 2027 </w:t>
      </w:r>
      <w:r>
        <w:rPr>
          <w:rFonts w:ascii="Verdana" w:hAnsi="Verdana"/>
          <w:sz w:val="18"/>
          <w:szCs w:val="18"/>
        </w:rPr>
        <w:t xml:space="preserve">wel beleidsmatig </w:t>
      </w:r>
      <w:r w:rsidRPr="005D5A65">
        <w:rPr>
          <w:rFonts w:ascii="Verdana" w:hAnsi="Verdana"/>
          <w:sz w:val="18"/>
          <w:szCs w:val="18"/>
        </w:rPr>
        <w:t>wordt verhoogd</w:t>
      </w:r>
      <w:r>
        <w:rPr>
          <w:rFonts w:ascii="Verdana" w:hAnsi="Verdana"/>
          <w:sz w:val="18"/>
          <w:szCs w:val="18"/>
        </w:rPr>
        <w:t xml:space="preserve">, maar minder dan in eerste instantie beoogd. </w:t>
      </w:r>
    </w:p>
    <w:p w:rsidR="006B7610" w:rsidP="006B7610" w:rsidRDefault="006B7610" w14:paraId="4092950A" w14:textId="77777777">
      <w:pPr>
        <w:pStyle w:val="Lijstalinea"/>
        <w:numPr>
          <w:ilvl w:val="0"/>
          <w:numId w:val="2"/>
        </w:numPr>
        <w:spacing w:after="0"/>
        <w:rPr>
          <w:rFonts w:ascii="Verdana" w:hAnsi="Verdana"/>
          <w:sz w:val="18"/>
          <w:szCs w:val="18"/>
        </w:rPr>
      </w:pPr>
      <w:r>
        <w:rPr>
          <w:rFonts w:ascii="Verdana" w:hAnsi="Verdana"/>
          <w:sz w:val="18"/>
          <w:szCs w:val="18"/>
        </w:rPr>
        <w:t xml:space="preserve">Huurinkomsten en voordelen uit eigen gebruik worden toegevoegd aan de berekeningsmethodiek van het forfait, zoals bij de initiële verhoging is verondersteld. Vervolgens wordt het forfait voor overige bezittingen beleidsmatig verlaagd </w:t>
      </w:r>
      <w:r w:rsidRPr="00CA63C1">
        <w:rPr>
          <w:rFonts w:ascii="Verdana" w:hAnsi="Verdana"/>
          <w:sz w:val="18"/>
          <w:szCs w:val="18"/>
        </w:rPr>
        <w:t>met 1%-punt.</w:t>
      </w:r>
      <w:r>
        <w:rPr>
          <w:rFonts w:ascii="Verdana" w:hAnsi="Verdana"/>
          <w:sz w:val="18"/>
          <w:szCs w:val="18"/>
        </w:rPr>
        <w:t xml:space="preserve"> Ook een andere maatvoering is mogelijk.</w:t>
      </w:r>
    </w:p>
    <w:p w:rsidR="006B7610" w:rsidP="006B7610" w:rsidRDefault="006B7610" w14:paraId="526C7B5F" w14:textId="77777777">
      <w:pPr>
        <w:pStyle w:val="Lijstalinea"/>
        <w:numPr>
          <w:ilvl w:val="0"/>
          <w:numId w:val="2"/>
        </w:numPr>
        <w:spacing w:after="0"/>
        <w:rPr>
          <w:rFonts w:ascii="Verdana" w:hAnsi="Verdana"/>
          <w:sz w:val="18"/>
          <w:szCs w:val="18"/>
        </w:rPr>
      </w:pPr>
      <w:r w:rsidRPr="005D5A65">
        <w:rPr>
          <w:rFonts w:ascii="Verdana" w:hAnsi="Verdana"/>
          <w:sz w:val="18"/>
          <w:szCs w:val="18"/>
        </w:rPr>
        <w:t>De voorziene verhoging van het forfait bedraagt</w:t>
      </w:r>
      <w:r>
        <w:rPr>
          <w:rFonts w:ascii="Verdana" w:hAnsi="Verdana"/>
          <w:sz w:val="18"/>
          <w:szCs w:val="18"/>
        </w:rPr>
        <w:t xml:space="preserve"> dan</w:t>
      </w:r>
      <w:r w:rsidRPr="005D5A65">
        <w:rPr>
          <w:rFonts w:ascii="Verdana" w:hAnsi="Verdana"/>
          <w:sz w:val="18"/>
          <w:szCs w:val="18"/>
        </w:rPr>
        <w:t xml:space="preserve"> </w:t>
      </w:r>
      <w:r>
        <w:rPr>
          <w:rFonts w:ascii="Verdana" w:hAnsi="Verdana"/>
          <w:sz w:val="18"/>
          <w:szCs w:val="18"/>
        </w:rPr>
        <w:t>per saldo 0</w:t>
      </w:r>
      <w:r w:rsidRPr="005D5A65">
        <w:rPr>
          <w:rFonts w:ascii="Verdana" w:hAnsi="Verdana"/>
          <w:sz w:val="18"/>
          <w:szCs w:val="18"/>
        </w:rPr>
        <w:t>,78%</w:t>
      </w:r>
      <w:r>
        <w:rPr>
          <w:rFonts w:ascii="Verdana" w:hAnsi="Verdana"/>
          <w:sz w:val="18"/>
          <w:szCs w:val="18"/>
        </w:rPr>
        <w:t xml:space="preserve">-punt naar 6,78%. </w:t>
      </w:r>
    </w:p>
    <w:p w:rsidRPr="005D5A65" w:rsidR="006B7610" w:rsidP="006B7610" w:rsidRDefault="006B7610" w14:paraId="26C5C414" w14:textId="77777777">
      <w:pPr>
        <w:spacing w:after="0"/>
        <w:rPr>
          <w:rFonts w:ascii="Verdana" w:hAnsi="Verdana"/>
          <w:sz w:val="18"/>
          <w:szCs w:val="18"/>
        </w:rPr>
      </w:pPr>
    </w:p>
    <w:p w:rsidR="006B7610" w:rsidP="006B7610" w:rsidRDefault="006B7610" w14:paraId="0C000192" w14:textId="77777777">
      <w:pPr>
        <w:spacing w:after="0"/>
        <w:rPr>
          <w:rFonts w:ascii="Verdana" w:hAnsi="Verdana"/>
          <w:i/>
          <w:iCs/>
          <w:sz w:val="18"/>
          <w:szCs w:val="18"/>
        </w:rPr>
      </w:pPr>
      <w:bookmarkStart w:name="_Hlk193707527" w:id="0"/>
      <w:r w:rsidRPr="00AA3505">
        <w:rPr>
          <w:rFonts w:ascii="Verdana" w:hAnsi="Verdana"/>
          <w:i/>
          <w:iCs/>
          <w:sz w:val="18"/>
          <w:szCs w:val="18"/>
        </w:rPr>
        <w:t>Fiscaal-juridisch</w:t>
      </w:r>
    </w:p>
    <w:bookmarkEnd w:id="0"/>
    <w:p w:rsidRPr="00636C51" w:rsidR="006B7610" w:rsidP="006B7610" w:rsidRDefault="006B7610" w14:paraId="7748EA65" w14:textId="77777777">
      <w:pPr>
        <w:pStyle w:val="Lijstalinea"/>
        <w:numPr>
          <w:ilvl w:val="0"/>
          <w:numId w:val="3"/>
        </w:numPr>
        <w:rPr>
          <w:rFonts w:ascii="Verdana" w:hAnsi="Verdana"/>
          <w:sz w:val="18"/>
          <w:szCs w:val="18"/>
        </w:rPr>
      </w:pPr>
      <w:r w:rsidRPr="00636C51">
        <w:rPr>
          <w:rFonts w:ascii="Verdana" w:hAnsi="Verdana"/>
          <w:sz w:val="18"/>
          <w:szCs w:val="18"/>
        </w:rPr>
        <w:t xml:space="preserve">In de wet is een onderbouwing van de hoogte van het forfait noodzakelijk. Momenteel is het forfait gebaseerd op langjarige gemiddelde rendementen op onroerende zaken, aandelen en obligaties. </w:t>
      </w:r>
    </w:p>
    <w:p w:rsidRPr="00636C51" w:rsidR="006B7610" w:rsidP="006B7610" w:rsidRDefault="006B7610" w14:paraId="435512E9" w14:textId="77777777">
      <w:pPr>
        <w:pStyle w:val="Lijstalinea"/>
        <w:numPr>
          <w:ilvl w:val="0"/>
          <w:numId w:val="3"/>
        </w:numPr>
        <w:rPr>
          <w:rFonts w:ascii="Verdana" w:hAnsi="Verdana"/>
          <w:sz w:val="18"/>
          <w:szCs w:val="18"/>
        </w:rPr>
      </w:pPr>
      <w:r w:rsidRPr="00636C51">
        <w:rPr>
          <w:rFonts w:ascii="Verdana" w:hAnsi="Verdana"/>
          <w:sz w:val="18"/>
          <w:szCs w:val="18"/>
        </w:rPr>
        <w:t xml:space="preserve">Met het toevoegen van gemiddelde huurinkomsten en voordelen uit eigen gebruik aan de berekeningsmethode van het forfait wordt het gemiddelde rendement op overige bezittingen </w:t>
      </w:r>
      <w:r w:rsidRPr="00636C51">
        <w:rPr>
          <w:rFonts w:ascii="Verdana" w:hAnsi="Verdana"/>
          <w:sz w:val="18"/>
          <w:szCs w:val="18"/>
        </w:rPr>
        <w:lastRenderedPageBreak/>
        <w:t>beter benaderd. Daarnaast zorgt dit ervoor dat belastingplichtigen met een hoger werkelijk rendement zo veel mogelijk naar draagkracht worden belast.</w:t>
      </w:r>
    </w:p>
    <w:p w:rsidRPr="00636C51" w:rsidR="006B7610" w:rsidP="006B7610" w:rsidRDefault="006B7610" w14:paraId="31C355FA" w14:textId="77777777">
      <w:pPr>
        <w:pStyle w:val="Lijstalinea"/>
        <w:numPr>
          <w:ilvl w:val="0"/>
          <w:numId w:val="3"/>
        </w:numPr>
        <w:rPr>
          <w:rFonts w:ascii="Verdana" w:hAnsi="Verdana"/>
          <w:sz w:val="18"/>
          <w:szCs w:val="18"/>
        </w:rPr>
      </w:pPr>
      <w:r w:rsidRPr="00636C51">
        <w:rPr>
          <w:rFonts w:ascii="Verdana" w:hAnsi="Verdana"/>
          <w:sz w:val="18"/>
          <w:szCs w:val="18"/>
        </w:rPr>
        <w:t xml:space="preserve">Individuele belastingplichtigen kunnen echter een rendement hebben dat sterk afwijkt van het gemiddelde rendement. In de praktijk is er veel spreiding in het type vermogen en behaalde rendementen. Belastingplichtigen met een lager werkelijk rendement dan het forfait kunnen daarom tegenbewijs leveren. </w:t>
      </w:r>
    </w:p>
    <w:p w:rsidRPr="00636C51" w:rsidR="006B7610" w:rsidP="006B7610" w:rsidRDefault="006B7610" w14:paraId="2DC62FCA" w14:textId="77777777">
      <w:pPr>
        <w:pStyle w:val="Lijstalinea"/>
        <w:numPr>
          <w:ilvl w:val="0"/>
          <w:numId w:val="3"/>
        </w:numPr>
        <w:rPr>
          <w:rFonts w:ascii="Verdana" w:hAnsi="Verdana"/>
          <w:sz w:val="18"/>
          <w:szCs w:val="18"/>
        </w:rPr>
      </w:pPr>
      <w:r w:rsidRPr="00636C51">
        <w:rPr>
          <w:rFonts w:ascii="Verdana" w:hAnsi="Verdana"/>
          <w:sz w:val="18"/>
          <w:szCs w:val="18"/>
        </w:rPr>
        <w:t xml:space="preserve">Door aanvullend het forfait met 1%-punt te verlagen wordt afgestapt van een onderbouwing van het forfait die volledig is gebaseerd op gemiddelde werkelijke rendementen. Dit komt neer op een nieuwe fiscale regeling met een doel anders dan het hoofddoel van de inkomstenbelasting (heffen naar draagkracht). De hoogte van de afslag weerspiegelt een politieke afweging van deze belangen. Eventuele rechtvaardigingen hiervoor kunnen zijn </w:t>
      </w:r>
      <w:proofErr w:type="spellStart"/>
      <w:r w:rsidRPr="00636C51">
        <w:rPr>
          <w:rFonts w:ascii="Verdana" w:hAnsi="Verdana"/>
          <w:sz w:val="18"/>
          <w:szCs w:val="18"/>
        </w:rPr>
        <w:t>doenvermogen</w:t>
      </w:r>
      <w:proofErr w:type="spellEnd"/>
      <w:r w:rsidRPr="00636C51">
        <w:rPr>
          <w:rFonts w:ascii="Verdana" w:hAnsi="Verdana"/>
          <w:sz w:val="18"/>
          <w:szCs w:val="18"/>
        </w:rPr>
        <w:t xml:space="preserve"> en gevolgen voor de uitvoering. Met een lager forfait zullen minder belastingplichtigen tegenbewijs hoeven leveren.</w:t>
      </w:r>
    </w:p>
    <w:p w:rsidRPr="00047F35" w:rsidR="006B7610" w:rsidP="006B7610" w:rsidRDefault="006B7610" w14:paraId="2724154D" w14:textId="77777777">
      <w:pPr>
        <w:pStyle w:val="Lijstalinea"/>
        <w:spacing w:after="0"/>
        <w:ind w:left="360"/>
        <w:rPr>
          <w:rFonts w:ascii="Verdana" w:hAnsi="Verdana"/>
          <w:sz w:val="18"/>
          <w:szCs w:val="18"/>
        </w:rPr>
      </w:pPr>
      <w:r>
        <w:rPr>
          <w:rFonts w:ascii="Verdana" w:hAnsi="Verdana"/>
          <w:sz w:val="18"/>
          <w:szCs w:val="18"/>
        </w:rPr>
        <w:t xml:space="preserve"> </w:t>
      </w:r>
    </w:p>
    <w:p w:rsidRPr="00AA3505" w:rsidR="006B7610" w:rsidP="006B7610" w:rsidRDefault="006B7610" w14:paraId="2E51F84D" w14:textId="77777777">
      <w:pPr>
        <w:spacing w:after="0"/>
        <w:rPr>
          <w:rFonts w:ascii="Verdana" w:hAnsi="Verdana"/>
          <w:sz w:val="18"/>
          <w:szCs w:val="18"/>
        </w:rPr>
      </w:pPr>
      <w:r w:rsidRPr="00AA3505">
        <w:rPr>
          <w:rFonts w:ascii="Verdana" w:hAnsi="Verdana"/>
          <w:i/>
          <w:iCs/>
          <w:sz w:val="18"/>
          <w:szCs w:val="18"/>
        </w:rPr>
        <w:t>Budgettair</w:t>
      </w:r>
    </w:p>
    <w:p w:rsidRPr="006B7610" w:rsidR="006B7610" w:rsidP="006B7610" w:rsidRDefault="006B7610" w14:paraId="379DBBDC" w14:textId="41D09787">
      <w:pPr>
        <w:pStyle w:val="Lijstalinea"/>
        <w:numPr>
          <w:ilvl w:val="0"/>
          <w:numId w:val="4"/>
        </w:numPr>
        <w:rPr>
          <w:rFonts w:ascii="Verdana" w:hAnsi="Verdana"/>
          <w:sz w:val="18"/>
          <w:szCs w:val="18"/>
        </w:rPr>
      </w:pPr>
      <w:r w:rsidRPr="006B7610">
        <w:rPr>
          <w:rFonts w:ascii="Verdana" w:hAnsi="Verdana"/>
          <w:sz w:val="18"/>
          <w:szCs w:val="18"/>
        </w:rPr>
        <w:t xml:space="preserve">Het beperkt verhogen van het forfait op overige bezittingen met 0,78%-punt leidt tot een budgettair gat van € 611 </w:t>
      </w:r>
      <w:proofErr w:type="spellStart"/>
      <w:r w:rsidRPr="006B7610">
        <w:rPr>
          <w:rFonts w:ascii="Verdana" w:hAnsi="Verdana"/>
          <w:sz w:val="18"/>
          <w:szCs w:val="18"/>
        </w:rPr>
        <w:t>mln</w:t>
      </w:r>
      <w:proofErr w:type="spellEnd"/>
      <w:r w:rsidRPr="006B7610">
        <w:rPr>
          <w:rFonts w:ascii="Verdana" w:hAnsi="Verdana"/>
          <w:sz w:val="18"/>
          <w:szCs w:val="18"/>
        </w:rPr>
        <w:t xml:space="preserve"> per jaar voor de jaren 2026 en 2027.</w:t>
      </w:r>
    </w:p>
    <w:p w:rsidRPr="000C7A70" w:rsidR="006B7610" w:rsidP="000C7A70" w:rsidRDefault="006B7610" w14:paraId="204D6DF7" w14:textId="5BC3221B">
      <w:pPr>
        <w:pStyle w:val="Lijstalinea"/>
        <w:numPr>
          <w:ilvl w:val="0"/>
          <w:numId w:val="4"/>
        </w:numPr>
        <w:rPr>
          <w:rFonts w:ascii="Verdana" w:hAnsi="Verdana"/>
          <w:sz w:val="18"/>
          <w:szCs w:val="18"/>
        </w:rPr>
      </w:pPr>
      <w:r w:rsidRPr="006B7610">
        <w:rPr>
          <w:rFonts w:ascii="Verdana" w:hAnsi="Verdana"/>
          <w:sz w:val="18"/>
          <w:szCs w:val="18"/>
        </w:rPr>
        <w:t xml:space="preserve">Het beperkt verhogen van het forfait grijpt aan bij alle box 3-verhuurders en andere belastingplichtigen met overige bezittingen.  </w:t>
      </w:r>
    </w:p>
    <w:p w:rsidRPr="00AA3505" w:rsidR="006B7610" w:rsidP="006B7610" w:rsidRDefault="006B7610" w14:paraId="55806410" w14:textId="77777777">
      <w:pPr>
        <w:spacing w:after="0"/>
        <w:rPr>
          <w:rFonts w:ascii="Verdana" w:hAnsi="Verdana"/>
          <w:i/>
          <w:iCs/>
          <w:sz w:val="18"/>
          <w:szCs w:val="18"/>
        </w:rPr>
      </w:pPr>
      <w:r w:rsidRPr="00AA3505">
        <w:rPr>
          <w:rFonts w:ascii="Verdana" w:hAnsi="Verdana"/>
          <w:i/>
          <w:iCs/>
          <w:sz w:val="18"/>
          <w:szCs w:val="18"/>
        </w:rPr>
        <w:t>Uitvoering</w:t>
      </w:r>
    </w:p>
    <w:p w:rsidR="006B7610" w:rsidP="006B7610" w:rsidRDefault="006B7610" w14:paraId="398B90A8" w14:textId="77777777">
      <w:pPr>
        <w:pStyle w:val="Lijstalinea"/>
        <w:numPr>
          <w:ilvl w:val="0"/>
          <w:numId w:val="3"/>
        </w:numPr>
        <w:spacing w:after="0"/>
        <w:rPr>
          <w:rFonts w:ascii="Verdana" w:hAnsi="Verdana"/>
          <w:sz w:val="18"/>
          <w:szCs w:val="18"/>
        </w:rPr>
      </w:pPr>
      <w:r>
        <w:rPr>
          <w:rFonts w:ascii="Verdana" w:hAnsi="Verdana"/>
          <w:sz w:val="18"/>
          <w:szCs w:val="18"/>
        </w:rPr>
        <w:t>Een</w:t>
      </w:r>
      <w:r w:rsidRPr="00CA63C1">
        <w:rPr>
          <w:rFonts w:ascii="Verdana" w:hAnsi="Verdana"/>
          <w:sz w:val="18"/>
          <w:szCs w:val="18"/>
        </w:rPr>
        <w:t xml:space="preserve"> lager forfait </w:t>
      </w:r>
      <w:r>
        <w:rPr>
          <w:rFonts w:ascii="Verdana" w:hAnsi="Verdana"/>
          <w:sz w:val="18"/>
          <w:szCs w:val="18"/>
        </w:rPr>
        <w:t xml:space="preserve">leidt </w:t>
      </w:r>
      <w:r w:rsidRPr="00CA63C1">
        <w:rPr>
          <w:rFonts w:ascii="Verdana" w:hAnsi="Verdana"/>
          <w:sz w:val="18"/>
          <w:szCs w:val="18"/>
        </w:rPr>
        <w:t xml:space="preserve">ertoe dat minder tegenbewijzen zullen worden ingediend en </w:t>
      </w:r>
      <w:r>
        <w:rPr>
          <w:rFonts w:ascii="Verdana" w:hAnsi="Verdana"/>
          <w:sz w:val="18"/>
          <w:szCs w:val="18"/>
        </w:rPr>
        <w:t xml:space="preserve">zal </w:t>
      </w:r>
      <w:r w:rsidRPr="00CA63C1">
        <w:rPr>
          <w:rFonts w:ascii="Verdana" w:hAnsi="Verdana"/>
          <w:sz w:val="18"/>
          <w:szCs w:val="18"/>
        </w:rPr>
        <w:t>dus minder capaciteit vergen in de uitvoering. Zoals hierboven opgemerkt is een verhoging van het forfait niet meegenomen in de uitvoeringstoets.</w:t>
      </w:r>
    </w:p>
    <w:p w:rsidRPr="00CA63C1" w:rsidR="006B7610" w:rsidP="006B7610" w:rsidRDefault="006B7610" w14:paraId="3A394483" w14:textId="77777777">
      <w:pPr>
        <w:pStyle w:val="Lijstalinea"/>
        <w:numPr>
          <w:ilvl w:val="0"/>
          <w:numId w:val="3"/>
        </w:numPr>
        <w:spacing w:after="0"/>
        <w:rPr>
          <w:rFonts w:ascii="Verdana" w:hAnsi="Verdana"/>
          <w:sz w:val="18"/>
          <w:szCs w:val="18"/>
        </w:rPr>
      </w:pPr>
      <w:r w:rsidRPr="002C3A05">
        <w:rPr>
          <w:rFonts w:ascii="Verdana" w:hAnsi="Verdana"/>
          <w:sz w:val="18"/>
          <w:szCs w:val="18"/>
        </w:rPr>
        <w:t xml:space="preserve">De hoogte van het forfait is een parameterwijziging in het ICT-systeem en kan daarom worden doorgevoerd zonder </w:t>
      </w:r>
      <w:r>
        <w:rPr>
          <w:rFonts w:ascii="Verdana" w:hAnsi="Verdana"/>
          <w:sz w:val="18"/>
          <w:szCs w:val="18"/>
        </w:rPr>
        <w:t xml:space="preserve">extra </w:t>
      </w:r>
      <w:r w:rsidRPr="002C3A05">
        <w:rPr>
          <w:rFonts w:ascii="Verdana" w:hAnsi="Verdana"/>
          <w:sz w:val="18"/>
          <w:szCs w:val="18"/>
        </w:rPr>
        <w:t xml:space="preserve">impact op </w:t>
      </w:r>
      <w:r>
        <w:rPr>
          <w:rFonts w:ascii="Verdana" w:hAnsi="Verdana"/>
          <w:sz w:val="18"/>
          <w:szCs w:val="18"/>
        </w:rPr>
        <w:t>het</w:t>
      </w:r>
      <w:r w:rsidRPr="002C3A05">
        <w:rPr>
          <w:rFonts w:ascii="Verdana" w:hAnsi="Verdana"/>
          <w:sz w:val="18"/>
          <w:szCs w:val="18"/>
        </w:rPr>
        <w:t xml:space="preserve"> </w:t>
      </w:r>
      <w:r>
        <w:rPr>
          <w:rFonts w:ascii="Verdana" w:hAnsi="Verdana"/>
          <w:sz w:val="18"/>
          <w:szCs w:val="18"/>
        </w:rPr>
        <w:t>ICT-portfolio.</w:t>
      </w:r>
    </w:p>
    <w:p w:rsidRPr="007B6A12" w:rsidR="006B7610" w:rsidP="006B7610" w:rsidRDefault="006B7610" w14:paraId="42063A5E" w14:textId="77777777">
      <w:pPr>
        <w:spacing w:after="0"/>
        <w:rPr>
          <w:rFonts w:ascii="Verdana" w:hAnsi="Verdana"/>
          <w:sz w:val="18"/>
          <w:szCs w:val="18"/>
        </w:rPr>
      </w:pPr>
    </w:p>
    <w:p w:rsidRPr="005D5A65" w:rsidR="006B7610" w:rsidP="006B7610" w:rsidRDefault="006B7610" w14:paraId="03FA0DC1" w14:textId="77777777">
      <w:pPr>
        <w:pStyle w:val="Lijstalinea"/>
        <w:rPr>
          <w:rFonts w:ascii="Verdana" w:hAnsi="Verdana"/>
          <w:sz w:val="18"/>
          <w:szCs w:val="18"/>
        </w:rPr>
      </w:pPr>
    </w:p>
    <w:p w:rsidRPr="00AA3505" w:rsidR="00577F0E" w:rsidP="006B7610" w:rsidRDefault="00577F0E" w14:paraId="4ED16989" w14:textId="0658D6F3">
      <w:pPr>
        <w:spacing w:after="0"/>
        <w:rPr>
          <w:rFonts w:ascii="Verdana" w:hAnsi="Verdana"/>
          <w:sz w:val="18"/>
          <w:szCs w:val="18"/>
        </w:rPr>
      </w:pPr>
    </w:p>
    <w:sectPr w:rsidRPr="00AA3505" w:rsidR="00577F0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054D" w14:textId="77777777" w:rsidR="00092673" w:rsidRDefault="00092673" w:rsidP="00092673">
      <w:pPr>
        <w:spacing w:after="0" w:line="240" w:lineRule="auto"/>
      </w:pPr>
      <w:r>
        <w:separator/>
      </w:r>
    </w:p>
  </w:endnote>
  <w:endnote w:type="continuationSeparator" w:id="0">
    <w:p w14:paraId="37BD094E" w14:textId="77777777" w:rsidR="00092673" w:rsidRDefault="00092673" w:rsidP="000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24607"/>
      <w:docPartObj>
        <w:docPartGallery w:val="Page Numbers (Bottom of Page)"/>
        <w:docPartUnique/>
      </w:docPartObj>
    </w:sdtPr>
    <w:sdtEndPr/>
    <w:sdtContent>
      <w:p w14:paraId="1E13FA05" w14:textId="50681DE4" w:rsidR="003206FE" w:rsidRDefault="003206FE">
        <w:pPr>
          <w:pStyle w:val="Voettekst"/>
          <w:jc w:val="right"/>
        </w:pPr>
        <w:r>
          <w:fldChar w:fldCharType="begin"/>
        </w:r>
        <w:r>
          <w:instrText>PAGE   \* MERGEFORMAT</w:instrText>
        </w:r>
        <w:r>
          <w:fldChar w:fldCharType="separate"/>
        </w:r>
        <w:r>
          <w:t>2</w:t>
        </w:r>
        <w:r>
          <w:fldChar w:fldCharType="end"/>
        </w:r>
      </w:p>
    </w:sdtContent>
  </w:sdt>
  <w:p w14:paraId="0ECE36E2" w14:textId="77777777" w:rsidR="003206FE" w:rsidRDefault="003206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438E" w14:textId="77777777" w:rsidR="00092673" w:rsidRDefault="00092673" w:rsidP="00092673">
      <w:pPr>
        <w:spacing w:after="0" w:line="240" w:lineRule="auto"/>
      </w:pPr>
      <w:r>
        <w:separator/>
      </w:r>
    </w:p>
  </w:footnote>
  <w:footnote w:type="continuationSeparator" w:id="0">
    <w:p w14:paraId="01F0E3E9" w14:textId="77777777" w:rsidR="00092673" w:rsidRDefault="00092673" w:rsidP="00092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B4B"/>
    <w:multiLevelType w:val="hybridMultilevel"/>
    <w:tmpl w:val="E76226F2"/>
    <w:lvl w:ilvl="0" w:tplc="7FEC02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604EEF"/>
    <w:multiLevelType w:val="hybridMultilevel"/>
    <w:tmpl w:val="5F5E0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4CE0894"/>
    <w:multiLevelType w:val="hybridMultilevel"/>
    <w:tmpl w:val="74A2F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5731159">
    <w:abstractNumId w:val="0"/>
  </w:num>
  <w:num w:numId="2" w16cid:durableId="349645702">
    <w:abstractNumId w:val="2"/>
  </w:num>
  <w:num w:numId="3" w16cid:durableId="232156971">
    <w:abstractNumId w:val="1"/>
  </w:num>
  <w:num w:numId="4" w16cid:durableId="140209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73"/>
    <w:rsid w:val="00092673"/>
    <w:rsid w:val="000C7A70"/>
    <w:rsid w:val="001375E4"/>
    <w:rsid w:val="00215EBD"/>
    <w:rsid w:val="0022578A"/>
    <w:rsid w:val="002257A0"/>
    <w:rsid w:val="002662A4"/>
    <w:rsid w:val="003037D6"/>
    <w:rsid w:val="003206FE"/>
    <w:rsid w:val="004625F2"/>
    <w:rsid w:val="00577F0E"/>
    <w:rsid w:val="00615FD1"/>
    <w:rsid w:val="00652896"/>
    <w:rsid w:val="006B7610"/>
    <w:rsid w:val="007137C6"/>
    <w:rsid w:val="00733274"/>
    <w:rsid w:val="00750972"/>
    <w:rsid w:val="008529D6"/>
    <w:rsid w:val="00895FEA"/>
    <w:rsid w:val="00A92B11"/>
    <w:rsid w:val="00AA3505"/>
    <w:rsid w:val="00CA5413"/>
    <w:rsid w:val="00E35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D058"/>
  <w15:chartTrackingRefBased/>
  <w15:docId w15:val="{BA6844C5-5CB8-42CC-AD9B-6C7BCD0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2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26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26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26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2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6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26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26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26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26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2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673"/>
    <w:rPr>
      <w:rFonts w:eastAsiaTheme="majorEastAsia" w:cstheme="majorBidi"/>
      <w:color w:val="272727" w:themeColor="text1" w:themeTint="D8"/>
    </w:rPr>
  </w:style>
  <w:style w:type="paragraph" w:styleId="Titel">
    <w:name w:val="Title"/>
    <w:basedOn w:val="Standaard"/>
    <w:next w:val="Standaard"/>
    <w:link w:val="TitelChar"/>
    <w:uiPriority w:val="10"/>
    <w:qFormat/>
    <w:rsid w:val="0009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673"/>
    <w:rPr>
      <w:i/>
      <w:iCs/>
      <w:color w:val="404040" w:themeColor="text1" w:themeTint="BF"/>
    </w:rPr>
  </w:style>
  <w:style w:type="paragraph" w:styleId="Lijstalinea">
    <w:name w:val="List Paragraph"/>
    <w:basedOn w:val="Standaard"/>
    <w:uiPriority w:val="34"/>
    <w:qFormat/>
    <w:rsid w:val="00092673"/>
    <w:pPr>
      <w:ind w:left="720"/>
      <w:contextualSpacing/>
    </w:pPr>
  </w:style>
  <w:style w:type="character" w:styleId="Intensievebenadrukking">
    <w:name w:val="Intense Emphasis"/>
    <w:basedOn w:val="Standaardalinea-lettertype"/>
    <w:uiPriority w:val="21"/>
    <w:qFormat/>
    <w:rsid w:val="00092673"/>
    <w:rPr>
      <w:i/>
      <w:iCs/>
      <w:color w:val="2F5496" w:themeColor="accent1" w:themeShade="BF"/>
    </w:rPr>
  </w:style>
  <w:style w:type="paragraph" w:styleId="Duidelijkcitaat">
    <w:name w:val="Intense Quote"/>
    <w:basedOn w:val="Standaard"/>
    <w:next w:val="Standaard"/>
    <w:link w:val="DuidelijkcitaatChar"/>
    <w:uiPriority w:val="30"/>
    <w:qFormat/>
    <w:rsid w:val="00092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2673"/>
    <w:rPr>
      <w:i/>
      <w:iCs/>
      <w:color w:val="2F5496" w:themeColor="accent1" w:themeShade="BF"/>
    </w:rPr>
  </w:style>
  <w:style w:type="character" w:styleId="Intensieveverwijzing">
    <w:name w:val="Intense Reference"/>
    <w:basedOn w:val="Standaardalinea-lettertype"/>
    <w:uiPriority w:val="32"/>
    <w:qFormat/>
    <w:rsid w:val="00092673"/>
    <w:rPr>
      <w:b/>
      <w:bCs/>
      <w:smallCaps/>
      <w:color w:val="2F5496" w:themeColor="accent1" w:themeShade="BF"/>
      <w:spacing w:val="5"/>
    </w:rPr>
  </w:style>
  <w:style w:type="table" w:styleId="Tabelraster">
    <w:name w:val="Table Grid"/>
    <w:basedOn w:val="Standaardtabel"/>
    <w:uiPriority w:val="39"/>
    <w:rsid w:val="00AA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06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06FE"/>
  </w:style>
  <w:style w:type="paragraph" w:styleId="Voettekst">
    <w:name w:val="footer"/>
    <w:basedOn w:val="Standaard"/>
    <w:link w:val="VoettekstChar"/>
    <w:uiPriority w:val="99"/>
    <w:unhideWhenUsed/>
    <w:rsid w:val="003206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427496">
      <w:bodyDiv w:val="1"/>
      <w:marLeft w:val="0"/>
      <w:marRight w:val="0"/>
      <w:marTop w:val="0"/>
      <w:marBottom w:val="0"/>
      <w:divBdr>
        <w:top w:val="none" w:sz="0" w:space="0" w:color="auto"/>
        <w:left w:val="none" w:sz="0" w:space="0" w:color="auto"/>
        <w:bottom w:val="none" w:sz="0" w:space="0" w:color="auto"/>
        <w:right w:val="none" w:sz="0" w:space="0" w:color="auto"/>
      </w:divBdr>
    </w:div>
    <w:div w:id="16519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815</ap:Words>
  <ap:Characters>4485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2025-04-02T12:01:00.0000000Z</dcterms:created>
  <dcterms:modified xsi:type="dcterms:W3CDTF">2025-04-02T12:01:00.0000000Z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2025-03-19T17:58:41Z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2743e863-a928-46f1-ba66-b7e110825d82</vt:lpwstr>
  </property>
  <property fmtid="{D5CDD505-2E9C-101B-9397-08002B2CF9AE}" pid="8" name="MSIP_Label_b2aa6e22-2c82-48c6-bf24-1790f4b9c128_ContentBits">
    <vt:lpwstr>0</vt:lpwstr>
  </property>
</Properties>
</file>