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62"/>
      </w:tblGrid>
      <w:tr w:rsidR="00AA3505" w:rsidTr="00AA3505" w14:paraId="7F88D7D0" w14:textId="77777777">
        <w:tc>
          <w:tcPr>
            <w:tcW w:w="9062" w:type="dxa"/>
            <w:shd w:val="clear" w:color="auto" w:fill="4472C4" w:themeFill="accent1"/>
          </w:tcPr>
          <w:p w:rsidRPr="00AA3505" w:rsidR="00AA3505" w:rsidP="00AA3505" w:rsidRDefault="004754BC" w14:paraId="0156F1DA" w14:textId="57DC7D48">
            <w:pPr>
              <w:rPr>
                <w:rFonts w:ascii="Verdana" w:hAnsi="Verdana"/>
                <w:b/>
                <w:bCs/>
                <w:sz w:val="18"/>
                <w:szCs w:val="18"/>
              </w:rPr>
            </w:pPr>
            <w:r>
              <w:rPr>
                <w:rFonts w:ascii="Verdana" w:hAnsi="Verdana"/>
                <w:b/>
                <w:bCs/>
                <w:color w:val="FFFFFF" w:themeColor="background1"/>
                <w:sz w:val="18"/>
                <w:szCs w:val="18"/>
              </w:rPr>
              <w:t xml:space="preserve">Fiche 3 - </w:t>
            </w:r>
            <w:r w:rsidR="00B129D2">
              <w:rPr>
                <w:rFonts w:ascii="Verdana" w:hAnsi="Verdana"/>
                <w:b/>
                <w:bCs/>
                <w:color w:val="FFFFFF" w:themeColor="background1"/>
                <w:sz w:val="18"/>
                <w:szCs w:val="18"/>
              </w:rPr>
              <w:t>Act</w:t>
            </w:r>
            <w:r w:rsidR="000C0E31">
              <w:rPr>
                <w:rFonts w:ascii="Verdana" w:hAnsi="Verdana"/>
                <w:b/>
                <w:bCs/>
                <w:color w:val="FFFFFF" w:themeColor="background1"/>
                <w:sz w:val="18"/>
                <w:szCs w:val="18"/>
              </w:rPr>
              <w:t>u</w:t>
            </w:r>
            <w:r w:rsidR="00B129D2">
              <w:rPr>
                <w:rFonts w:ascii="Verdana" w:hAnsi="Verdana"/>
                <w:b/>
                <w:bCs/>
                <w:color w:val="FFFFFF" w:themeColor="background1"/>
                <w:sz w:val="18"/>
                <w:szCs w:val="18"/>
              </w:rPr>
              <w:t>alisering</w:t>
            </w:r>
            <w:r w:rsidR="00272DA4">
              <w:rPr>
                <w:rFonts w:ascii="Verdana" w:hAnsi="Verdana"/>
                <w:b/>
                <w:bCs/>
                <w:color w:val="FFFFFF" w:themeColor="background1"/>
                <w:sz w:val="18"/>
                <w:szCs w:val="18"/>
              </w:rPr>
              <w:t xml:space="preserve"> </w:t>
            </w:r>
            <w:proofErr w:type="spellStart"/>
            <w:r w:rsidR="00272DA4">
              <w:rPr>
                <w:rFonts w:ascii="Verdana" w:hAnsi="Verdana"/>
                <w:b/>
                <w:bCs/>
                <w:color w:val="FFFFFF" w:themeColor="background1"/>
                <w:sz w:val="18"/>
                <w:szCs w:val="18"/>
              </w:rPr>
              <w:t>leegwaarderatio</w:t>
            </w:r>
            <w:proofErr w:type="spellEnd"/>
            <w:r w:rsidR="00272DA4">
              <w:rPr>
                <w:rFonts w:ascii="Verdana" w:hAnsi="Verdana"/>
                <w:b/>
                <w:bCs/>
                <w:color w:val="FFFFFF" w:themeColor="background1"/>
                <w:sz w:val="18"/>
                <w:szCs w:val="18"/>
              </w:rPr>
              <w:t xml:space="preserve"> </w:t>
            </w:r>
            <w:r w:rsidR="00124DCC">
              <w:rPr>
                <w:rFonts w:ascii="Verdana" w:hAnsi="Verdana"/>
                <w:b/>
                <w:bCs/>
                <w:color w:val="FFFFFF" w:themeColor="background1"/>
                <w:sz w:val="18"/>
                <w:szCs w:val="18"/>
              </w:rPr>
              <w:t>per 2026</w:t>
            </w:r>
          </w:p>
        </w:tc>
      </w:tr>
    </w:tbl>
    <w:p w:rsidR="00092673" w:rsidP="00AA3505" w:rsidRDefault="00092673" w14:paraId="78FD66BA" w14:textId="77777777">
      <w:pPr>
        <w:spacing w:after="0"/>
        <w:rPr>
          <w:rFonts w:ascii="Verdana" w:hAnsi="Verdana"/>
          <w:sz w:val="18"/>
          <w:szCs w:val="18"/>
        </w:rPr>
      </w:pPr>
    </w:p>
    <w:p w:rsidRPr="00AA3505" w:rsidR="00AA3505" w:rsidP="00AA3505" w:rsidRDefault="00AA3505" w14:paraId="76AAE8D6" w14:textId="3A7DACDA">
      <w:pPr>
        <w:spacing w:after="0"/>
        <w:rPr>
          <w:rFonts w:ascii="Verdana" w:hAnsi="Verdana"/>
          <w:i/>
          <w:iCs/>
          <w:sz w:val="18"/>
          <w:szCs w:val="18"/>
        </w:rPr>
      </w:pPr>
      <w:r w:rsidRPr="00AA3505">
        <w:rPr>
          <w:rFonts w:ascii="Verdana" w:hAnsi="Verdana"/>
          <w:i/>
          <w:iCs/>
          <w:sz w:val="18"/>
          <w:szCs w:val="18"/>
        </w:rPr>
        <w:t>Omschrijving</w:t>
      </w:r>
    </w:p>
    <w:p w:rsidR="00AA3505" w:rsidP="00AA3505" w:rsidRDefault="00AA3505" w14:paraId="44487017" w14:textId="67FA7F22">
      <w:pPr>
        <w:spacing w:after="0"/>
        <w:rPr>
          <w:rFonts w:ascii="Verdana" w:hAnsi="Verdana"/>
          <w:sz w:val="18"/>
          <w:szCs w:val="18"/>
        </w:rPr>
      </w:pPr>
      <w:r>
        <w:rPr>
          <w:rFonts w:ascii="Verdana" w:hAnsi="Verdana"/>
          <w:sz w:val="18"/>
          <w:szCs w:val="18"/>
        </w:rPr>
        <w:t xml:space="preserve">Deze uitwerking houdt in dat </w:t>
      </w:r>
      <w:r w:rsidR="00B129D2">
        <w:rPr>
          <w:rFonts w:ascii="Verdana" w:hAnsi="Verdana"/>
          <w:sz w:val="18"/>
          <w:szCs w:val="18"/>
        </w:rPr>
        <w:t xml:space="preserve">de </w:t>
      </w:r>
      <w:proofErr w:type="spellStart"/>
      <w:r w:rsidR="00B129D2">
        <w:rPr>
          <w:rFonts w:ascii="Verdana" w:hAnsi="Verdana"/>
          <w:sz w:val="18"/>
          <w:szCs w:val="18"/>
        </w:rPr>
        <w:t>leegwaarderatio</w:t>
      </w:r>
      <w:proofErr w:type="spellEnd"/>
      <w:r w:rsidR="00B129D2">
        <w:rPr>
          <w:rFonts w:ascii="Verdana" w:hAnsi="Verdana"/>
          <w:sz w:val="18"/>
          <w:szCs w:val="18"/>
        </w:rPr>
        <w:t xml:space="preserve"> in box 3 in de Wet IB 2001 en de Successiewet 1956 wordt geactualiseerd per</w:t>
      </w:r>
      <w:r>
        <w:rPr>
          <w:rFonts w:ascii="Verdana" w:hAnsi="Verdana"/>
          <w:sz w:val="18"/>
          <w:szCs w:val="18"/>
        </w:rPr>
        <w:t xml:space="preserve"> 2026</w:t>
      </w:r>
      <w:r w:rsidR="00B129D2">
        <w:rPr>
          <w:rFonts w:ascii="Verdana" w:hAnsi="Verdana"/>
          <w:sz w:val="18"/>
          <w:szCs w:val="18"/>
        </w:rPr>
        <w:t xml:space="preserve">. </w:t>
      </w:r>
    </w:p>
    <w:p w:rsidR="00AA3505" w:rsidP="00AA3505" w:rsidRDefault="00AA3505" w14:paraId="31C1F549" w14:textId="63A4795D">
      <w:pPr>
        <w:spacing w:after="0"/>
        <w:rPr>
          <w:rFonts w:ascii="Verdana" w:hAnsi="Verdana"/>
          <w:sz w:val="18"/>
          <w:szCs w:val="18"/>
        </w:rPr>
      </w:pPr>
    </w:p>
    <w:p w:rsidRPr="00AA3505" w:rsidR="00AA3505" w:rsidP="00AA3505" w:rsidRDefault="00AA3505" w14:paraId="6947A4D8" w14:textId="4E44C0A9">
      <w:pPr>
        <w:spacing w:after="0"/>
        <w:rPr>
          <w:rFonts w:ascii="Verdana" w:hAnsi="Verdana"/>
          <w:i/>
          <w:iCs/>
          <w:sz w:val="18"/>
          <w:szCs w:val="18"/>
        </w:rPr>
      </w:pPr>
      <w:r w:rsidRPr="00AA3505">
        <w:rPr>
          <w:rFonts w:ascii="Verdana" w:hAnsi="Verdana"/>
          <w:i/>
          <w:iCs/>
          <w:sz w:val="18"/>
          <w:szCs w:val="18"/>
        </w:rPr>
        <w:t>Fiscaal-juridisch</w:t>
      </w:r>
    </w:p>
    <w:p w:rsidRPr="008647BA" w:rsidR="008D338A" w:rsidP="00750409" w:rsidRDefault="008D338A" w14:paraId="17D0264D" w14:textId="68728176">
      <w:pPr>
        <w:pStyle w:val="Lijstalinea"/>
        <w:numPr>
          <w:ilvl w:val="0"/>
          <w:numId w:val="3"/>
        </w:numPr>
        <w:spacing w:after="0"/>
        <w:rPr>
          <w:rFonts w:ascii="Verdana" w:hAnsi="Verdana" w:cstheme="majorHAnsi"/>
          <w:sz w:val="18"/>
          <w:szCs w:val="18"/>
        </w:rPr>
      </w:pPr>
      <w:r w:rsidRPr="008647BA">
        <w:rPr>
          <w:rFonts w:ascii="Verdana" w:hAnsi="Verdana" w:cstheme="majorHAnsi"/>
          <w:sz w:val="18"/>
          <w:szCs w:val="18"/>
        </w:rPr>
        <w:t>Voor box 3 in de</w:t>
      </w:r>
      <w:r w:rsidR="003B59D4">
        <w:rPr>
          <w:rFonts w:ascii="Verdana" w:hAnsi="Verdana" w:cstheme="majorHAnsi"/>
          <w:sz w:val="18"/>
          <w:szCs w:val="18"/>
        </w:rPr>
        <w:t xml:space="preserve"> Wet IB 2001</w:t>
      </w:r>
      <w:r w:rsidRPr="008647BA">
        <w:rPr>
          <w:rFonts w:ascii="Verdana" w:hAnsi="Verdana" w:cstheme="majorHAnsi"/>
          <w:sz w:val="18"/>
          <w:szCs w:val="18"/>
        </w:rPr>
        <w:t xml:space="preserve"> en voor de Successiewet </w:t>
      </w:r>
      <w:r w:rsidR="0054201F">
        <w:rPr>
          <w:rFonts w:ascii="Verdana" w:hAnsi="Verdana" w:cstheme="majorHAnsi"/>
          <w:sz w:val="18"/>
          <w:szCs w:val="18"/>
        </w:rPr>
        <w:t xml:space="preserve">1956 </w:t>
      </w:r>
      <w:r w:rsidRPr="008647BA">
        <w:rPr>
          <w:rFonts w:ascii="Verdana" w:hAnsi="Verdana" w:cstheme="majorHAnsi"/>
          <w:sz w:val="18"/>
          <w:szCs w:val="18"/>
        </w:rPr>
        <w:t>wordt de waarde van (andere dan eigen) woningen in beginsel vastgesteld op basis van de WOZ-waarde. De WOZ-waarde gaat uit van de waarde in vrij opleverbare staat. Hierbij wordt geen rekening gehouden met het feit dat een verhuurde staat gevolgen kan hebben voor de waarde.</w:t>
      </w:r>
      <w:r w:rsidRPr="008647BA">
        <w:rPr>
          <w:rFonts w:ascii="Verdana" w:hAnsi="Verdana"/>
          <w:sz w:val="18"/>
          <w:szCs w:val="18"/>
        </w:rPr>
        <w:t xml:space="preserve"> </w:t>
      </w:r>
      <w:r w:rsidRPr="008647BA">
        <w:rPr>
          <w:rFonts w:ascii="Verdana" w:hAnsi="Verdana" w:cstheme="majorHAnsi"/>
          <w:sz w:val="18"/>
          <w:szCs w:val="18"/>
        </w:rPr>
        <w:t xml:space="preserve">Daarom geldt voor bepaalde verhuursituaties, zowel voor de </w:t>
      </w:r>
      <w:r w:rsidR="003B59D4">
        <w:rPr>
          <w:rFonts w:ascii="Verdana" w:hAnsi="Verdana" w:cstheme="majorHAnsi"/>
          <w:sz w:val="18"/>
          <w:szCs w:val="18"/>
        </w:rPr>
        <w:t>Wet IB 2001</w:t>
      </w:r>
      <w:r w:rsidRPr="008647BA">
        <w:rPr>
          <w:rFonts w:ascii="Verdana" w:hAnsi="Verdana" w:cstheme="majorHAnsi"/>
          <w:sz w:val="18"/>
          <w:szCs w:val="18"/>
        </w:rPr>
        <w:t xml:space="preserve"> als voor de Successiewet</w:t>
      </w:r>
      <w:r w:rsidR="0054201F">
        <w:rPr>
          <w:rFonts w:ascii="Verdana" w:hAnsi="Verdana" w:cstheme="majorHAnsi"/>
          <w:sz w:val="18"/>
          <w:szCs w:val="18"/>
        </w:rPr>
        <w:t xml:space="preserve"> 1956</w:t>
      </w:r>
      <w:r w:rsidRPr="008647BA">
        <w:rPr>
          <w:rFonts w:ascii="Verdana" w:hAnsi="Verdana" w:cstheme="majorHAnsi"/>
          <w:sz w:val="18"/>
          <w:szCs w:val="18"/>
        </w:rPr>
        <w:t>, een afwijkende waarderingsregeling (</w:t>
      </w:r>
      <w:proofErr w:type="spellStart"/>
      <w:r w:rsidRPr="008647BA">
        <w:rPr>
          <w:rFonts w:ascii="Verdana" w:hAnsi="Verdana" w:cstheme="majorHAnsi"/>
          <w:sz w:val="18"/>
          <w:szCs w:val="18"/>
        </w:rPr>
        <w:t>leegwaarderatio</w:t>
      </w:r>
      <w:proofErr w:type="spellEnd"/>
      <w:r w:rsidRPr="008647BA">
        <w:rPr>
          <w:rFonts w:ascii="Verdana" w:hAnsi="Verdana" w:cstheme="majorHAnsi"/>
          <w:sz w:val="18"/>
          <w:szCs w:val="18"/>
        </w:rPr>
        <w:t>).</w:t>
      </w:r>
    </w:p>
    <w:p w:rsidRPr="008647BA" w:rsidR="00EA7DD6" w:rsidP="00EA7DD6" w:rsidRDefault="00EA7DD6" w14:paraId="2D51AA54" w14:textId="2AF45411">
      <w:pPr>
        <w:pStyle w:val="Lijstalinea"/>
        <w:numPr>
          <w:ilvl w:val="0"/>
          <w:numId w:val="3"/>
        </w:numPr>
        <w:spacing w:line="240" w:lineRule="auto"/>
        <w:rPr>
          <w:rFonts w:ascii="Verdana" w:hAnsi="Verdana"/>
          <w:sz w:val="18"/>
          <w:szCs w:val="18"/>
        </w:rPr>
      </w:pPr>
      <w:r w:rsidRPr="008647BA">
        <w:rPr>
          <w:rFonts w:ascii="Verdana" w:hAnsi="Verdana"/>
          <w:sz w:val="18"/>
          <w:szCs w:val="18"/>
        </w:rPr>
        <w:t xml:space="preserve">Voor deze afwijkende regeling wordt uitgegaan van een percentage van de WOZ-waarde van de woning dat wordt bepaald aan de hand van de huuropbrengst. </w:t>
      </w:r>
    </w:p>
    <w:p w:rsidR="008F6D57" w:rsidP="00694BFF" w:rsidRDefault="00694BFF" w14:paraId="363ABB1E" w14:textId="6E4B369B">
      <w:pPr>
        <w:pStyle w:val="Lijstalinea"/>
        <w:numPr>
          <w:ilvl w:val="0"/>
          <w:numId w:val="3"/>
        </w:numPr>
        <w:rPr>
          <w:rFonts w:ascii="Verdana" w:hAnsi="Verdana" w:cstheme="majorHAnsi"/>
          <w:sz w:val="18"/>
          <w:szCs w:val="18"/>
        </w:rPr>
      </w:pPr>
      <w:r w:rsidRPr="008F6D57">
        <w:rPr>
          <w:rFonts w:ascii="Verdana" w:hAnsi="Verdana" w:cstheme="majorHAnsi"/>
          <w:sz w:val="18"/>
          <w:szCs w:val="18"/>
        </w:rPr>
        <w:t xml:space="preserve">De huidige tabel van de </w:t>
      </w:r>
      <w:proofErr w:type="spellStart"/>
      <w:r w:rsidRPr="008F6D57">
        <w:rPr>
          <w:rFonts w:ascii="Verdana" w:hAnsi="Verdana" w:cstheme="majorHAnsi"/>
          <w:sz w:val="18"/>
          <w:szCs w:val="18"/>
        </w:rPr>
        <w:t>leegwaarderatio</w:t>
      </w:r>
      <w:proofErr w:type="spellEnd"/>
      <w:r w:rsidRPr="008F6D57">
        <w:rPr>
          <w:rFonts w:ascii="Verdana" w:hAnsi="Verdana" w:cstheme="majorHAnsi"/>
          <w:sz w:val="18"/>
          <w:szCs w:val="18"/>
        </w:rPr>
        <w:t xml:space="preserve"> is per 2023 geactualiseerd op basis van de laatst</w:t>
      </w:r>
      <w:r w:rsidR="00EA7DD6">
        <w:rPr>
          <w:rFonts w:ascii="Verdana" w:hAnsi="Verdana" w:cstheme="majorHAnsi"/>
          <w:sz w:val="18"/>
          <w:szCs w:val="18"/>
        </w:rPr>
        <w:t xml:space="preserve"> bekende</w:t>
      </w:r>
      <w:r w:rsidRPr="008F6D57">
        <w:rPr>
          <w:rFonts w:ascii="Verdana" w:hAnsi="Verdana" w:cstheme="majorHAnsi"/>
          <w:sz w:val="18"/>
          <w:szCs w:val="18"/>
        </w:rPr>
        <w:t xml:space="preserve"> gegevens die afkomstig zijn uit een extern onderzoek van SEO uit 2022. </w:t>
      </w:r>
    </w:p>
    <w:p w:rsidRPr="008F6D57" w:rsidR="00694BFF" w:rsidP="00694BFF" w:rsidRDefault="008F6D57" w14:paraId="25530A70" w14:textId="7A49E704">
      <w:pPr>
        <w:pStyle w:val="Lijstalinea"/>
        <w:numPr>
          <w:ilvl w:val="0"/>
          <w:numId w:val="3"/>
        </w:numPr>
        <w:rPr>
          <w:rFonts w:ascii="Verdana" w:hAnsi="Verdana" w:cstheme="majorHAnsi"/>
          <w:sz w:val="18"/>
          <w:szCs w:val="18"/>
        </w:rPr>
      </w:pPr>
      <w:r w:rsidRPr="008F6D57">
        <w:rPr>
          <w:rFonts w:ascii="Verdana" w:hAnsi="Verdana" w:cstheme="majorHAnsi"/>
          <w:sz w:val="18"/>
          <w:szCs w:val="18"/>
        </w:rPr>
        <w:t xml:space="preserve">Uit dit onderzoeksrapport blijkt dat de </w:t>
      </w:r>
      <w:r w:rsidR="008B7C6E">
        <w:rPr>
          <w:rFonts w:ascii="Verdana" w:hAnsi="Verdana" w:cstheme="majorHAnsi"/>
          <w:sz w:val="18"/>
          <w:szCs w:val="18"/>
        </w:rPr>
        <w:t xml:space="preserve">destijds geldende </w:t>
      </w:r>
      <w:r w:rsidRPr="008F6D57">
        <w:rPr>
          <w:rFonts w:ascii="Verdana" w:hAnsi="Verdana" w:cstheme="majorHAnsi"/>
          <w:sz w:val="18"/>
          <w:szCs w:val="18"/>
        </w:rPr>
        <w:t xml:space="preserve">percentages in de </w:t>
      </w:r>
      <w:proofErr w:type="spellStart"/>
      <w:r w:rsidRPr="008F6D57">
        <w:rPr>
          <w:rFonts w:ascii="Verdana" w:hAnsi="Verdana" w:cstheme="majorHAnsi"/>
          <w:sz w:val="18"/>
          <w:szCs w:val="18"/>
        </w:rPr>
        <w:t>leegwaarderatiotabel</w:t>
      </w:r>
      <w:proofErr w:type="spellEnd"/>
      <w:r w:rsidRPr="008F6D57">
        <w:rPr>
          <w:rFonts w:ascii="Verdana" w:hAnsi="Verdana" w:cstheme="majorHAnsi"/>
          <w:sz w:val="18"/>
          <w:szCs w:val="18"/>
        </w:rPr>
        <w:t xml:space="preserve"> met </w:t>
      </w:r>
      <w:r w:rsidR="0090566A">
        <w:rPr>
          <w:rFonts w:ascii="Verdana" w:hAnsi="Verdana" w:cstheme="majorHAnsi"/>
          <w:sz w:val="18"/>
          <w:szCs w:val="18"/>
        </w:rPr>
        <w:t>28</w:t>
      </w:r>
      <w:r w:rsidRPr="008F6D57">
        <w:rPr>
          <w:rFonts w:ascii="Verdana" w:hAnsi="Verdana" w:cstheme="majorHAnsi"/>
          <w:sz w:val="18"/>
          <w:szCs w:val="18"/>
        </w:rPr>
        <w:t xml:space="preserve"> procentpunten omhoog moe</w:t>
      </w:r>
      <w:r>
        <w:rPr>
          <w:rFonts w:ascii="Verdana" w:hAnsi="Verdana" w:cstheme="majorHAnsi"/>
          <w:sz w:val="18"/>
          <w:szCs w:val="18"/>
        </w:rPr>
        <w:t>s</w:t>
      </w:r>
      <w:r w:rsidRPr="008F6D57">
        <w:rPr>
          <w:rFonts w:ascii="Verdana" w:hAnsi="Verdana" w:cstheme="majorHAnsi"/>
          <w:sz w:val="18"/>
          <w:szCs w:val="18"/>
        </w:rPr>
        <w:t>ten om ze actueel te maken, met een maximum van 100</w:t>
      </w:r>
      <w:r w:rsidR="00EA7DD6">
        <w:rPr>
          <w:rFonts w:ascii="Verdana" w:hAnsi="Verdana" w:cstheme="majorHAnsi"/>
          <w:sz w:val="18"/>
          <w:szCs w:val="18"/>
        </w:rPr>
        <w:t>%</w:t>
      </w:r>
      <w:r w:rsidRPr="008F6D57">
        <w:rPr>
          <w:rFonts w:ascii="Verdana" w:hAnsi="Verdana" w:cstheme="majorHAnsi"/>
          <w:sz w:val="18"/>
          <w:szCs w:val="18"/>
        </w:rPr>
        <w:t xml:space="preserve">. Deze inschatting </w:t>
      </w:r>
      <w:r w:rsidR="008B7C6E">
        <w:rPr>
          <w:rFonts w:ascii="Verdana" w:hAnsi="Verdana" w:cstheme="majorHAnsi"/>
          <w:sz w:val="18"/>
          <w:szCs w:val="18"/>
        </w:rPr>
        <w:t>was</w:t>
      </w:r>
      <w:r w:rsidRPr="008F6D57">
        <w:rPr>
          <w:rFonts w:ascii="Verdana" w:hAnsi="Verdana" w:cstheme="majorHAnsi"/>
          <w:sz w:val="18"/>
          <w:szCs w:val="18"/>
        </w:rPr>
        <w:t xml:space="preserve"> gebaseerd op de verhouding tussen verkoopprijs en WOZ-waarde van woningen die tussen 2015 en 2020 in verhuurde </w:t>
      </w:r>
      <w:r w:rsidR="0054201F">
        <w:rPr>
          <w:rFonts w:ascii="Verdana" w:hAnsi="Verdana" w:cstheme="majorHAnsi"/>
          <w:sz w:val="18"/>
          <w:szCs w:val="18"/>
        </w:rPr>
        <w:t>staat</w:t>
      </w:r>
      <w:r w:rsidRPr="008F6D57" w:rsidR="0054201F">
        <w:rPr>
          <w:rFonts w:ascii="Verdana" w:hAnsi="Verdana" w:cstheme="majorHAnsi"/>
          <w:sz w:val="18"/>
          <w:szCs w:val="18"/>
        </w:rPr>
        <w:t xml:space="preserve"> </w:t>
      </w:r>
      <w:r w:rsidRPr="008F6D57">
        <w:rPr>
          <w:rFonts w:ascii="Verdana" w:hAnsi="Verdana" w:cstheme="majorHAnsi"/>
          <w:sz w:val="18"/>
          <w:szCs w:val="18"/>
        </w:rPr>
        <w:t>zijn verkocht.</w:t>
      </w:r>
    </w:p>
    <w:p w:rsidR="00D80919" w:rsidP="00D80919" w:rsidRDefault="00D80919" w14:paraId="325B3F2D" w14:textId="14D394AC">
      <w:pPr>
        <w:pStyle w:val="Lijstalinea"/>
        <w:numPr>
          <w:ilvl w:val="0"/>
          <w:numId w:val="3"/>
        </w:numPr>
        <w:rPr>
          <w:rFonts w:ascii="Verdana" w:hAnsi="Verdana" w:cstheme="majorHAnsi"/>
          <w:sz w:val="18"/>
          <w:szCs w:val="18"/>
        </w:rPr>
      </w:pPr>
      <w:r w:rsidRPr="008647BA">
        <w:rPr>
          <w:rFonts w:ascii="Verdana" w:hAnsi="Verdana" w:cstheme="majorHAnsi"/>
          <w:sz w:val="18"/>
          <w:szCs w:val="18"/>
        </w:rPr>
        <w:t xml:space="preserve">De </w:t>
      </w:r>
      <w:proofErr w:type="spellStart"/>
      <w:r w:rsidRPr="008647BA">
        <w:rPr>
          <w:rFonts w:ascii="Verdana" w:hAnsi="Verdana" w:cstheme="majorHAnsi"/>
          <w:sz w:val="18"/>
          <w:szCs w:val="18"/>
        </w:rPr>
        <w:t>leegwaarderatio</w:t>
      </w:r>
      <w:proofErr w:type="spellEnd"/>
      <w:r w:rsidRPr="008647BA">
        <w:rPr>
          <w:rFonts w:ascii="Verdana" w:hAnsi="Verdana" w:cstheme="majorHAnsi"/>
          <w:sz w:val="18"/>
          <w:szCs w:val="18"/>
        </w:rPr>
        <w:t xml:space="preserve"> is </w:t>
      </w:r>
      <w:r w:rsidR="0090566A">
        <w:rPr>
          <w:rFonts w:ascii="Verdana" w:hAnsi="Verdana" w:cstheme="majorHAnsi"/>
          <w:sz w:val="18"/>
          <w:szCs w:val="18"/>
        </w:rPr>
        <w:t xml:space="preserve">een forfait waarmee wordt getracht de werkelijkheid te benaderen. Het is dus </w:t>
      </w:r>
      <w:r w:rsidRPr="008647BA">
        <w:rPr>
          <w:rFonts w:ascii="Verdana" w:hAnsi="Verdana" w:cstheme="majorHAnsi"/>
          <w:sz w:val="18"/>
          <w:szCs w:val="18"/>
        </w:rPr>
        <w:t xml:space="preserve">geen knop waar aan gedraaid kan worden. </w:t>
      </w:r>
      <w:r w:rsidRPr="00BE21E1">
        <w:rPr>
          <w:rFonts w:ascii="Verdana" w:hAnsi="Verdana" w:cstheme="majorHAnsi"/>
          <w:sz w:val="18"/>
          <w:szCs w:val="18"/>
        </w:rPr>
        <w:t xml:space="preserve">Het hanteren van een andere </w:t>
      </w:r>
      <w:proofErr w:type="spellStart"/>
      <w:r w:rsidRPr="00BE21E1">
        <w:rPr>
          <w:rFonts w:ascii="Verdana" w:hAnsi="Verdana" w:cstheme="majorHAnsi"/>
          <w:sz w:val="18"/>
          <w:szCs w:val="18"/>
        </w:rPr>
        <w:t>leegwaarderatio</w:t>
      </w:r>
      <w:proofErr w:type="spellEnd"/>
      <w:r w:rsidR="0054201F">
        <w:rPr>
          <w:rFonts w:ascii="Verdana" w:hAnsi="Verdana" w:cstheme="majorHAnsi"/>
          <w:sz w:val="18"/>
          <w:szCs w:val="18"/>
        </w:rPr>
        <w:t>-</w:t>
      </w:r>
      <w:r w:rsidRPr="00BE21E1">
        <w:rPr>
          <w:rFonts w:ascii="Verdana" w:hAnsi="Verdana" w:cstheme="majorHAnsi"/>
          <w:sz w:val="18"/>
          <w:szCs w:val="18"/>
        </w:rPr>
        <w:t>tabel kan alleen na nieuw onderzoek. De uitkomsten van dit onderzoek zijn niet vrijblijvend</w:t>
      </w:r>
      <w:r w:rsidRPr="003A5BD7" w:rsidR="003A5BD7">
        <w:t xml:space="preserve"> </w:t>
      </w:r>
      <w:r w:rsidRPr="003A5BD7" w:rsidR="003A5BD7">
        <w:rPr>
          <w:rFonts w:ascii="Verdana" w:hAnsi="Verdana" w:cstheme="majorHAnsi"/>
          <w:sz w:val="18"/>
          <w:szCs w:val="18"/>
        </w:rPr>
        <w:t xml:space="preserve">en kunnen zowel leiden tot verhoging of verlaging van de </w:t>
      </w:r>
      <w:proofErr w:type="spellStart"/>
      <w:r w:rsidRPr="003A5BD7" w:rsidR="003A5BD7">
        <w:rPr>
          <w:rFonts w:ascii="Verdana" w:hAnsi="Verdana" w:cstheme="majorHAnsi"/>
          <w:sz w:val="18"/>
          <w:szCs w:val="18"/>
        </w:rPr>
        <w:t>leegwaarderatio</w:t>
      </w:r>
      <w:proofErr w:type="spellEnd"/>
      <w:r w:rsidRPr="00BE21E1">
        <w:rPr>
          <w:rFonts w:ascii="Verdana" w:hAnsi="Verdana" w:cstheme="majorHAnsi"/>
          <w:sz w:val="18"/>
          <w:szCs w:val="18"/>
        </w:rPr>
        <w:t>.</w:t>
      </w:r>
    </w:p>
    <w:p w:rsidRPr="00D80919" w:rsidR="00D80919" w:rsidP="00D80919" w:rsidRDefault="00D80919" w14:paraId="0D9ADB01" w14:textId="0338DDB5">
      <w:pPr>
        <w:pStyle w:val="Lijstalinea"/>
        <w:numPr>
          <w:ilvl w:val="0"/>
          <w:numId w:val="3"/>
        </w:numPr>
        <w:rPr>
          <w:rFonts w:ascii="Verdana" w:hAnsi="Verdana" w:cstheme="majorHAnsi"/>
          <w:sz w:val="18"/>
          <w:szCs w:val="18"/>
        </w:rPr>
      </w:pPr>
      <w:r w:rsidRPr="00D80919">
        <w:rPr>
          <w:rFonts w:ascii="Verdana" w:hAnsi="Verdana" w:cstheme="majorHAnsi"/>
          <w:sz w:val="18"/>
          <w:szCs w:val="18"/>
        </w:rPr>
        <w:t xml:space="preserve">Het </w:t>
      </w:r>
      <w:r>
        <w:rPr>
          <w:rFonts w:ascii="Verdana" w:hAnsi="Verdana" w:cstheme="majorHAnsi"/>
          <w:sz w:val="18"/>
          <w:szCs w:val="18"/>
        </w:rPr>
        <w:t xml:space="preserve">vorige </w:t>
      </w:r>
      <w:r w:rsidRPr="00D80919">
        <w:rPr>
          <w:rFonts w:ascii="Verdana" w:hAnsi="Verdana" w:cstheme="majorHAnsi"/>
          <w:sz w:val="18"/>
          <w:szCs w:val="18"/>
        </w:rPr>
        <w:t xml:space="preserve">kabinet </w:t>
      </w:r>
      <w:r>
        <w:rPr>
          <w:rFonts w:ascii="Verdana" w:hAnsi="Verdana" w:cstheme="majorHAnsi"/>
          <w:sz w:val="18"/>
          <w:szCs w:val="18"/>
        </w:rPr>
        <w:t>heeft aangegeven dat het</w:t>
      </w:r>
      <w:r w:rsidRPr="00D80919">
        <w:rPr>
          <w:rFonts w:ascii="Verdana" w:hAnsi="Verdana" w:cstheme="majorHAnsi"/>
          <w:sz w:val="18"/>
          <w:szCs w:val="18"/>
        </w:rPr>
        <w:t xml:space="preserve"> de ontwikkelingen op de woningmarkt in het oog </w:t>
      </w:r>
      <w:r>
        <w:rPr>
          <w:rFonts w:ascii="Verdana" w:hAnsi="Verdana" w:cstheme="majorHAnsi"/>
          <w:sz w:val="18"/>
          <w:szCs w:val="18"/>
        </w:rPr>
        <w:t xml:space="preserve">zal </w:t>
      </w:r>
      <w:r w:rsidRPr="00D80919">
        <w:rPr>
          <w:rFonts w:ascii="Verdana" w:hAnsi="Verdana" w:cstheme="majorHAnsi"/>
          <w:sz w:val="18"/>
          <w:szCs w:val="18"/>
        </w:rPr>
        <w:t xml:space="preserve">blijven houden en </w:t>
      </w:r>
      <w:r w:rsidR="003B59D4">
        <w:rPr>
          <w:rFonts w:ascii="Verdana" w:hAnsi="Verdana" w:cstheme="majorHAnsi"/>
          <w:sz w:val="18"/>
          <w:szCs w:val="18"/>
        </w:rPr>
        <w:t>als dat</w:t>
      </w:r>
      <w:r w:rsidRPr="00D80919">
        <w:rPr>
          <w:rFonts w:ascii="Verdana" w:hAnsi="Verdana" w:cstheme="majorHAnsi"/>
          <w:sz w:val="18"/>
          <w:szCs w:val="18"/>
        </w:rPr>
        <w:t xml:space="preserve"> nodig blijkt</w:t>
      </w:r>
      <w:r w:rsidR="003B59D4">
        <w:rPr>
          <w:rFonts w:ascii="Verdana" w:hAnsi="Verdana" w:cstheme="majorHAnsi"/>
          <w:sz w:val="18"/>
          <w:szCs w:val="18"/>
        </w:rPr>
        <w:t xml:space="preserve">, </w:t>
      </w:r>
      <w:r w:rsidRPr="00D80919">
        <w:rPr>
          <w:rFonts w:ascii="Verdana" w:hAnsi="Verdana" w:cstheme="majorHAnsi"/>
          <w:sz w:val="18"/>
          <w:szCs w:val="18"/>
        </w:rPr>
        <w:t>nader onderzoek</w:t>
      </w:r>
      <w:r w:rsidR="0054201F">
        <w:rPr>
          <w:rFonts w:ascii="Verdana" w:hAnsi="Verdana" w:cstheme="majorHAnsi"/>
          <w:sz w:val="18"/>
          <w:szCs w:val="18"/>
        </w:rPr>
        <w:t xml:space="preserve"> te</w:t>
      </w:r>
      <w:r w:rsidRPr="00D80919">
        <w:rPr>
          <w:rFonts w:ascii="Verdana" w:hAnsi="Verdana" w:cstheme="majorHAnsi"/>
          <w:sz w:val="18"/>
          <w:szCs w:val="18"/>
        </w:rPr>
        <w:t xml:space="preserve"> laten doen of en in hoeverre de regeling </w:t>
      </w:r>
      <w:proofErr w:type="spellStart"/>
      <w:r w:rsidRPr="00D80919">
        <w:rPr>
          <w:rFonts w:ascii="Verdana" w:hAnsi="Verdana" w:cstheme="majorHAnsi"/>
          <w:sz w:val="18"/>
          <w:szCs w:val="18"/>
        </w:rPr>
        <w:t>leegwaarderatio</w:t>
      </w:r>
      <w:proofErr w:type="spellEnd"/>
      <w:r w:rsidRPr="00D80919">
        <w:rPr>
          <w:rFonts w:ascii="Verdana" w:hAnsi="Verdana" w:cstheme="majorHAnsi"/>
          <w:sz w:val="18"/>
          <w:szCs w:val="18"/>
        </w:rPr>
        <w:t xml:space="preserve"> nog actueel is. </w:t>
      </w:r>
    </w:p>
    <w:p w:rsidR="00B129D2" w:rsidP="00B129D2" w:rsidRDefault="00BE21E1" w14:paraId="1BC7B7EA" w14:textId="62B7E0A2">
      <w:pPr>
        <w:pStyle w:val="Lijstalinea"/>
        <w:numPr>
          <w:ilvl w:val="0"/>
          <w:numId w:val="3"/>
        </w:numPr>
        <w:rPr>
          <w:rFonts w:ascii="Verdana" w:hAnsi="Verdana" w:cstheme="majorHAnsi"/>
          <w:sz w:val="18"/>
          <w:szCs w:val="18"/>
        </w:rPr>
      </w:pPr>
      <w:r>
        <w:rPr>
          <w:rFonts w:ascii="Verdana" w:hAnsi="Verdana" w:cstheme="majorHAnsi"/>
          <w:sz w:val="18"/>
          <w:szCs w:val="18"/>
        </w:rPr>
        <w:t>Vanwege het</w:t>
      </w:r>
      <w:r w:rsidRPr="00BE21E1" w:rsidR="00B129D2">
        <w:rPr>
          <w:rFonts w:ascii="Verdana" w:hAnsi="Verdana" w:cstheme="majorHAnsi"/>
          <w:sz w:val="18"/>
          <w:szCs w:val="18"/>
        </w:rPr>
        <w:t xml:space="preserve"> Nederlandse Herstel- en Veerkrachtplan (HVP) </w:t>
      </w:r>
      <w:r>
        <w:rPr>
          <w:rFonts w:ascii="Verdana" w:hAnsi="Verdana" w:cstheme="majorHAnsi"/>
          <w:sz w:val="18"/>
          <w:szCs w:val="18"/>
        </w:rPr>
        <w:t xml:space="preserve">kan het aanpassen van de </w:t>
      </w:r>
      <w:proofErr w:type="spellStart"/>
      <w:r>
        <w:rPr>
          <w:rFonts w:ascii="Verdana" w:hAnsi="Verdana" w:cstheme="majorHAnsi"/>
          <w:sz w:val="18"/>
          <w:szCs w:val="18"/>
        </w:rPr>
        <w:t>leegwaarderatio</w:t>
      </w:r>
      <w:proofErr w:type="spellEnd"/>
      <w:r>
        <w:rPr>
          <w:rFonts w:ascii="Verdana" w:hAnsi="Verdana" w:cstheme="majorHAnsi"/>
          <w:sz w:val="18"/>
          <w:szCs w:val="18"/>
        </w:rPr>
        <w:t xml:space="preserve"> financiële gevolgen hebben (zie hierna onder ‘Budgettair’).</w:t>
      </w:r>
    </w:p>
    <w:p w:rsidRPr="00923587" w:rsidR="00923587" w:rsidP="00AA3505" w:rsidRDefault="00D80919" w14:paraId="3B99302D" w14:textId="717389FB">
      <w:pPr>
        <w:pStyle w:val="Lijstalinea"/>
        <w:numPr>
          <w:ilvl w:val="0"/>
          <w:numId w:val="3"/>
        </w:numPr>
        <w:spacing w:after="0" w:line="240" w:lineRule="auto"/>
        <w:rPr>
          <w:rFonts w:ascii="Verdana" w:hAnsi="Verdana"/>
          <w:i/>
          <w:iCs/>
          <w:sz w:val="18"/>
          <w:szCs w:val="18"/>
        </w:rPr>
      </w:pPr>
      <w:r w:rsidRPr="00D80919">
        <w:rPr>
          <w:rFonts w:ascii="Verdana" w:hAnsi="Verdana"/>
          <w:sz w:val="18"/>
          <w:szCs w:val="18"/>
        </w:rPr>
        <w:t xml:space="preserve">Belastingplichtigen kunnen nu ook al een lagere waarde hanteren dan de waarde berekend aan de hand van de </w:t>
      </w:r>
      <w:proofErr w:type="spellStart"/>
      <w:r w:rsidRPr="00D80919">
        <w:rPr>
          <w:rFonts w:ascii="Verdana" w:hAnsi="Verdana"/>
          <w:sz w:val="18"/>
          <w:szCs w:val="18"/>
        </w:rPr>
        <w:t>leegwaarderatio</w:t>
      </w:r>
      <w:proofErr w:type="spellEnd"/>
      <w:r w:rsidRPr="00D80919">
        <w:rPr>
          <w:rFonts w:ascii="Verdana" w:hAnsi="Verdana"/>
          <w:sz w:val="18"/>
          <w:szCs w:val="18"/>
        </w:rPr>
        <w:t xml:space="preserve"> wanneer de waarde in het economische verkeer ten minste 10% lager is. Deze regeling kan namelijk volgens de Hoge Raad</w:t>
      </w:r>
      <w:r w:rsidRPr="008647BA">
        <w:rPr>
          <w:rStyle w:val="Voetnootmarkering"/>
          <w:rFonts w:ascii="Verdana" w:hAnsi="Verdana"/>
          <w:sz w:val="18"/>
          <w:szCs w:val="18"/>
          <w:lang w:eastAsia="nl-NL"/>
        </w:rPr>
        <w:footnoteReference w:id="1"/>
      </w:r>
      <w:r w:rsidRPr="00D80919">
        <w:rPr>
          <w:rFonts w:ascii="Verdana" w:hAnsi="Verdana"/>
          <w:sz w:val="18"/>
          <w:szCs w:val="18"/>
        </w:rPr>
        <w:t xml:space="preserve"> zowel voor de </w:t>
      </w:r>
      <w:r w:rsidR="003159E4">
        <w:rPr>
          <w:rFonts w:ascii="Verdana" w:hAnsi="Verdana"/>
          <w:sz w:val="18"/>
          <w:szCs w:val="18"/>
        </w:rPr>
        <w:t>Wet IB 2001</w:t>
      </w:r>
      <w:r w:rsidRPr="00D80919">
        <w:rPr>
          <w:rFonts w:ascii="Verdana" w:hAnsi="Verdana"/>
          <w:sz w:val="18"/>
          <w:szCs w:val="18"/>
        </w:rPr>
        <w:t xml:space="preserve"> als voor de </w:t>
      </w:r>
      <w:r w:rsidR="003159E4">
        <w:rPr>
          <w:rFonts w:ascii="Verdana" w:hAnsi="Verdana"/>
          <w:sz w:val="18"/>
          <w:szCs w:val="18"/>
        </w:rPr>
        <w:t>Successiewet 1956</w:t>
      </w:r>
      <w:r w:rsidRPr="00D80919">
        <w:rPr>
          <w:rFonts w:ascii="Verdana" w:hAnsi="Verdana"/>
          <w:sz w:val="18"/>
          <w:szCs w:val="18"/>
        </w:rPr>
        <w:t xml:space="preserve"> tot een resultaat leiden dat de wetgever niet voor ogen kan hebben gehad. Als </w:t>
      </w:r>
      <w:bookmarkStart w:name="_Hlk171587748" w:id="0"/>
      <w:r w:rsidRPr="00D80919">
        <w:rPr>
          <w:rFonts w:ascii="Verdana" w:hAnsi="Verdana"/>
          <w:sz w:val="18"/>
          <w:szCs w:val="18"/>
        </w:rPr>
        <w:t xml:space="preserve">de volgens de </w:t>
      </w:r>
      <w:proofErr w:type="spellStart"/>
      <w:r w:rsidRPr="00D80919">
        <w:rPr>
          <w:rFonts w:ascii="Verdana" w:hAnsi="Verdana"/>
          <w:sz w:val="18"/>
          <w:szCs w:val="18"/>
        </w:rPr>
        <w:t>leegwaarderatio</w:t>
      </w:r>
      <w:proofErr w:type="spellEnd"/>
      <w:r w:rsidRPr="00D80919">
        <w:rPr>
          <w:rFonts w:ascii="Verdana" w:hAnsi="Verdana"/>
          <w:sz w:val="18"/>
          <w:szCs w:val="18"/>
        </w:rPr>
        <w:t xml:space="preserve"> berekende waarde van de verhuurde woning </w:t>
      </w:r>
      <w:bookmarkEnd w:id="0"/>
      <w:r w:rsidRPr="00D80919">
        <w:rPr>
          <w:rFonts w:ascii="Verdana" w:hAnsi="Verdana"/>
          <w:sz w:val="18"/>
          <w:szCs w:val="18"/>
        </w:rPr>
        <w:t>10% of meer hoger is dan de waarde in het economische verkeer van die woning, wordt volgens de Hoge Raad niet voldaan aan de doelstelling van de wetgever, te weten een zo goed mogelijke benadering van</w:t>
      </w:r>
      <w:r w:rsidRPr="00D80919">
        <w:rPr>
          <w:rFonts w:ascii="Verdana" w:hAnsi="Verdana"/>
          <w:color w:val="000000"/>
          <w:sz w:val="18"/>
          <w:szCs w:val="18"/>
          <w:shd w:val="clear" w:color="auto" w:fill="FFFFFF"/>
        </w:rPr>
        <w:t xml:space="preserve"> de waarde in het economische verkeer</w:t>
      </w:r>
      <w:r w:rsidR="0054201F">
        <w:rPr>
          <w:rFonts w:ascii="Verdana" w:hAnsi="Verdana"/>
          <w:color w:val="000000"/>
          <w:sz w:val="18"/>
          <w:szCs w:val="18"/>
          <w:shd w:val="clear" w:color="auto" w:fill="FFFFFF"/>
        </w:rPr>
        <w:t xml:space="preserve"> waarbij rekening wordt gehouden met de verhuurde staat van een woning</w:t>
      </w:r>
      <w:r w:rsidRPr="00D80919">
        <w:rPr>
          <w:rFonts w:ascii="Verdana" w:hAnsi="Verdana"/>
          <w:sz w:val="18"/>
          <w:szCs w:val="18"/>
        </w:rPr>
        <w:t xml:space="preserve">. Daarom moet in dat geval worden uitgegaan van de waarde in het economische verkeer van de verhuurde woning op de WOZ-waardepeildatum in plaats van uit te gaan van de volgens de </w:t>
      </w:r>
      <w:proofErr w:type="spellStart"/>
      <w:r w:rsidRPr="00D80919">
        <w:rPr>
          <w:rFonts w:ascii="Verdana" w:hAnsi="Verdana"/>
          <w:sz w:val="18"/>
          <w:szCs w:val="18"/>
        </w:rPr>
        <w:t>leegwaarderatio</w:t>
      </w:r>
      <w:proofErr w:type="spellEnd"/>
      <w:r w:rsidRPr="00D80919">
        <w:rPr>
          <w:rFonts w:ascii="Verdana" w:hAnsi="Verdana"/>
          <w:sz w:val="18"/>
          <w:szCs w:val="18"/>
        </w:rPr>
        <w:t xml:space="preserve"> berekende waarde.</w:t>
      </w:r>
    </w:p>
    <w:p w:rsidRPr="003159E4" w:rsidR="003159E4" w:rsidP="00AA3505" w:rsidRDefault="003159E4" w14:paraId="76011C59" w14:textId="77777777">
      <w:pPr>
        <w:pStyle w:val="Lijstalinea"/>
        <w:numPr>
          <w:ilvl w:val="0"/>
          <w:numId w:val="3"/>
        </w:numPr>
        <w:spacing w:after="0" w:line="240" w:lineRule="auto"/>
        <w:rPr>
          <w:rFonts w:ascii="Verdana" w:hAnsi="Verdana"/>
          <w:i/>
          <w:iCs/>
          <w:sz w:val="18"/>
          <w:szCs w:val="18"/>
        </w:rPr>
      </w:pPr>
      <w:r w:rsidRPr="003159E4">
        <w:rPr>
          <w:rFonts w:ascii="Verdana" w:hAnsi="Verdana"/>
          <w:sz w:val="18"/>
          <w:szCs w:val="18"/>
        </w:rPr>
        <w:t xml:space="preserve">Overeenkomstig de genoemde arresten van de Hoge Raad wordt van de belastingplichtige verlangd dat hij stelt en in geval van gemotiveerde betwisting door de inspecteur ook aannemelijk maakt dat de volgens de </w:t>
      </w:r>
      <w:proofErr w:type="spellStart"/>
      <w:r w:rsidRPr="003159E4">
        <w:rPr>
          <w:rFonts w:ascii="Verdana" w:hAnsi="Verdana"/>
          <w:sz w:val="18"/>
          <w:szCs w:val="18"/>
        </w:rPr>
        <w:t>leegwaarderatio</w:t>
      </w:r>
      <w:proofErr w:type="spellEnd"/>
      <w:r w:rsidRPr="003159E4">
        <w:rPr>
          <w:rFonts w:ascii="Verdana" w:hAnsi="Verdana"/>
          <w:sz w:val="18"/>
          <w:szCs w:val="18"/>
        </w:rPr>
        <w:t xml:space="preserve"> vastgestelde waarde van de verhuurde woning 10% of meer hoger is dan de waarde in het economische verkeer van die woning in verhuurde staat op de WOZ-waardepeildatum.</w:t>
      </w:r>
    </w:p>
    <w:p w:rsidRPr="00D80919" w:rsidR="008D338A" w:rsidP="00AA3505" w:rsidRDefault="00923587" w14:paraId="711EAEEB" w14:textId="7A7BAF4D">
      <w:pPr>
        <w:pStyle w:val="Lijstalinea"/>
        <w:numPr>
          <w:ilvl w:val="0"/>
          <w:numId w:val="3"/>
        </w:numPr>
        <w:spacing w:after="0" w:line="240" w:lineRule="auto"/>
        <w:rPr>
          <w:rFonts w:ascii="Verdana" w:hAnsi="Verdana"/>
          <w:i/>
          <w:iCs/>
          <w:sz w:val="18"/>
          <w:szCs w:val="18"/>
        </w:rPr>
      </w:pPr>
      <w:r w:rsidRPr="00923587">
        <w:rPr>
          <w:rFonts w:ascii="Verdana" w:hAnsi="Verdana"/>
          <w:sz w:val="18"/>
          <w:szCs w:val="18"/>
        </w:rPr>
        <w:t xml:space="preserve">Mocht uit onderzoek blijken dat de </w:t>
      </w:r>
      <w:proofErr w:type="spellStart"/>
      <w:r>
        <w:rPr>
          <w:rFonts w:ascii="Verdana" w:hAnsi="Verdana"/>
          <w:sz w:val="18"/>
          <w:szCs w:val="18"/>
        </w:rPr>
        <w:t>leegwaarderatio</w:t>
      </w:r>
      <w:proofErr w:type="spellEnd"/>
      <w:r w:rsidRPr="00923587">
        <w:rPr>
          <w:rFonts w:ascii="Verdana" w:hAnsi="Verdana"/>
          <w:sz w:val="18"/>
          <w:szCs w:val="18"/>
        </w:rPr>
        <w:t xml:space="preserve"> verlaag</w:t>
      </w:r>
      <w:r>
        <w:rPr>
          <w:rFonts w:ascii="Verdana" w:hAnsi="Verdana"/>
          <w:sz w:val="18"/>
          <w:szCs w:val="18"/>
        </w:rPr>
        <w:t>d</w:t>
      </w:r>
      <w:r w:rsidRPr="00923587">
        <w:rPr>
          <w:rFonts w:ascii="Verdana" w:hAnsi="Verdana"/>
          <w:sz w:val="18"/>
          <w:szCs w:val="18"/>
        </w:rPr>
        <w:t xml:space="preserve"> dient te worden, dan zal een aanpass</w:t>
      </w:r>
      <w:r>
        <w:rPr>
          <w:rFonts w:ascii="Verdana" w:hAnsi="Verdana"/>
          <w:sz w:val="18"/>
          <w:szCs w:val="18"/>
        </w:rPr>
        <w:t>i</w:t>
      </w:r>
      <w:r w:rsidRPr="00923587">
        <w:rPr>
          <w:rFonts w:ascii="Verdana" w:hAnsi="Verdana"/>
          <w:sz w:val="18"/>
          <w:szCs w:val="18"/>
        </w:rPr>
        <w:t xml:space="preserve">ng van de </w:t>
      </w:r>
      <w:proofErr w:type="spellStart"/>
      <w:r>
        <w:rPr>
          <w:rFonts w:ascii="Verdana" w:hAnsi="Verdana"/>
          <w:sz w:val="18"/>
          <w:szCs w:val="18"/>
        </w:rPr>
        <w:t>leegwaarderatio</w:t>
      </w:r>
      <w:proofErr w:type="spellEnd"/>
      <w:r w:rsidRPr="00923587">
        <w:rPr>
          <w:rFonts w:ascii="Verdana" w:hAnsi="Verdana"/>
          <w:sz w:val="18"/>
          <w:szCs w:val="18"/>
        </w:rPr>
        <w:t xml:space="preserve"> direct aangrijpen op de groep box</w:t>
      </w:r>
      <w:r>
        <w:rPr>
          <w:rFonts w:ascii="Verdana" w:hAnsi="Verdana"/>
          <w:sz w:val="18"/>
          <w:szCs w:val="18"/>
        </w:rPr>
        <w:t> </w:t>
      </w:r>
      <w:r w:rsidRPr="00923587">
        <w:rPr>
          <w:rFonts w:ascii="Verdana" w:hAnsi="Verdana"/>
          <w:sz w:val="18"/>
          <w:szCs w:val="18"/>
        </w:rPr>
        <w:t>3</w:t>
      </w:r>
      <w:r>
        <w:rPr>
          <w:rFonts w:ascii="Verdana" w:hAnsi="Verdana"/>
          <w:sz w:val="18"/>
          <w:szCs w:val="18"/>
        </w:rPr>
        <w:t>-</w:t>
      </w:r>
      <w:r w:rsidRPr="00923587">
        <w:rPr>
          <w:rFonts w:ascii="Verdana" w:hAnsi="Verdana"/>
          <w:sz w:val="18"/>
          <w:szCs w:val="18"/>
        </w:rPr>
        <w:t xml:space="preserve">beleggers die actief is op de huurmarkt. </w:t>
      </w:r>
      <w:r w:rsidRPr="00D80919" w:rsidR="00D80919">
        <w:rPr>
          <w:rFonts w:ascii="Verdana" w:hAnsi="Verdana"/>
          <w:sz w:val="18"/>
          <w:szCs w:val="18"/>
        </w:rPr>
        <w:t xml:space="preserve"> </w:t>
      </w:r>
      <w:r w:rsidR="00D80919">
        <w:rPr>
          <w:rFonts w:ascii="Verdana" w:hAnsi="Verdana"/>
          <w:sz w:val="18"/>
          <w:szCs w:val="18"/>
        </w:rPr>
        <w:br/>
      </w:r>
    </w:p>
    <w:p w:rsidRPr="00AA3505" w:rsidR="00AA3505" w:rsidP="00AA3505" w:rsidRDefault="00AA3505" w14:paraId="24548AE2" w14:textId="781FA58B">
      <w:pPr>
        <w:spacing w:after="0"/>
        <w:rPr>
          <w:rFonts w:ascii="Verdana" w:hAnsi="Verdana"/>
          <w:sz w:val="18"/>
          <w:szCs w:val="18"/>
        </w:rPr>
      </w:pPr>
      <w:r w:rsidRPr="00AA3505">
        <w:rPr>
          <w:rFonts w:ascii="Verdana" w:hAnsi="Verdana"/>
          <w:i/>
          <w:iCs/>
          <w:sz w:val="18"/>
          <w:szCs w:val="18"/>
        </w:rPr>
        <w:t>Budgettair</w:t>
      </w:r>
    </w:p>
    <w:p w:rsidR="008A2947" w:rsidP="00424670" w:rsidRDefault="00DF77E2" w14:paraId="4E67A1C9" w14:textId="328E2355">
      <w:pPr>
        <w:pStyle w:val="Lijstalinea"/>
        <w:numPr>
          <w:ilvl w:val="0"/>
          <w:numId w:val="4"/>
        </w:numPr>
        <w:spacing w:after="0"/>
        <w:rPr>
          <w:rFonts w:ascii="Verdana" w:hAnsi="Verdana"/>
          <w:sz w:val="18"/>
          <w:szCs w:val="18"/>
        </w:rPr>
      </w:pPr>
      <w:r w:rsidRPr="00BE21E1">
        <w:rPr>
          <w:rFonts w:ascii="Verdana" w:hAnsi="Verdana" w:cstheme="majorHAnsi"/>
          <w:sz w:val="18"/>
          <w:szCs w:val="18"/>
        </w:rPr>
        <w:t xml:space="preserve">Het hanteren van een andere </w:t>
      </w:r>
      <w:proofErr w:type="spellStart"/>
      <w:r w:rsidRPr="00BE21E1">
        <w:rPr>
          <w:rFonts w:ascii="Verdana" w:hAnsi="Verdana" w:cstheme="majorHAnsi"/>
          <w:sz w:val="18"/>
          <w:szCs w:val="18"/>
        </w:rPr>
        <w:t>leegwaarderatio</w:t>
      </w:r>
      <w:proofErr w:type="spellEnd"/>
      <w:r w:rsidR="0054201F">
        <w:rPr>
          <w:rFonts w:ascii="Verdana" w:hAnsi="Verdana" w:cstheme="majorHAnsi"/>
          <w:sz w:val="18"/>
          <w:szCs w:val="18"/>
        </w:rPr>
        <w:t>-</w:t>
      </w:r>
      <w:r w:rsidRPr="00BE21E1">
        <w:rPr>
          <w:rFonts w:ascii="Verdana" w:hAnsi="Verdana" w:cstheme="majorHAnsi"/>
          <w:sz w:val="18"/>
          <w:szCs w:val="18"/>
        </w:rPr>
        <w:t xml:space="preserve">tabel </w:t>
      </w:r>
      <w:r>
        <w:rPr>
          <w:rFonts w:ascii="Verdana" w:hAnsi="Verdana" w:cstheme="majorHAnsi"/>
          <w:sz w:val="18"/>
          <w:szCs w:val="18"/>
        </w:rPr>
        <w:t>heeft budgettaire gevolgen</w:t>
      </w:r>
      <w:r w:rsidR="00484B6B">
        <w:rPr>
          <w:rFonts w:ascii="Verdana" w:hAnsi="Verdana" w:cstheme="majorHAnsi"/>
          <w:sz w:val="18"/>
          <w:szCs w:val="18"/>
        </w:rPr>
        <w:t>, afhankelijk van de mate van aanpassing</w:t>
      </w:r>
      <w:r>
        <w:rPr>
          <w:rFonts w:ascii="Verdana" w:hAnsi="Verdana" w:cstheme="majorHAnsi"/>
          <w:sz w:val="18"/>
          <w:szCs w:val="18"/>
        </w:rPr>
        <w:t xml:space="preserve">. </w:t>
      </w:r>
      <w:r w:rsidRPr="003A5BD7" w:rsidR="003A5BD7">
        <w:rPr>
          <w:rFonts w:ascii="Verdana" w:hAnsi="Verdana"/>
          <w:sz w:val="18"/>
          <w:szCs w:val="18"/>
        </w:rPr>
        <w:t xml:space="preserve">Bij verhoging van de percentages leidt dat tot een opbrengst. </w:t>
      </w:r>
      <w:r w:rsidR="008647BA">
        <w:rPr>
          <w:rFonts w:ascii="Verdana" w:hAnsi="Verdana"/>
          <w:sz w:val="18"/>
          <w:szCs w:val="18"/>
        </w:rPr>
        <w:t xml:space="preserve">Het verlagen van de percentages van de </w:t>
      </w:r>
      <w:proofErr w:type="spellStart"/>
      <w:r w:rsidR="008647BA">
        <w:rPr>
          <w:rFonts w:ascii="Verdana" w:hAnsi="Verdana"/>
          <w:sz w:val="18"/>
          <w:szCs w:val="18"/>
        </w:rPr>
        <w:t>leegwaarderatio</w:t>
      </w:r>
      <w:proofErr w:type="spellEnd"/>
      <w:r w:rsidR="008647BA">
        <w:rPr>
          <w:rFonts w:ascii="Verdana" w:hAnsi="Verdana"/>
          <w:sz w:val="18"/>
          <w:szCs w:val="18"/>
        </w:rPr>
        <w:t xml:space="preserve"> leidt tot een budgettaire derving waarvoor een financiële dekking nodig is.</w:t>
      </w:r>
      <w:r w:rsidR="008A2947">
        <w:rPr>
          <w:rFonts w:ascii="Verdana" w:hAnsi="Verdana"/>
          <w:sz w:val="18"/>
          <w:szCs w:val="18"/>
        </w:rPr>
        <w:t xml:space="preserve"> </w:t>
      </w:r>
    </w:p>
    <w:p w:rsidR="008647BA" w:rsidP="00424670" w:rsidRDefault="008647BA" w14:paraId="7C2790B3" w14:textId="56C0B440">
      <w:pPr>
        <w:pStyle w:val="Lijstalinea"/>
        <w:numPr>
          <w:ilvl w:val="0"/>
          <w:numId w:val="4"/>
        </w:numPr>
        <w:spacing w:after="0"/>
        <w:rPr>
          <w:rFonts w:ascii="Verdana" w:hAnsi="Verdana"/>
          <w:sz w:val="18"/>
          <w:szCs w:val="18"/>
        </w:rPr>
      </w:pPr>
      <w:r>
        <w:rPr>
          <w:rFonts w:ascii="Verdana" w:hAnsi="Verdana"/>
          <w:sz w:val="18"/>
          <w:szCs w:val="18"/>
        </w:rPr>
        <w:lastRenderedPageBreak/>
        <w:t xml:space="preserve">Uit het </w:t>
      </w:r>
      <w:proofErr w:type="spellStart"/>
      <w:r>
        <w:rPr>
          <w:rFonts w:ascii="Verdana" w:hAnsi="Verdana"/>
          <w:sz w:val="18"/>
          <w:szCs w:val="18"/>
        </w:rPr>
        <w:t>Eindejaarsbesluit</w:t>
      </w:r>
      <w:proofErr w:type="spellEnd"/>
      <w:r>
        <w:rPr>
          <w:rFonts w:ascii="Verdana" w:hAnsi="Verdana"/>
          <w:sz w:val="18"/>
          <w:szCs w:val="18"/>
        </w:rPr>
        <w:t xml:space="preserve"> 2022 volgt dat h</w:t>
      </w:r>
      <w:r w:rsidRPr="008647BA">
        <w:rPr>
          <w:rFonts w:ascii="Verdana" w:hAnsi="Verdana"/>
          <w:sz w:val="18"/>
          <w:szCs w:val="18"/>
        </w:rPr>
        <w:t xml:space="preserve">et actualiseren van de tabel van de </w:t>
      </w:r>
      <w:proofErr w:type="spellStart"/>
      <w:r w:rsidRPr="008647BA">
        <w:rPr>
          <w:rFonts w:ascii="Verdana" w:hAnsi="Verdana"/>
          <w:sz w:val="18"/>
          <w:szCs w:val="18"/>
        </w:rPr>
        <w:t>leegwaarderatio</w:t>
      </w:r>
      <w:proofErr w:type="spellEnd"/>
      <w:r w:rsidRPr="008647BA">
        <w:rPr>
          <w:rFonts w:ascii="Verdana" w:hAnsi="Verdana"/>
          <w:sz w:val="18"/>
          <w:szCs w:val="18"/>
        </w:rPr>
        <w:t xml:space="preserve"> </w:t>
      </w:r>
      <w:r>
        <w:rPr>
          <w:rFonts w:ascii="Verdana" w:hAnsi="Verdana"/>
          <w:sz w:val="18"/>
          <w:szCs w:val="18"/>
        </w:rPr>
        <w:t>per 1 januari 2023 destijds heeft ge</w:t>
      </w:r>
      <w:r w:rsidRPr="008647BA">
        <w:rPr>
          <w:rFonts w:ascii="Verdana" w:hAnsi="Verdana"/>
          <w:sz w:val="18"/>
          <w:szCs w:val="18"/>
        </w:rPr>
        <w:t xml:space="preserve">leid tot een budgettaire opbrengst van € 201 miljoen. </w:t>
      </w:r>
    </w:p>
    <w:p w:rsidRPr="00424670" w:rsidR="008D338A" w:rsidP="00424670" w:rsidRDefault="008D338A" w14:paraId="7CC765C3" w14:textId="55677F41">
      <w:pPr>
        <w:pStyle w:val="Lijstalinea"/>
        <w:numPr>
          <w:ilvl w:val="0"/>
          <w:numId w:val="4"/>
        </w:numPr>
        <w:spacing w:after="0"/>
        <w:rPr>
          <w:rFonts w:ascii="Verdana" w:hAnsi="Verdana"/>
          <w:sz w:val="18"/>
          <w:szCs w:val="18"/>
        </w:rPr>
      </w:pPr>
      <w:r w:rsidRPr="00424670">
        <w:rPr>
          <w:rFonts w:ascii="Verdana" w:hAnsi="Verdana"/>
          <w:sz w:val="18"/>
          <w:szCs w:val="18"/>
        </w:rPr>
        <w:t xml:space="preserve">In het HVP is vastgelegd dat de </w:t>
      </w:r>
      <w:proofErr w:type="spellStart"/>
      <w:r w:rsidRPr="00424670">
        <w:rPr>
          <w:rFonts w:ascii="Verdana" w:hAnsi="Verdana"/>
          <w:sz w:val="18"/>
          <w:szCs w:val="18"/>
        </w:rPr>
        <w:t>leegwaarderatio</w:t>
      </w:r>
      <w:proofErr w:type="spellEnd"/>
      <w:r w:rsidRPr="00424670">
        <w:rPr>
          <w:rFonts w:ascii="Verdana" w:hAnsi="Verdana"/>
          <w:sz w:val="18"/>
          <w:szCs w:val="18"/>
        </w:rPr>
        <w:t xml:space="preserve"> met 25%-punten omhoog moest voor het deel van de verhuurde woningen in Nederland met huurbescherming. Dit is uiteindelijk 28% geworden per 1 januari 2023</w:t>
      </w:r>
      <w:r w:rsidR="0054201F">
        <w:rPr>
          <w:rFonts w:ascii="Verdana" w:hAnsi="Verdana"/>
          <w:sz w:val="18"/>
          <w:szCs w:val="18"/>
        </w:rPr>
        <w:t xml:space="preserve"> op basis van het </w:t>
      </w:r>
      <w:r w:rsidR="00484B6B">
        <w:rPr>
          <w:rFonts w:ascii="Verdana" w:hAnsi="Verdana"/>
          <w:sz w:val="18"/>
          <w:szCs w:val="18"/>
        </w:rPr>
        <w:t>boven</w:t>
      </w:r>
      <w:r w:rsidR="0054201F">
        <w:rPr>
          <w:rFonts w:ascii="Verdana" w:hAnsi="Verdana"/>
          <w:sz w:val="18"/>
          <w:szCs w:val="18"/>
        </w:rPr>
        <w:t>genoemde onderzoek door SEO</w:t>
      </w:r>
      <w:r w:rsidRPr="00424670">
        <w:rPr>
          <w:rFonts w:ascii="Verdana" w:hAnsi="Verdana"/>
          <w:sz w:val="18"/>
          <w:szCs w:val="18"/>
        </w:rPr>
        <w:t xml:space="preserve">. Daarnaast is vastgelegd dat voor huurwoningen waarin de verhouding van de jaarlijkse huurprijs tot de WOZ-waarde meer dan 5% is, de </w:t>
      </w:r>
      <w:proofErr w:type="spellStart"/>
      <w:r w:rsidRPr="00424670">
        <w:rPr>
          <w:rFonts w:ascii="Verdana" w:hAnsi="Verdana"/>
          <w:sz w:val="18"/>
          <w:szCs w:val="18"/>
        </w:rPr>
        <w:t>leegwaarderatio</w:t>
      </w:r>
      <w:proofErr w:type="spellEnd"/>
      <w:r w:rsidRPr="00424670">
        <w:rPr>
          <w:rFonts w:ascii="Verdana" w:hAnsi="Verdana"/>
          <w:sz w:val="18"/>
          <w:szCs w:val="18"/>
        </w:rPr>
        <w:t xml:space="preserve"> 100% moet bedragen. Voor het deel van de woningen waar de </w:t>
      </w:r>
      <w:proofErr w:type="spellStart"/>
      <w:r w:rsidRPr="00424670">
        <w:rPr>
          <w:rFonts w:ascii="Verdana" w:hAnsi="Verdana"/>
          <w:sz w:val="18"/>
          <w:szCs w:val="18"/>
        </w:rPr>
        <w:t>leegwaarderatio</w:t>
      </w:r>
      <w:proofErr w:type="spellEnd"/>
      <w:r w:rsidRPr="00424670">
        <w:rPr>
          <w:rFonts w:ascii="Verdana" w:hAnsi="Verdana"/>
          <w:sz w:val="18"/>
          <w:szCs w:val="18"/>
        </w:rPr>
        <w:t xml:space="preserve"> met 28%-punten is verhoogd, is er een kleine marge voor verlaging. Voor de gevallen waarin de </w:t>
      </w:r>
      <w:proofErr w:type="spellStart"/>
      <w:r w:rsidRPr="00424670">
        <w:rPr>
          <w:rFonts w:ascii="Verdana" w:hAnsi="Verdana"/>
          <w:sz w:val="18"/>
          <w:szCs w:val="18"/>
        </w:rPr>
        <w:t>leegwaarderatio</w:t>
      </w:r>
      <w:proofErr w:type="spellEnd"/>
      <w:r w:rsidRPr="00424670">
        <w:rPr>
          <w:rFonts w:ascii="Verdana" w:hAnsi="Verdana"/>
          <w:sz w:val="18"/>
          <w:szCs w:val="18"/>
        </w:rPr>
        <w:t xml:space="preserve"> op 100% is vastgesteld, is die ruimte er niet.</w:t>
      </w:r>
    </w:p>
    <w:p w:rsidR="00B65B85" w:rsidP="00424670" w:rsidRDefault="008D338A" w14:paraId="57C461B7" w14:textId="3FD33D90">
      <w:pPr>
        <w:pStyle w:val="Lijstalinea"/>
        <w:numPr>
          <w:ilvl w:val="0"/>
          <w:numId w:val="4"/>
        </w:numPr>
        <w:spacing w:after="0"/>
        <w:rPr>
          <w:rFonts w:ascii="Verdana" w:hAnsi="Verdana"/>
          <w:sz w:val="18"/>
          <w:szCs w:val="18"/>
        </w:rPr>
      </w:pPr>
      <w:r w:rsidRPr="00424670">
        <w:rPr>
          <w:rFonts w:ascii="Verdana" w:hAnsi="Verdana"/>
          <w:sz w:val="18"/>
          <w:szCs w:val="18"/>
        </w:rPr>
        <w:t>Eén van de voorwaarden van ontvangst van HVP-middelen is dat maatregelen</w:t>
      </w:r>
      <w:r w:rsidR="000A7EA9">
        <w:rPr>
          <w:rFonts w:ascii="Verdana" w:hAnsi="Verdana"/>
          <w:sz w:val="18"/>
          <w:szCs w:val="18"/>
        </w:rPr>
        <w:t xml:space="preserve"> die in dat plan zijn opgenomen</w:t>
      </w:r>
      <w:r w:rsidRPr="00424670">
        <w:rPr>
          <w:rFonts w:ascii="Verdana" w:hAnsi="Verdana"/>
          <w:sz w:val="18"/>
          <w:szCs w:val="18"/>
        </w:rPr>
        <w:t xml:space="preserve"> niet worden teruggedraaid, bij de </w:t>
      </w:r>
      <w:proofErr w:type="spellStart"/>
      <w:r w:rsidRPr="00424670">
        <w:rPr>
          <w:rFonts w:ascii="Verdana" w:hAnsi="Verdana"/>
          <w:sz w:val="18"/>
          <w:szCs w:val="18"/>
        </w:rPr>
        <w:t>leegwaarderatio</w:t>
      </w:r>
      <w:proofErr w:type="spellEnd"/>
      <w:r w:rsidRPr="00424670">
        <w:rPr>
          <w:rFonts w:ascii="Verdana" w:hAnsi="Verdana"/>
          <w:sz w:val="18"/>
          <w:szCs w:val="18"/>
        </w:rPr>
        <w:t xml:space="preserve"> in ieder geval niet vóór 1 januari 2027. Het terugdraaien van HVP-maatregelen gedurende de looptijd van de </w:t>
      </w:r>
      <w:r w:rsidR="003A5BD7">
        <w:rPr>
          <w:rFonts w:ascii="Verdana" w:hAnsi="Verdana"/>
          <w:sz w:val="18"/>
          <w:szCs w:val="18"/>
        </w:rPr>
        <w:t>Herstel- en Veerkrachtfaciliteit (HVF)</w:t>
      </w:r>
      <w:r w:rsidRPr="00424670" w:rsidR="003A5BD7">
        <w:rPr>
          <w:rFonts w:ascii="Verdana" w:hAnsi="Verdana"/>
          <w:sz w:val="18"/>
          <w:szCs w:val="18"/>
        </w:rPr>
        <w:t xml:space="preserve"> </w:t>
      </w:r>
      <w:r w:rsidRPr="00424670">
        <w:rPr>
          <w:rFonts w:ascii="Verdana" w:hAnsi="Verdana"/>
          <w:sz w:val="18"/>
          <w:szCs w:val="18"/>
        </w:rPr>
        <w:t xml:space="preserve">is niet toegestaan. Dit betekent dat het terugdraaien van de afspraken rond de </w:t>
      </w:r>
      <w:proofErr w:type="spellStart"/>
      <w:r w:rsidR="00B65B85">
        <w:rPr>
          <w:rFonts w:ascii="Verdana" w:hAnsi="Verdana"/>
          <w:sz w:val="18"/>
          <w:szCs w:val="18"/>
        </w:rPr>
        <w:t>leegwaarderatio</w:t>
      </w:r>
      <w:proofErr w:type="spellEnd"/>
      <w:r w:rsidRPr="00424670">
        <w:rPr>
          <w:rFonts w:ascii="Verdana" w:hAnsi="Verdana"/>
          <w:sz w:val="18"/>
          <w:szCs w:val="18"/>
        </w:rPr>
        <w:t xml:space="preserve"> kan leiden tot een korting die kan oplopen tot €600 miljoen</w:t>
      </w:r>
      <w:r w:rsidR="003B59D4">
        <w:rPr>
          <w:rFonts w:ascii="Verdana" w:hAnsi="Verdana"/>
          <w:sz w:val="18"/>
          <w:szCs w:val="18"/>
        </w:rPr>
        <w:t>.</w:t>
      </w:r>
      <w:r w:rsidR="000A7EA9">
        <w:rPr>
          <w:rFonts w:ascii="Verdana" w:hAnsi="Verdana"/>
          <w:sz w:val="18"/>
          <w:szCs w:val="18"/>
        </w:rPr>
        <w:t xml:space="preserve"> </w:t>
      </w:r>
      <w:r w:rsidRPr="00484B6B" w:rsidR="00484B6B">
        <w:rPr>
          <w:rFonts w:ascii="Verdana" w:hAnsi="Verdana"/>
          <w:sz w:val="18"/>
          <w:szCs w:val="18"/>
        </w:rPr>
        <w:t>Nederland maakt in totaal aanspraak op €</w:t>
      </w:r>
      <w:r w:rsidR="00484B6B">
        <w:rPr>
          <w:rFonts w:ascii="Verdana" w:hAnsi="Verdana"/>
          <w:sz w:val="18"/>
          <w:szCs w:val="18"/>
        </w:rPr>
        <w:t> </w:t>
      </w:r>
      <w:r w:rsidRPr="00484B6B" w:rsidR="00484B6B">
        <w:rPr>
          <w:rFonts w:ascii="Verdana" w:hAnsi="Verdana"/>
          <w:sz w:val="18"/>
          <w:szCs w:val="18"/>
        </w:rPr>
        <w:t>5,4 miljard uit de HVF</w:t>
      </w:r>
      <w:r w:rsidR="00484B6B">
        <w:rPr>
          <w:rFonts w:ascii="Verdana" w:hAnsi="Verdana"/>
          <w:sz w:val="18"/>
          <w:szCs w:val="18"/>
        </w:rPr>
        <w:t>.</w:t>
      </w:r>
    </w:p>
    <w:p w:rsidRPr="00484B6B" w:rsidR="00733274" w:rsidP="00484B6B" w:rsidRDefault="00B65B85" w14:paraId="7ADD471A" w14:textId="587F8AE7">
      <w:pPr>
        <w:pStyle w:val="Lijstalinea"/>
        <w:numPr>
          <w:ilvl w:val="0"/>
          <w:numId w:val="4"/>
        </w:numPr>
        <w:spacing w:after="0"/>
        <w:rPr>
          <w:rFonts w:ascii="Verdana" w:hAnsi="Verdana"/>
          <w:sz w:val="18"/>
          <w:szCs w:val="18"/>
        </w:rPr>
      </w:pPr>
      <w:r w:rsidRPr="00484B6B">
        <w:rPr>
          <w:rFonts w:ascii="Verdana" w:hAnsi="Verdana"/>
          <w:sz w:val="18"/>
          <w:szCs w:val="18"/>
        </w:rPr>
        <w:t xml:space="preserve">Bij de </w:t>
      </w:r>
      <w:proofErr w:type="spellStart"/>
      <w:r w:rsidRPr="00484B6B">
        <w:rPr>
          <w:rFonts w:ascii="Verdana" w:hAnsi="Verdana"/>
          <w:sz w:val="18"/>
          <w:szCs w:val="18"/>
        </w:rPr>
        <w:t>leegwaarderatio</w:t>
      </w:r>
      <w:proofErr w:type="spellEnd"/>
      <w:r w:rsidRPr="00484B6B">
        <w:rPr>
          <w:rFonts w:ascii="Verdana" w:hAnsi="Verdana"/>
          <w:sz w:val="18"/>
          <w:szCs w:val="18"/>
        </w:rPr>
        <w:t xml:space="preserve"> betreft het een </w:t>
      </w:r>
      <w:r w:rsidRPr="00484B6B" w:rsidR="00CD046D">
        <w:rPr>
          <w:rFonts w:ascii="Verdana" w:hAnsi="Verdana"/>
          <w:sz w:val="18"/>
          <w:szCs w:val="18"/>
        </w:rPr>
        <w:t xml:space="preserve">belangrijke </w:t>
      </w:r>
      <w:r w:rsidRPr="00484B6B" w:rsidR="000A7EA9">
        <w:rPr>
          <w:rFonts w:ascii="Verdana" w:hAnsi="Verdana"/>
          <w:sz w:val="18"/>
          <w:szCs w:val="18"/>
        </w:rPr>
        <w:t>landen specifieke</w:t>
      </w:r>
      <w:r w:rsidRPr="00484B6B" w:rsidR="00CD046D">
        <w:rPr>
          <w:rFonts w:ascii="Verdana" w:hAnsi="Verdana"/>
          <w:sz w:val="18"/>
          <w:szCs w:val="18"/>
        </w:rPr>
        <w:t xml:space="preserve"> aanbeveling en een hervorming, hetgeen naar verwachting zal leiden tot een hoge korting.</w:t>
      </w:r>
      <w:r w:rsidRPr="00CD046D" w:rsidR="00CD046D">
        <w:t xml:space="preserve"> </w:t>
      </w:r>
      <w:r w:rsidRPr="00484B6B" w:rsidR="00CD046D">
        <w:rPr>
          <w:rFonts w:ascii="Verdana" w:hAnsi="Verdana"/>
          <w:sz w:val="18"/>
          <w:szCs w:val="18"/>
        </w:rPr>
        <w:t xml:space="preserve">De Commissie heeft grote discretionaire bevoegdheid in het bepalen van de korting </w:t>
      </w:r>
      <w:r w:rsidRPr="00484B6B" w:rsidR="00484B6B">
        <w:rPr>
          <w:rFonts w:ascii="Verdana" w:hAnsi="Verdana"/>
          <w:sz w:val="18"/>
          <w:szCs w:val="18"/>
        </w:rPr>
        <w:t xml:space="preserve">waardoor de korting op voorhand niet met zekerheid te stellen is. </w:t>
      </w:r>
      <w:r w:rsidR="00484B6B">
        <w:rPr>
          <w:rFonts w:ascii="Verdana" w:hAnsi="Verdana"/>
          <w:sz w:val="18"/>
          <w:szCs w:val="18"/>
        </w:rPr>
        <w:br/>
      </w:r>
    </w:p>
    <w:p w:rsidR="00CD046D" w:rsidP="00CD046D" w:rsidRDefault="00AA3505" w14:paraId="4B53F48D" w14:textId="2C6DBFFB">
      <w:pPr>
        <w:spacing w:after="0"/>
        <w:rPr>
          <w:rFonts w:ascii="Verdana" w:hAnsi="Verdana"/>
          <w:i/>
          <w:iCs/>
          <w:sz w:val="18"/>
          <w:szCs w:val="18"/>
        </w:rPr>
      </w:pPr>
      <w:r w:rsidRPr="00AA3505">
        <w:rPr>
          <w:rFonts w:ascii="Verdana" w:hAnsi="Verdana"/>
          <w:i/>
          <w:iCs/>
          <w:sz w:val="18"/>
          <w:szCs w:val="18"/>
        </w:rPr>
        <w:t>Uitvoering</w:t>
      </w:r>
    </w:p>
    <w:p w:rsidRPr="00CD046D" w:rsidR="00CD046D" w:rsidP="00CD046D" w:rsidRDefault="00CD046D" w14:paraId="630CFA4E" w14:textId="24705809">
      <w:pPr>
        <w:pStyle w:val="Lijstalinea"/>
        <w:numPr>
          <w:ilvl w:val="0"/>
          <w:numId w:val="6"/>
        </w:numPr>
        <w:spacing w:after="0"/>
        <w:rPr>
          <w:rFonts w:ascii="Verdana" w:hAnsi="Verdana"/>
          <w:i/>
          <w:iCs/>
          <w:sz w:val="18"/>
          <w:szCs w:val="18"/>
        </w:rPr>
      </w:pPr>
      <w:r w:rsidRPr="003B59D4">
        <w:rPr>
          <w:rFonts w:ascii="Verdana" w:hAnsi="Verdana"/>
          <w:sz w:val="18"/>
          <w:szCs w:val="18"/>
        </w:rPr>
        <w:t xml:space="preserve">De gevolgen voor de </w:t>
      </w:r>
      <w:r w:rsidR="005D106E">
        <w:rPr>
          <w:rFonts w:ascii="Verdana" w:hAnsi="Verdana"/>
          <w:sz w:val="18"/>
          <w:szCs w:val="18"/>
        </w:rPr>
        <w:t>u</w:t>
      </w:r>
      <w:r w:rsidRPr="003B59D4">
        <w:rPr>
          <w:rFonts w:ascii="Verdana" w:hAnsi="Verdana"/>
          <w:sz w:val="18"/>
          <w:szCs w:val="18"/>
        </w:rPr>
        <w:t xml:space="preserve">itvoering moeten nog worden onderzocht. Het aanpassen van de huidige </w:t>
      </w:r>
      <w:proofErr w:type="spellStart"/>
      <w:r w:rsidRPr="003B59D4">
        <w:rPr>
          <w:rFonts w:ascii="Verdana" w:hAnsi="Verdana"/>
          <w:sz w:val="18"/>
          <w:szCs w:val="18"/>
        </w:rPr>
        <w:t>leegwaarderatiotabel</w:t>
      </w:r>
      <w:proofErr w:type="spellEnd"/>
      <w:r w:rsidRPr="003B59D4">
        <w:rPr>
          <w:rFonts w:ascii="Verdana" w:hAnsi="Verdana"/>
          <w:sz w:val="18"/>
          <w:szCs w:val="18"/>
        </w:rPr>
        <w:t xml:space="preserve"> is een parameteraanpassing. </w:t>
      </w:r>
    </w:p>
    <w:sectPr w:rsidRPr="00CD046D" w:rsidR="00CD046D">
      <w:footerReference w:type="default" r:id="rId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7DD2E" w14:textId="77777777" w:rsidR="00C9085C" w:rsidRDefault="00C9085C" w:rsidP="00092673">
      <w:pPr>
        <w:spacing w:after="0" w:line="240" w:lineRule="auto"/>
      </w:pPr>
      <w:r>
        <w:separator/>
      </w:r>
    </w:p>
  </w:endnote>
  <w:endnote w:type="continuationSeparator" w:id="0">
    <w:p w14:paraId="3868A22A" w14:textId="77777777" w:rsidR="00C9085C" w:rsidRDefault="00C9085C" w:rsidP="00092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313933"/>
      <w:docPartObj>
        <w:docPartGallery w:val="Page Numbers (Bottom of Page)"/>
        <w:docPartUnique/>
      </w:docPartObj>
    </w:sdtPr>
    <w:sdtEndPr/>
    <w:sdtContent>
      <w:p w14:paraId="5B4FE6D7" w14:textId="422A6DF1" w:rsidR="00E70B09" w:rsidRDefault="00E70B09">
        <w:pPr>
          <w:pStyle w:val="Voettekst"/>
          <w:jc w:val="right"/>
        </w:pPr>
        <w:r>
          <w:fldChar w:fldCharType="begin"/>
        </w:r>
        <w:r>
          <w:instrText>PAGE   \* MERGEFORMAT</w:instrText>
        </w:r>
        <w:r>
          <w:fldChar w:fldCharType="separate"/>
        </w:r>
        <w:r>
          <w:t>2</w:t>
        </w:r>
        <w:r>
          <w:fldChar w:fldCharType="end"/>
        </w:r>
      </w:p>
    </w:sdtContent>
  </w:sdt>
  <w:p w14:paraId="4DDBB491" w14:textId="77777777" w:rsidR="00E70B09" w:rsidRDefault="00E70B0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12CA5" w14:textId="77777777" w:rsidR="00C9085C" w:rsidRDefault="00C9085C" w:rsidP="00092673">
      <w:pPr>
        <w:spacing w:after="0" w:line="240" w:lineRule="auto"/>
      </w:pPr>
      <w:r>
        <w:separator/>
      </w:r>
    </w:p>
  </w:footnote>
  <w:footnote w:type="continuationSeparator" w:id="0">
    <w:p w14:paraId="18964737" w14:textId="77777777" w:rsidR="00C9085C" w:rsidRDefault="00C9085C" w:rsidP="00092673">
      <w:pPr>
        <w:spacing w:after="0" w:line="240" w:lineRule="auto"/>
      </w:pPr>
      <w:r>
        <w:continuationSeparator/>
      </w:r>
    </w:p>
  </w:footnote>
  <w:footnote w:id="1">
    <w:p w14:paraId="3FFD1A88" w14:textId="62DC8F26" w:rsidR="00D80919" w:rsidRPr="00641EF8" w:rsidRDefault="00D80919" w:rsidP="00D80919">
      <w:pPr>
        <w:pStyle w:val="Kop2"/>
        <w:shd w:val="clear" w:color="auto" w:fill="FFFFFF"/>
        <w:spacing w:before="0"/>
        <w:rPr>
          <w:sz w:val="13"/>
          <w:szCs w:val="13"/>
        </w:rPr>
      </w:pPr>
      <w:r w:rsidRPr="003E3B5A">
        <w:rPr>
          <w:rStyle w:val="Voetnootmarkering"/>
          <w:rFonts w:ascii="Verdana" w:hAnsi="Verdana"/>
          <w:color w:val="000000" w:themeColor="text1"/>
          <w:sz w:val="13"/>
          <w:szCs w:val="13"/>
        </w:rPr>
        <w:footnoteRef/>
      </w:r>
      <w:r w:rsidRPr="00641EF8">
        <w:rPr>
          <w:rFonts w:ascii="Verdana" w:hAnsi="Verdana"/>
          <w:color w:val="000000" w:themeColor="text1"/>
          <w:sz w:val="13"/>
          <w:szCs w:val="13"/>
        </w:rPr>
        <w:t xml:space="preserve"> H</w:t>
      </w:r>
      <w:r>
        <w:rPr>
          <w:rFonts w:ascii="Verdana" w:hAnsi="Verdana"/>
          <w:color w:val="000000" w:themeColor="text1"/>
          <w:sz w:val="13"/>
          <w:szCs w:val="13"/>
        </w:rPr>
        <w:t xml:space="preserve">oge Raad </w:t>
      </w:r>
      <w:r w:rsidRPr="00641EF8">
        <w:rPr>
          <w:rFonts w:ascii="Verdana" w:hAnsi="Verdana"/>
          <w:color w:val="000000" w:themeColor="text1"/>
          <w:sz w:val="13"/>
          <w:szCs w:val="13"/>
        </w:rPr>
        <w:t xml:space="preserve">3 april 2015, </w:t>
      </w:r>
      <w:r w:rsidRPr="00641EF8">
        <w:rPr>
          <w:rFonts w:ascii="Verdana" w:eastAsia="Times New Roman" w:hAnsi="Verdana" w:cs="Times New Roman"/>
          <w:color w:val="000000" w:themeColor="text1"/>
          <w:sz w:val="13"/>
          <w:szCs w:val="13"/>
          <w:lang w:eastAsia="nl-NL"/>
        </w:rPr>
        <w:t>ECLI:NL:HR:2015:812 voor de</w:t>
      </w:r>
      <w:r>
        <w:rPr>
          <w:rFonts w:ascii="Verdana" w:eastAsia="Times New Roman" w:hAnsi="Verdana" w:cs="Times New Roman"/>
          <w:color w:val="000000" w:themeColor="text1"/>
          <w:sz w:val="13"/>
          <w:szCs w:val="13"/>
          <w:lang w:eastAsia="nl-NL"/>
        </w:rPr>
        <w:t xml:space="preserve"> </w:t>
      </w:r>
      <w:r w:rsidR="003B59D4">
        <w:rPr>
          <w:rFonts w:ascii="Verdana" w:eastAsia="Times New Roman" w:hAnsi="Verdana" w:cs="Times New Roman"/>
          <w:color w:val="000000" w:themeColor="text1"/>
          <w:sz w:val="13"/>
          <w:szCs w:val="13"/>
          <w:lang w:eastAsia="nl-NL"/>
        </w:rPr>
        <w:t xml:space="preserve">Wet IB 2001 </w:t>
      </w:r>
      <w:r w:rsidRPr="00641EF8">
        <w:rPr>
          <w:rFonts w:ascii="Verdana" w:eastAsia="Times New Roman" w:hAnsi="Verdana" w:cs="Times New Roman"/>
          <w:color w:val="000000" w:themeColor="text1"/>
          <w:sz w:val="13"/>
          <w:szCs w:val="13"/>
          <w:lang w:eastAsia="nl-NL"/>
        </w:rPr>
        <w:t xml:space="preserve">en </w:t>
      </w:r>
      <w:r w:rsidRPr="006703A6">
        <w:rPr>
          <w:rFonts w:ascii="Verdana" w:hAnsi="Verdana"/>
          <w:color w:val="000000" w:themeColor="text1"/>
          <w:sz w:val="13"/>
          <w:szCs w:val="13"/>
        </w:rPr>
        <w:t>H</w:t>
      </w:r>
      <w:r>
        <w:rPr>
          <w:rFonts w:ascii="Verdana" w:hAnsi="Verdana"/>
          <w:color w:val="000000" w:themeColor="text1"/>
          <w:sz w:val="13"/>
          <w:szCs w:val="13"/>
        </w:rPr>
        <w:t>oge Raad</w:t>
      </w:r>
      <w:r w:rsidRPr="006703A6">
        <w:rPr>
          <w:rFonts w:ascii="Verdana" w:hAnsi="Verdana"/>
          <w:color w:val="000000" w:themeColor="text1"/>
          <w:sz w:val="13"/>
          <w:szCs w:val="13"/>
        </w:rPr>
        <w:t xml:space="preserve"> 23 september 2016, </w:t>
      </w:r>
      <w:r w:rsidRPr="006703A6">
        <w:rPr>
          <w:rFonts w:ascii="Verdana" w:eastAsia="Times New Roman" w:hAnsi="Verdana" w:cs="Times New Roman"/>
          <w:color w:val="000000" w:themeColor="text1"/>
          <w:sz w:val="13"/>
          <w:szCs w:val="13"/>
          <w:lang w:eastAsia="nl-NL"/>
        </w:rPr>
        <w:t>ECLI:NL:HR:2016:2135</w:t>
      </w:r>
      <w:r>
        <w:rPr>
          <w:rFonts w:ascii="Verdana" w:eastAsia="Times New Roman" w:hAnsi="Verdana" w:cs="Times New Roman"/>
          <w:color w:val="000000" w:themeColor="text1"/>
          <w:sz w:val="13"/>
          <w:szCs w:val="13"/>
          <w:lang w:eastAsia="nl-NL"/>
        </w:rPr>
        <w:t xml:space="preserve"> voor de </w:t>
      </w:r>
      <w:r w:rsidR="003B59D4">
        <w:rPr>
          <w:rFonts w:ascii="Verdana" w:eastAsia="Times New Roman" w:hAnsi="Verdana" w:cs="Times New Roman"/>
          <w:color w:val="000000" w:themeColor="text1"/>
          <w:sz w:val="13"/>
          <w:szCs w:val="13"/>
          <w:lang w:eastAsia="nl-NL"/>
        </w:rPr>
        <w:t>Successiewet 1956</w:t>
      </w:r>
      <w:r w:rsidRPr="00641EF8">
        <w:rPr>
          <w:rFonts w:ascii="Verdana" w:eastAsia="Times New Roman" w:hAnsi="Verdana" w:cs="Times New Roman"/>
          <w:color w:val="000000" w:themeColor="text1"/>
          <w:sz w:val="13"/>
          <w:szCs w:val="13"/>
          <w:lang w:eastAsia="nl-N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4688"/>
    <w:multiLevelType w:val="hybridMultilevel"/>
    <w:tmpl w:val="312609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504B4B"/>
    <w:multiLevelType w:val="hybridMultilevel"/>
    <w:tmpl w:val="E76226F2"/>
    <w:lvl w:ilvl="0" w:tplc="7FEC020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37E0317"/>
    <w:multiLevelType w:val="hybridMultilevel"/>
    <w:tmpl w:val="5742E8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AEC0681"/>
    <w:multiLevelType w:val="hybridMultilevel"/>
    <w:tmpl w:val="6F3003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DAC69BB"/>
    <w:multiLevelType w:val="hybridMultilevel"/>
    <w:tmpl w:val="EE864D2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90D62C6"/>
    <w:multiLevelType w:val="hybridMultilevel"/>
    <w:tmpl w:val="1CECDF60"/>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45731159">
    <w:abstractNumId w:val="1"/>
  </w:num>
  <w:num w:numId="2" w16cid:durableId="996768322">
    <w:abstractNumId w:val="3"/>
  </w:num>
  <w:num w:numId="3" w16cid:durableId="902373948">
    <w:abstractNumId w:val="2"/>
  </w:num>
  <w:num w:numId="4" w16cid:durableId="675231946">
    <w:abstractNumId w:val="4"/>
  </w:num>
  <w:num w:numId="5" w16cid:durableId="2055539087">
    <w:abstractNumId w:val="5"/>
  </w:num>
  <w:num w:numId="6" w16cid:durableId="1199275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673"/>
    <w:rsid w:val="00075EBE"/>
    <w:rsid w:val="00092673"/>
    <w:rsid w:val="000A7EA9"/>
    <w:rsid w:val="000C0E31"/>
    <w:rsid w:val="00124DCC"/>
    <w:rsid w:val="00136900"/>
    <w:rsid w:val="00215EBD"/>
    <w:rsid w:val="002257A0"/>
    <w:rsid w:val="00272DA4"/>
    <w:rsid w:val="003037D6"/>
    <w:rsid w:val="003159E4"/>
    <w:rsid w:val="003161C0"/>
    <w:rsid w:val="003A5BD7"/>
    <w:rsid w:val="003B47F8"/>
    <w:rsid w:val="003B59D4"/>
    <w:rsid w:val="003D43FD"/>
    <w:rsid w:val="0041114C"/>
    <w:rsid w:val="00424670"/>
    <w:rsid w:val="00427D62"/>
    <w:rsid w:val="004459D1"/>
    <w:rsid w:val="004625F2"/>
    <w:rsid w:val="004754BC"/>
    <w:rsid w:val="00484B6B"/>
    <w:rsid w:val="004A0BD0"/>
    <w:rsid w:val="004A200E"/>
    <w:rsid w:val="004B09F0"/>
    <w:rsid w:val="004C3296"/>
    <w:rsid w:val="004F074B"/>
    <w:rsid w:val="0054201F"/>
    <w:rsid w:val="005600FD"/>
    <w:rsid w:val="00577F0E"/>
    <w:rsid w:val="005D106E"/>
    <w:rsid w:val="00652896"/>
    <w:rsid w:val="00694BFF"/>
    <w:rsid w:val="006A275D"/>
    <w:rsid w:val="00733274"/>
    <w:rsid w:val="00750409"/>
    <w:rsid w:val="00750972"/>
    <w:rsid w:val="007538EC"/>
    <w:rsid w:val="008529D6"/>
    <w:rsid w:val="00863A64"/>
    <w:rsid w:val="008647BA"/>
    <w:rsid w:val="00895FEA"/>
    <w:rsid w:val="008A2947"/>
    <w:rsid w:val="008B7C6E"/>
    <w:rsid w:val="008D338A"/>
    <w:rsid w:val="008D646B"/>
    <w:rsid w:val="008F6D57"/>
    <w:rsid w:val="0090566A"/>
    <w:rsid w:val="00917302"/>
    <w:rsid w:val="00923587"/>
    <w:rsid w:val="00996B07"/>
    <w:rsid w:val="00A12584"/>
    <w:rsid w:val="00A92B11"/>
    <w:rsid w:val="00AA3505"/>
    <w:rsid w:val="00B129D2"/>
    <w:rsid w:val="00B430DA"/>
    <w:rsid w:val="00B62899"/>
    <w:rsid w:val="00B65B85"/>
    <w:rsid w:val="00BB387B"/>
    <w:rsid w:val="00BC1700"/>
    <w:rsid w:val="00BC2FA6"/>
    <w:rsid w:val="00BE21E1"/>
    <w:rsid w:val="00C26ACD"/>
    <w:rsid w:val="00C5025E"/>
    <w:rsid w:val="00C66BCA"/>
    <w:rsid w:val="00C816CF"/>
    <w:rsid w:val="00C83351"/>
    <w:rsid w:val="00C9085C"/>
    <w:rsid w:val="00CD046D"/>
    <w:rsid w:val="00D27B59"/>
    <w:rsid w:val="00D677A5"/>
    <w:rsid w:val="00D80919"/>
    <w:rsid w:val="00D82DB3"/>
    <w:rsid w:val="00D94EEF"/>
    <w:rsid w:val="00DC7FE5"/>
    <w:rsid w:val="00DF77E2"/>
    <w:rsid w:val="00E35E33"/>
    <w:rsid w:val="00E70B09"/>
    <w:rsid w:val="00E90CC5"/>
    <w:rsid w:val="00EA7DD6"/>
    <w:rsid w:val="00F85D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C4D058"/>
  <w15:chartTrackingRefBased/>
  <w15:docId w15:val="{BA6844C5-5CB8-42CC-AD9B-6C7BCD0A6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926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926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9267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9267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9267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9267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9267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9267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9267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9267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9267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9267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9267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9267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9267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9267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9267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92673"/>
    <w:rPr>
      <w:rFonts w:eastAsiaTheme="majorEastAsia" w:cstheme="majorBidi"/>
      <w:color w:val="272727" w:themeColor="text1" w:themeTint="D8"/>
    </w:rPr>
  </w:style>
  <w:style w:type="paragraph" w:styleId="Titel">
    <w:name w:val="Title"/>
    <w:basedOn w:val="Standaard"/>
    <w:next w:val="Standaard"/>
    <w:link w:val="TitelChar"/>
    <w:uiPriority w:val="10"/>
    <w:qFormat/>
    <w:rsid w:val="000926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9267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9267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9267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9267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92673"/>
    <w:rPr>
      <w:i/>
      <w:iCs/>
      <w:color w:val="404040" w:themeColor="text1" w:themeTint="BF"/>
    </w:rPr>
  </w:style>
  <w:style w:type="paragraph" w:styleId="Lijstalinea">
    <w:name w:val="List Paragraph"/>
    <w:basedOn w:val="Standaard"/>
    <w:uiPriority w:val="34"/>
    <w:qFormat/>
    <w:rsid w:val="00092673"/>
    <w:pPr>
      <w:ind w:left="720"/>
      <w:contextualSpacing/>
    </w:pPr>
  </w:style>
  <w:style w:type="character" w:styleId="Intensievebenadrukking">
    <w:name w:val="Intense Emphasis"/>
    <w:basedOn w:val="Standaardalinea-lettertype"/>
    <w:uiPriority w:val="21"/>
    <w:qFormat/>
    <w:rsid w:val="00092673"/>
    <w:rPr>
      <w:i/>
      <w:iCs/>
      <w:color w:val="2F5496" w:themeColor="accent1" w:themeShade="BF"/>
    </w:rPr>
  </w:style>
  <w:style w:type="paragraph" w:styleId="Duidelijkcitaat">
    <w:name w:val="Intense Quote"/>
    <w:basedOn w:val="Standaard"/>
    <w:next w:val="Standaard"/>
    <w:link w:val="DuidelijkcitaatChar"/>
    <w:uiPriority w:val="30"/>
    <w:qFormat/>
    <w:rsid w:val="000926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92673"/>
    <w:rPr>
      <w:i/>
      <w:iCs/>
      <w:color w:val="2F5496" w:themeColor="accent1" w:themeShade="BF"/>
    </w:rPr>
  </w:style>
  <w:style w:type="character" w:styleId="Intensieveverwijzing">
    <w:name w:val="Intense Reference"/>
    <w:basedOn w:val="Standaardalinea-lettertype"/>
    <w:uiPriority w:val="32"/>
    <w:qFormat/>
    <w:rsid w:val="00092673"/>
    <w:rPr>
      <w:b/>
      <w:bCs/>
      <w:smallCaps/>
      <w:color w:val="2F5496" w:themeColor="accent1" w:themeShade="BF"/>
      <w:spacing w:val="5"/>
    </w:rPr>
  </w:style>
  <w:style w:type="table" w:styleId="Tabelraster">
    <w:name w:val="Table Grid"/>
    <w:basedOn w:val="Standaardtabel"/>
    <w:uiPriority w:val="39"/>
    <w:rsid w:val="00AA35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semiHidden/>
    <w:unhideWhenUsed/>
    <w:rsid w:val="008647BA"/>
    <w:rPr>
      <w:vertAlign w:val="superscript"/>
    </w:rPr>
  </w:style>
  <w:style w:type="paragraph" w:styleId="Revisie">
    <w:name w:val="Revision"/>
    <w:hidden/>
    <w:uiPriority w:val="99"/>
    <w:semiHidden/>
    <w:rsid w:val="000C0E31"/>
    <w:pPr>
      <w:spacing w:after="0" w:line="240" w:lineRule="auto"/>
    </w:pPr>
  </w:style>
  <w:style w:type="character" w:styleId="Verwijzingopmerking">
    <w:name w:val="annotation reference"/>
    <w:basedOn w:val="Standaardalinea-lettertype"/>
    <w:uiPriority w:val="99"/>
    <w:semiHidden/>
    <w:unhideWhenUsed/>
    <w:rsid w:val="0054201F"/>
    <w:rPr>
      <w:sz w:val="16"/>
      <w:szCs w:val="16"/>
    </w:rPr>
  </w:style>
  <w:style w:type="paragraph" w:styleId="Tekstopmerking">
    <w:name w:val="annotation text"/>
    <w:basedOn w:val="Standaard"/>
    <w:link w:val="TekstopmerkingChar"/>
    <w:uiPriority w:val="99"/>
    <w:unhideWhenUsed/>
    <w:rsid w:val="0054201F"/>
    <w:pPr>
      <w:spacing w:line="240" w:lineRule="auto"/>
    </w:pPr>
    <w:rPr>
      <w:sz w:val="20"/>
      <w:szCs w:val="20"/>
    </w:rPr>
  </w:style>
  <w:style w:type="character" w:customStyle="1" w:styleId="TekstopmerkingChar">
    <w:name w:val="Tekst opmerking Char"/>
    <w:basedOn w:val="Standaardalinea-lettertype"/>
    <w:link w:val="Tekstopmerking"/>
    <w:uiPriority w:val="99"/>
    <w:rsid w:val="0054201F"/>
    <w:rPr>
      <w:sz w:val="20"/>
      <w:szCs w:val="20"/>
    </w:rPr>
  </w:style>
  <w:style w:type="paragraph" w:styleId="Onderwerpvanopmerking">
    <w:name w:val="annotation subject"/>
    <w:basedOn w:val="Tekstopmerking"/>
    <w:next w:val="Tekstopmerking"/>
    <w:link w:val="OnderwerpvanopmerkingChar"/>
    <w:uiPriority w:val="99"/>
    <w:semiHidden/>
    <w:unhideWhenUsed/>
    <w:rsid w:val="0054201F"/>
    <w:rPr>
      <w:b/>
      <w:bCs/>
    </w:rPr>
  </w:style>
  <w:style w:type="character" w:customStyle="1" w:styleId="OnderwerpvanopmerkingChar">
    <w:name w:val="Onderwerp van opmerking Char"/>
    <w:basedOn w:val="TekstopmerkingChar"/>
    <w:link w:val="Onderwerpvanopmerking"/>
    <w:uiPriority w:val="99"/>
    <w:semiHidden/>
    <w:rsid w:val="0054201F"/>
    <w:rPr>
      <w:b/>
      <w:bCs/>
      <w:sz w:val="20"/>
      <w:szCs w:val="20"/>
    </w:rPr>
  </w:style>
  <w:style w:type="paragraph" w:styleId="Koptekst">
    <w:name w:val="header"/>
    <w:basedOn w:val="Standaard"/>
    <w:link w:val="KoptekstChar"/>
    <w:uiPriority w:val="99"/>
    <w:unhideWhenUsed/>
    <w:rsid w:val="00E70B0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70B09"/>
  </w:style>
  <w:style w:type="paragraph" w:styleId="Voettekst">
    <w:name w:val="footer"/>
    <w:basedOn w:val="Standaard"/>
    <w:link w:val="VoettekstChar"/>
    <w:uiPriority w:val="99"/>
    <w:unhideWhenUsed/>
    <w:rsid w:val="00E70B0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70B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888</ap:Words>
  <ap:Characters>4884</ap:Characters>
  <ap:DocSecurity>0</ap:DocSecurity>
  <ap:Lines>40</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5761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2025-04-02T11:57:00.0000000Z</dcterms:created>
  <dcterms:modified xsi:type="dcterms:W3CDTF">2025-04-02T11:57:00.0000000Z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b587cc-5349-4506-9b19-2242ab88a0ee_Enabled">
    <vt:lpwstr>true</vt:lpwstr>
  </property>
  <property fmtid="{D5CDD505-2E9C-101B-9397-08002B2CF9AE}" pid="3" name="MSIP_Label_f4b587cc-5349-4506-9b19-2242ab88a0ee_SetDate">
    <vt:lpwstr>2025-03-21T18:02:46Z</vt:lpwstr>
  </property>
  <property fmtid="{D5CDD505-2E9C-101B-9397-08002B2CF9AE}" pid="4" name="MSIP_Label_f4b587cc-5349-4506-9b19-2242ab88a0ee_Method">
    <vt:lpwstr>Privileged</vt:lpwstr>
  </property>
  <property fmtid="{D5CDD505-2E9C-101B-9397-08002B2CF9AE}" pid="5" name="MSIP_Label_f4b587cc-5349-4506-9b19-2242ab88a0ee_Name">
    <vt:lpwstr>FIN-DGFZ-Dep. V.</vt:lpwstr>
  </property>
  <property fmtid="{D5CDD505-2E9C-101B-9397-08002B2CF9AE}" pid="6" name="MSIP_Label_f4b587cc-5349-4506-9b19-2242ab88a0ee_SiteId">
    <vt:lpwstr>84712536-f524-40a0-913b-5d25ba502732</vt:lpwstr>
  </property>
  <property fmtid="{D5CDD505-2E9C-101B-9397-08002B2CF9AE}" pid="7" name="MSIP_Label_f4b587cc-5349-4506-9b19-2242ab88a0ee_ActionId">
    <vt:lpwstr>446e1480-7ddc-47e1-8cb7-d75d085926b0</vt:lpwstr>
  </property>
  <property fmtid="{D5CDD505-2E9C-101B-9397-08002B2CF9AE}" pid="8" name="MSIP_Label_f4b587cc-5349-4506-9b19-2242ab88a0ee_ContentBits">
    <vt:lpwstr>0</vt:lpwstr>
  </property>
</Properties>
</file>